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how to study:</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fundamental principles: what are the issues (write them down)? what the outcome (how did the court resolve the issue/ what did the majority rule)? in this case are there any desenting opinions (did any of the judges on the appeal court did any disagree with the majority outcome)?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 xml:space="preserve">often the majority arrive at the same conclusions </w:t>
      </w:r>
      <w:r>
        <w:rPr>
          <w:rFonts w:ascii="Arial" w:hAnsi="Arial" w:cs="Arial"/>
          <w:b/>
          <w:bCs/>
        </w:rPr>
        <w:t>but for different reasons</w:t>
      </w:r>
      <w:r>
        <w:rPr>
          <w:rFonts w:ascii="Arial" w:hAnsi="Arial" w:cs="Arial"/>
        </w:rPr>
        <w:t xml:space="preserve"> (make note)</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separate technology from effects and ensure that you understand both - how does the technology work?</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legislative jurisdiction - deals with the question of passing laws, does a body have the authority to pass laws</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Nascent broadcasting industry that we see with radio - little regulation</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pg. 541 - case from 1931, not a standard case (party x vs. party y) “in the matter of a REFERENCE....”: a unique mechanism by which parliament can say what they’d rule - saying to supreme court that they need some guidance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“DESENTING”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federal legislative &amp; provincial leg. = section 91 and 92 yet no where in these sections is the world radio mentioned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constitution used to be called the British North America Act (1867) and there was no such thing as the radio back then - radio wasn’t invented until: In 1855 provided the first demonstration of wireless communication, and then in 1895 Guglielmo Marconi sent the first radio signal. Radio developed from wireless telegraphy towards the end of the 19th century.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b/>
          <w:bCs/>
          <w:color w:val="EB2819"/>
        </w:rPr>
      </w:pPr>
      <w:r>
        <w:rPr>
          <w:rFonts w:ascii="Arial" w:hAnsi="Arial" w:cs="Arial"/>
          <w:b/>
          <w:bCs/>
          <w:color w:val="EB2819"/>
        </w:rPr>
        <w:t>Hertzian Waves: an electromagnetic wave generated by oscillations in an electric circuit. - caries the waves that are pulled out of the sky (ex: rabbit ears on old t.v.)</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1A1A1A"/>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1A1A1A"/>
        </w:rPr>
      </w:pPr>
      <w:r>
        <w:rPr>
          <w:rFonts w:ascii="Arial" w:hAnsi="Arial" w:cs="Arial"/>
          <w:color w:val="1A1A1A"/>
        </w:rPr>
        <w:t>effects: social, cultural, political and economic</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be able to form opinions for tests</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j.j. = justices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lament and rinford kinda disagreed with the majority (partially, not absolutely “not in every respect”) because you cant control radio waves, but you can control the actual hardware so this can be provincial jurisdiction (its private property) discenting judges agreed there are good reasons for it to be federal, but theres also some to provincial</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tab 1: section 91 of b.n.a “to make laws for the peace, order and good government of canada” “in relation to all matters NOT coming within....”: meaning all the powers that aren’t specifically laid out for the provinces (anything that is not specifically in section 92) belong to the parliament/federal everything in this section are exclusive jurisdiction under the provinces so since the radio does not fall under 92 fed argues they can control it in 91 it says if subject matter does not fall under categories, then federal government gets it by default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do not mistake/confuse the part for the whole - the majority of supreme court and fed govt are saying yes we understand the actual unit is in a private dwelling but you are mistaking the part for a whole - you have to look at the tech in its entirety</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you have to acknowledge radio tech works with not only a receiver but a broadcaster too (you can have a radio but its useless unless there is a signal from a transmitting tower being sent)</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EB2819"/>
        </w:rPr>
      </w:pPr>
      <w:r>
        <w:rPr>
          <w:rFonts w:ascii="Arial" w:hAnsi="Arial" w:cs="Arial"/>
          <w:color w:val="EB2819"/>
        </w:rPr>
        <w:t>pg.541 - the small print - the position of the federal government “the province of quebec.....” (highlight second last paragraph) - fed is saying they dont have jurisdiction, quebec is saying yes they do so they have to both go to prov court and see “essentially important... national life and interest”</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“1927 telegraph international convention” canada signed this agreeing</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“treaty” we also have a treaty to which govt of canada signed</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EB2819"/>
        </w:rPr>
      </w:pPr>
      <w:r>
        <w:rPr>
          <w:rFonts w:ascii="Arial" w:hAnsi="Arial" w:cs="Arial"/>
          <w:color w:val="EB2819"/>
        </w:rPr>
        <w:t>tab 1 - 91 - subsection 29: second paragraph: “expressly excepted” (gives is specific meaning, means it is removed)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EB2819"/>
        </w:rPr>
      </w:pPr>
      <w:r>
        <w:rPr>
          <w:rFonts w:ascii="Arial" w:hAnsi="Arial" w:cs="Arial"/>
          <w:color w:val="EB2819"/>
        </w:rPr>
        <w:t>expression has 2 elements: must have form (ex: expressing discontent by punching someone in the face) and content (must have intention of communicating meaning, ex: stripping does not constitute express because it is devoid of meaning)</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EB2819"/>
        </w:rPr>
      </w:pPr>
      <w:r>
        <w:rPr>
          <w:rFonts w:ascii="Arial" w:hAnsi="Arial" w:cs="Arial"/>
          <w:b/>
          <w:bCs/>
          <w:color w:val="EB2819"/>
        </w:rPr>
        <w:t>all to say - laws have to be interpreted before they mean anything</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EB2819"/>
        </w:rPr>
      </w:pPr>
      <w:r>
        <w:rPr>
          <w:rFonts w:ascii="Arial" w:hAnsi="Arial" w:cs="Arial"/>
          <w:color w:val="EB2819"/>
        </w:rPr>
        <w:t xml:space="preserve">section 92 subsection 16: “generally all matters of a </w:t>
      </w:r>
      <w:r>
        <w:rPr>
          <w:rFonts w:ascii="Arial" w:hAnsi="Arial" w:cs="Arial"/>
          <w:b/>
          <w:bCs/>
          <w:color w:val="EB2819"/>
        </w:rPr>
        <w:t>merely local or private nature</w:t>
      </w:r>
      <w:r>
        <w:rPr>
          <w:rFonts w:ascii="Arial" w:hAnsi="Arial" w:cs="Arial"/>
          <w:color w:val="EB2819"/>
        </w:rPr>
        <w:t>....”</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EB2819"/>
        </w:rPr>
      </w:pPr>
      <w:r>
        <w:rPr>
          <w:rFonts w:ascii="Arial" w:hAnsi="Arial" w:cs="Arial"/>
          <w:color w:val="EB2819"/>
        </w:rPr>
        <w:t>all subjects that are local or private in nature are exclusive jurisdiction of provincial government</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 xml:space="preserve">sub 10 - OTHER THAN (exception) such as are of the following classes - </w:t>
      </w:r>
      <w:r>
        <w:rPr>
          <w:rFonts w:ascii="Arial" w:hAnsi="Arial" w:cs="Arial"/>
          <w:u w:val="single"/>
        </w:rPr>
        <w:t>telegraph</w:t>
      </w:r>
      <w:r>
        <w:rPr>
          <w:rFonts w:ascii="Arial" w:hAnsi="Arial" w:cs="Arial"/>
        </w:rPr>
        <w:t xml:space="preserve"> is mentioned under this section so its not provincial (argument: should telegraph include radio? provinces argue that the supreme court of canada should ‘read-in’ to this section and think of/add the radio as under telegraph, therefore they have control over it - this idea of ‘reading-in’ shows us issues that governments, legislatives have to deal with; can they argue that telegraph goes with radio) federal government says telegraph is NOT radio, do not read-in, provinces do not have jurisdiction  LOCAL WORKS AND UNDERTAKINGS: important language</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so where does this put radio??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b/>
          <w:bCs/>
        </w:rPr>
        <w:t>our laws are not capable to dealing with the internet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b/>
          <w:bCs/>
        </w:rPr>
        <w:t>copyright - govern the right of a creator, to control the copying of their creation ex: current issue of SOPA (will need to know current issues for exams)</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sub 13: take this language and make an argument that radio (the technology - the receiving unit located in a home) constitutes a private property - meaning you have control over it - but the fed govt/scc disagree with that saying that the tech is only part of radio (the waves don’t respect provincial boundaries); position of fed govt: you have to take into account radio IN ITS ENTIRETY</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sub 16: merely local or private nature</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EB2819"/>
        </w:rPr>
      </w:pPr>
      <w:r>
        <w:rPr>
          <w:rFonts w:ascii="Arial" w:hAnsi="Arial" w:cs="Arial"/>
          <w:color w:val="EB2819"/>
        </w:rPr>
        <w:t>2 basic means by which we govern society: norms &amp; rules</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EB2819"/>
        </w:rPr>
      </w:pPr>
      <w:r>
        <w:rPr>
          <w:rFonts w:ascii="Arial" w:hAnsi="Arial" w:cs="Arial"/>
          <w:color w:val="EB2819"/>
        </w:rPr>
        <w:t>laws are codified, objective</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EB2819"/>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color w:val="EB2819"/>
        </w:rPr>
        <w:t>cannot have a right without a corresponding obligation</w:t>
      </w:r>
      <w:r>
        <w:rPr>
          <w:rFonts w:ascii="Arial" w:hAnsi="Arial" w:cs="Arial"/>
        </w:rPr>
        <w:t xml:space="preserve"> -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color w:val="EB2819"/>
        </w:rPr>
        <w:t>p.545</w:t>
      </w:r>
      <w:r>
        <w:rPr>
          <w:rFonts w:ascii="Arial" w:hAnsi="Arial" w:cs="Arial"/>
        </w:rPr>
        <w:t xml:space="preserve"> second last para: referring to section 92 sub 13</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saying your missing the point, those are mere surface appearances (prima facie: on the face of/on the surface) when you look deeper it doesn’t hold</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its the EFFECTS - this is how you deal with the first constitutional question: look at how tech is used and its effects</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p.546: Newcoms position - the living tree analogy: half way down the page “as a living tree capable....” principle for intrepting legislation, idea that law cannot be treated as static/detached from society - must take into account that culture changes - must recognize that as culture changes, so must our interpretation and reading of the law written years ago</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EB2819"/>
        </w:rPr>
      </w:pPr>
      <w:r>
        <w:rPr>
          <w:rFonts w:ascii="Arial" w:hAnsi="Arial" w:cs="Arial"/>
          <w:color w:val="EB2819"/>
        </w:rPr>
        <w:t>p.547: Last paragraph “reading through the various subsection.....” they are all in a sense partially correct and they do seem reasonable, but they are not sound enough to deal with the issue at hand</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EB2819"/>
        </w:rPr>
      </w:pPr>
      <w:r>
        <w:rPr>
          <w:rFonts w:ascii="Arial" w:hAnsi="Arial" w:cs="Arial"/>
        </w:rPr>
        <w:t>  </w:t>
      </w:r>
      <w:r>
        <w:rPr>
          <w:rFonts w:ascii="Arial" w:hAnsi="Arial" w:cs="Arial"/>
          <w:color w:val="EB2819"/>
        </w:rPr>
        <w:t>final point: number of jurisdiction of the federal government??? get bilge's notes</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EB2819"/>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EB2819"/>
        </w:rPr>
      </w:pPr>
      <w:r>
        <w:rPr>
          <w:rFonts w:ascii="Arial" w:hAnsi="Arial" w:cs="Arial"/>
          <w:color w:val="EB2819"/>
        </w:rPr>
        <w:t>p.549: last paragraph: there are 2 grounds upon which the provinces deny\</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radio tV and the internet are FUNDAMENTALLY the same - old creates base for new</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regulations of new media:</w:t>
      </w:r>
    </w:p>
    <w:p w:rsidR="009E7959" w:rsidRDefault="009E7959" w:rsidP="009E7959">
      <w:pPr>
        <w:widowControl w:val="0"/>
        <w:numPr>
          <w:ilvl w:val="0"/>
          <w:numId w:val="1"/>
        </w:numPr>
        <w:tabs>
          <w:tab w:val="left" w:pos="360"/>
          <w:tab w:val="left" w:pos="720"/>
        </w:tabs>
        <w:autoSpaceDE w:val="0"/>
        <w:autoSpaceDN w:val="0"/>
        <w:adjustRightInd w:val="0"/>
        <w:spacing w:after="0"/>
        <w:ind w:hanging="720"/>
        <w:rPr>
          <w:rFonts w:ascii="Arial" w:hAnsi="Arial" w:cs="Arial"/>
        </w:rPr>
      </w:pPr>
      <w:r>
        <w:rPr>
          <w:rFonts w:ascii="Arial" w:hAnsi="Arial" w:cs="Arial"/>
        </w:rPr>
        <w:t xml:space="preserve">law - legal --&gt; statutory (codified) law  &amp; common (judge-made) law </w:t>
      </w:r>
    </w:p>
    <w:p w:rsidR="009E7959" w:rsidRDefault="009E7959" w:rsidP="009E7959">
      <w:pPr>
        <w:widowControl w:val="0"/>
        <w:numPr>
          <w:ilvl w:val="0"/>
          <w:numId w:val="1"/>
        </w:numPr>
        <w:tabs>
          <w:tab w:val="left" w:pos="360"/>
          <w:tab w:val="left" w:pos="720"/>
        </w:tabs>
        <w:autoSpaceDE w:val="0"/>
        <w:autoSpaceDN w:val="0"/>
        <w:adjustRightInd w:val="0"/>
        <w:spacing w:after="0"/>
        <w:ind w:hanging="720"/>
        <w:rPr>
          <w:rFonts w:ascii="Arial" w:hAnsi="Arial" w:cs="Arial"/>
        </w:rPr>
      </w:pPr>
      <w:r>
        <w:rPr>
          <w:rFonts w:ascii="Arial" w:hAnsi="Arial" w:cs="Arial"/>
        </w:rPr>
        <w:t xml:space="preserve">marketplace </w:t>
      </w:r>
    </w:p>
    <w:p w:rsidR="009E7959" w:rsidRDefault="009E7959" w:rsidP="009E7959">
      <w:pPr>
        <w:widowControl w:val="0"/>
        <w:numPr>
          <w:ilvl w:val="0"/>
          <w:numId w:val="1"/>
        </w:numPr>
        <w:tabs>
          <w:tab w:val="left" w:pos="360"/>
          <w:tab w:val="left" w:pos="720"/>
        </w:tabs>
        <w:autoSpaceDE w:val="0"/>
        <w:autoSpaceDN w:val="0"/>
        <w:adjustRightInd w:val="0"/>
        <w:spacing w:after="0"/>
        <w:ind w:hanging="720"/>
        <w:rPr>
          <w:rFonts w:ascii="Arial" w:hAnsi="Arial" w:cs="Arial"/>
        </w:rPr>
      </w:pPr>
      <w:r>
        <w:rPr>
          <w:rFonts w:ascii="Arial" w:hAnsi="Arial" w:cs="Arial"/>
        </w:rPr>
        <w:t xml:space="preserve">norms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2 bodies of law:</w:t>
      </w:r>
    </w:p>
    <w:p w:rsidR="009E7959" w:rsidRDefault="009E7959" w:rsidP="009E7959">
      <w:pPr>
        <w:widowControl w:val="0"/>
        <w:numPr>
          <w:ilvl w:val="0"/>
          <w:numId w:val="2"/>
        </w:numPr>
        <w:tabs>
          <w:tab w:val="left" w:pos="360"/>
          <w:tab w:val="left" w:pos="720"/>
        </w:tabs>
        <w:autoSpaceDE w:val="0"/>
        <w:autoSpaceDN w:val="0"/>
        <w:adjustRightInd w:val="0"/>
        <w:spacing w:after="0"/>
        <w:ind w:hanging="720"/>
        <w:rPr>
          <w:rFonts w:ascii="Arial" w:hAnsi="Arial" w:cs="Arial"/>
        </w:rPr>
      </w:pPr>
      <w:r>
        <w:rPr>
          <w:rFonts w:ascii="Arial" w:hAnsi="Arial" w:cs="Arial"/>
        </w:rPr>
        <w:t xml:space="preserve">public --&gt; constitution section 91/92 &amp; charter (retaliations between state and citizens) </w:t>
      </w:r>
    </w:p>
    <w:p w:rsidR="009E7959" w:rsidRDefault="009E7959" w:rsidP="009E7959">
      <w:pPr>
        <w:widowControl w:val="0"/>
        <w:numPr>
          <w:ilvl w:val="0"/>
          <w:numId w:val="2"/>
        </w:numPr>
        <w:tabs>
          <w:tab w:val="left" w:pos="360"/>
          <w:tab w:val="left" w:pos="720"/>
        </w:tabs>
        <w:autoSpaceDE w:val="0"/>
        <w:autoSpaceDN w:val="0"/>
        <w:adjustRightInd w:val="0"/>
        <w:spacing w:after="0"/>
        <w:ind w:hanging="720"/>
        <w:rPr>
          <w:rFonts w:ascii="Arial" w:hAnsi="Arial" w:cs="Arial"/>
        </w:rPr>
      </w:pPr>
      <w:r>
        <w:rPr>
          <w:rFonts w:ascii="Arial" w:hAnsi="Arial" w:cs="Arial"/>
        </w:rPr>
        <w:t xml:space="preserve">private --&gt; tort (civil: regulates relationships among parties/individuals)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this section of course moving to private law</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defamation and copyright law</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 xml:space="preserve">defamation: </w:t>
      </w:r>
      <w:r>
        <w:rPr>
          <w:rFonts w:ascii="Arial" w:hAnsi="Arial" w:cs="Arial"/>
          <w:u w:val="single"/>
        </w:rPr>
        <w:t>intentionally</w:t>
      </w:r>
      <w:r>
        <w:rPr>
          <w:rFonts w:ascii="Arial" w:hAnsi="Arial" w:cs="Arial"/>
        </w:rPr>
        <w:t xml:space="preserve"> publication of a </w:t>
      </w:r>
      <w:r>
        <w:rPr>
          <w:rFonts w:ascii="Arial" w:hAnsi="Arial" w:cs="Arial"/>
          <w:u w:val="single"/>
        </w:rPr>
        <w:t>injurious false</w:t>
      </w:r>
      <w:r>
        <w:rPr>
          <w:rFonts w:ascii="Arial" w:hAnsi="Arial" w:cs="Arial"/>
        </w:rPr>
        <w:t xml:space="preserve"> statement</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RSO = revised statutes of Ontario</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liable is statutory law</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what is being challenged?:</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the supreme court is interpreting ontario’s liable and slander laws</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being interpreted in relation to the Charter</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this case bring public and private law together (defamation and charter)</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balancing of values: one hand is the charter (freedom of expression section 2b) on the other is reputation (which is at the core of defamation) --&gt; scc has to protect the charter and the persons rep</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concept of a persons reputation is about the individuals integrity (basic human right, its at the core of an individuals selfhood)</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charter guarantees (tho not absolute) freedom of expression in a free and democratic society - the state can only infringe on a right or freedom if its demonstrably justified and its is REASONABLE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precedent setting case</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gives us a fundamental grounding in defamation as  philosophical construct</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appellant - morris manning in scientology (appealing court decision)</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Hill = crown attorney (prosecutor) therefore an employee of the Govt of Ont</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interviening - people that petitions the scc requesting to appear before court bc they have demonstrated a vested interest in the case/issues and they want to scc to grant them LEGAL STANDING</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pg. 2 = four heads of summary in order from general to specific</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big question “whether the charter applies” pg. 2 first para last sentence “whether the actual malice rule should be adopted” = to act with malice has specific meaning in law (comes from ‘new york times vs. sullivan’ case)</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hill as a govt employee he ought not to enjoy the same fundamental freedoms when it comes to defamation - they cannot bring an action (sue) of defamation against another party/citizen - they only can if there is actual malice/specific malicious intent</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one argument for this: by virtue of being a state employee they have to expect rough treatment ex: an elected official will be subject to public scrutiny</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manning and church of scientology argues that scc ought to interrupt the common law to introduce canadian jurisprudence - they want scc to adopt malice rule used in usa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liable is a publication</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slander is verbal</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Hill sued Morris and Church bc they defamed him - talking about him and his professional competence on national media</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evidence is shown that manning and church KNEW the statements they were making were false - this opened the door for Hill to sue them</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in response to this action manning and church bring:</w:t>
      </w:r>
    </w:p>
    <w:p w:rsidR="009E7959" w:rsidRDefault="009E7959" w:rsidP="009E7959">
      <w:pPr>
        <w:widowControl w:val="0"/>
        <w:numPr>
          <w:ilvl w:val="0"/>
          <w:numId w:val="3"/>
        </w:numPr>
        <w:tabs>
          <w:tab w:val="left" w:pos="360"/>
          <w:tab w:val="left" w:pos="720"/>
        </w:tabs>
        <w:autoSpaceDE w:val="0"/>
        <w:autoSpaceDN w:val="0"/>
        <w:adjustRightInd w:val="0"/>
        <w:spacing w:after="0"/>
        <w:ind w:hanging="720"/>
        <w:rPr>
          <w:rFonts w:ascii="Arial" w:hAnsi="Arial" w:cs="Arial"/>
        </w:rPr>
      </w:pPr>
      <w:r>
        <w:rPr>
          <w:rFonts w:ascii="Arial" w:hAnsi="Arial" w:cs="Arial"/>
        </w:rPr>
        <w:t xml:space="preserve">scc should not bring malice rule </w:t>
      </w:r>
    </w:p>
    <w:p w:rsidR="009E7959" w:rsidRDefault="009E7959" w:rsidP="009E7959">
      <w:pPr>
        <w:widowControl w:val="0"/>
        <w:numPr>
          <w:ilvl w:val="0"/>
          <w:numId w:val="3"/>
        </w:numPr>
        <w:tabs>
          <w:tab w:val="left" w:pos="360"/>
          <w:tab w:val="left" w:pos="720"/>
        </w:tabs>
        <w:autoSpaceDE w:val="0"/>
        <w:autoSpaceDN w:val="0"/>
        <w:adjustRightInd w:val="0"/>
        <w:spacing w:after="0"/>
        <w:ind w:hanging="720"/>
        <w:rPr>
          <w:rFonts w:ascii="Arial" w:hAnsi="Arial" w:cs="Arial"/>
        </w:rPr>
      </w:pPr>
      <w:r>
        <w:rPr>
          <w:rFonts w:ascii="Arial" w:hAnsi="Arial" w:cs="Arial"/>
        </w:rPr>
        <w:t xml:space="preserve">c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defense = qualified privilege</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study question: does charter apply to defamation?</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manning and church are arguing the charter should apply bc that would render the lawsuit against them - that would make Hill unallowed to sue them</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test questions: the year of cases</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significance of hertzian waves in broadcasting: forces us to think about aspects of media technology (1. how do they work)</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do not rely on summaries - its the reasons up to and including public service of deon</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common law &amp; statutory law</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when the fed government passes an act that an “statute” - today: there is no statutory law to govern the internet (what do we do about hate speech on a blog etc.)</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the first case we looked at in the course deals with statutory (the constitution)</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stare decisis et non quieta non movere: a principle/doctrine, latin for the decision stands, do not disturb that which rests......has to do with the idea of a precedent (a binding decision, it creates expectations therefore an obligation BUT they are not absolute)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case 1: provinces are no longer bound by precedent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color w:val="EB2819"/>
        </w:rPr>
        <w:t>p.309</w:t>
      </w:r>
      <w:r>
        <w:rPr>
          <w:rFonts w:ascii="Arial" w:hAnsi="Arial" w:cs="Arial"/>
        </w:rPr>
        <w:t>: argument that says we’re dealing with international media/convictions so it should be exclusive federal jurisdiction bc provinces cant enter into discussions with other countries</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EB2819"/>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EB2819"/>
        </w:rPr>
      </w:pPr>
      <w:r>
        <w:rPr>
          <w:rFonts w:ascii="Arial" w:hAnsi="Arial" w:cs="Arial"/>
          <w:color w:val="EB2819"/>
        </w:rPr>
        <w:t>310: reasons for giving their solution for upholding/keeping decision of supreme court of canada by JCPC</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p.311 last paragraph, section 92 subsection 10 “connecting the province with any other or extending beyond the limits of the province” - sayin we’re not contesting fed govt arguments the province says they understand that u have to engage with foreign countries, prov do not want exclusive jurisdiction but they want a piece of it</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“the real point to be considered” is this manner of dealing with this subject - dealing with radio as a new tech, “residue” belongs to the province - stuff thats left over - this is the grounds on their argument, they do argue that there are instances where a province is appropriate to regulate radio broadcasting (residue: whats left after fed have had their control) ... “their lordship cannot agree”: we could not disagree more with the position the province just outlined - the prov was rejected - why?? same reasons supreme court gave too, it aint gonna work (outlined in reading)</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“depends on a complete diff... between transmitting and receiving instruments” (how it works) you have to consider the entire act of communication from point of origin to communication - provinces are basing their argument around the receving unit, the scc and asps rejected it bc they are not taking into account the whole</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color w:val="EB2819"/>
        </w:rPr>
        <w:t>pg.314</w:t>
      </w:r>
      <w:r>
        <w:rPr>
          <w:rFonts w:ascii="Arial" w:hAnsi="Arial" w:cs="Arial"/>
        </w:rPr>
        <w:t xml:space="preserve"> (92 sub 10) “their lordships draw special attention..” asks does it or not ...clearly it does: radio can be read-into the existing language, even though it doesnt say it (metaphor of living tree being argued - law cannot be narrowly constructed) arguing for a liberal and geneal interpretation of the statutory language - scc and jcpc say radio is in there</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p. 315 “the receiving instrument must share its fate” bc both are required for a transmission to occur</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“broadcasting as a system cannot exist with a transmitter and receiver... cannot be divided into two parts</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where does that put the internet? same problem of 30 years ago with radio are happening again</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EB2819"/>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EB2819"/>
        </w:rPr>
      </w:pPr>
      <w:r>
        <w:rPr>
          <w:rFonts w:ascii="Arial" w:hAnsi="Arial" w:cs="Arial"/>
          <w:color w:val="EB2819"/>
        </w:rPr>
        <w:t>later in the course - copyright: needs 2 things, originality and reproduction</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new media is the late 19th century (late 1800s) - in terms of relationships to mediums of cmn, the TELEGRAPH</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no difference fundamentally and philosophically between the telegraph and a blackberry</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relationship between human actors (independent thinking conscious agent, ex: indv, cmmunity) looking at effects (how we relate to technology)</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we have to disentangle the media effects - how tech facilitates cmn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medium - means by which we cmn meaning (ex: painting)</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culture - collection of actors that come together to create something in which we observe as a unique phenomenon (ex: celebrity culture)</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when you're in the middle of something you dont perceive it - its only after the fact that you can identify it (i dont know who discovered water but im sure it wasnt the fish)</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we cant develop a rich understanding of our lived experience with tech unless we have historical comparators - ex: when we understand the telegraph media explosion from the 19th cent. we can understand our present experience with todays “new” media</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imminent critique =  engage in critique of a lived experience, when you step outside a lived experience to try to make sense of it, having a perspective outside the culture ex: looking in the past to understand the present</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people immersed in an environment are the less to be able to appreciate/understand it</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NOT ON EXAM - 2010 queens bench (lower level trial court) - Pridgen vs. university of calgary: a test case, they created a bf site, uni extended its authority in private sphere of students by disciplining them for engaging in expression on a site that the uni has no control over</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freedom of expression - section 2B under charter of rights and freedoms</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but this right is NOT absolute</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section 1 on charter states the charter guarantees rights subject ONLY TO SUCH REASONABLE LIMITS, PRESCRIBED BY LAW, AS CAN BE DEMONSTRABLY JUSTIFIED IN A FREE AND DEMOCRATIC SOCIETY (these 3 clauses limit the nature to absolute rights and freedoms) - therefore, the state can in fact limit your right to freedom of expression</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govt uses regulations and law (diff things, regulation has not been passed by a legislative body) to control population</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language = means by which we communicate</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all meanings, therefore our actions, have consequences - irrespective of your intentions</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facts matter - the word effect matters -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new media technology facilitates expression (blogs, ratemyprof)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EB2819"/>
        </w:rPr>
      </w:pPr>
      <w:r>
        <w:rPr>
          <w:rFonts w:ascii="Arial" w:hAnsi="Arial" w:cs="Arial"/>
          <w:color w:val="EB2819"/>
        </w:rPr>
        <w:t>slander and libel: two branches of same thing, defamation (which is tied to reputation)</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EB2819"/>
        </w:rPr>
      </w:pPr>
      <w:r>
        <w:rPr>
          <w:rFonts w:ascii="Arial" w:hAnsi="Arial" w:cs="Arial"/>
          <w:color w:val="EB2819"/>
        </w:rPr>
        <w:t>idea in law that reputation is a basic human right (ex how employers look up your fb)</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EB2819"/>
        </w:rPr>
      </w:pPr>
      <w:r>
        <w:rPr>
          <w:rFonts w:ascii="Arial" w:hAnsi="Arial" w:cs="Arial"/>
          <w:color w:val="EB2819"/>
        </w:rPr>
        <w:t>ex: how media can destroy a persons life, celebrities</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EB2819"/>
        </w:rPr>
      </w:pPr>
      <w:r>
        <w:rPr>
          <w:rFonts w:ascii="Arial" w:hAnsi="Arial" w:cs="Arial"/>
          <w:color w:val="EB2819"/>
        </w:rPr>
        <w:t>defamation is the intentional publication of the injurious false statement - libel: published defamatory statement slander - tort, verbal??</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norm = social practice, convention, expectation for behavior (NOT a law), way you’re supposed to behave ex: walk on right side of the road</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laws are codified, have consequences, also have expectations (laws of society provide expectations for behavior)</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DA2518"/>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you cannot have a right without a corresponding obligation</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what is the significance of hertizian waves for our understanding of the regulation of new media --&gt; in radio reference case &amp; in tab 4 (p.202)</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not really about the waves, its about thinking of the nature of how law is involved in regulating new media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what are the varies issues that are involved in the 2 cases that generated 3 judgments (scc and jcpc)</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sections 91 and 92</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1A1A1A"/>
        </w:rPr>
      </w:pPr>
      <w:r>
        <w:rPr>
          <w:rFonts w:ascii="Arial" w:hAnsi="Arial" w:cs="Arial"/>
          <w:color w:val="1A1A1A"/>
        </w:rPr>
        <w:t>appellant: A person who applies to a higher court for a reversal of the decision of a lower court.</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1A1A1A"/>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1A1A1A"/>
        </w:rPr>
      </w:pPr>
      <w:r>
        <w:rPr>
          <w:rFonts w:ascii="Arial" w:hAnsi="Arial" w:cs="Arial"/>
          <w:color w:val="1A1A1A"/>
        </w:rPr>
        <w:t>respondent: A defendant in a lawsuit, esp. one in an appeals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ultra vires - to act out the power of something/your properly acknowledged authority</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intra vires  - to act inside the properly constituted authority</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is the authority in question acting in or outside of its legislative authority ? if outside, it does not hold - not constitutionally valid</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we know that the provinces (quebec etc.) in attempting to pass laws that regulate radio they are acting ULTRA vires - provinces have no legislative authority to control radio broadcasting</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reference is not the same thing as normal court where case goes to trial - know for exam</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pellet = person thats appealing</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 xml:space="preserve">3 levels: trial, decision, appeal (of decision, losing case, court will agree to hear case as long as theres a </w:t>
      </w:r>
      <w:r>
        <w:rPr>
          <w:rFonts w:ascii="Arial" w:hAnsi="Arial" w:cs="Arial"/>
          <w:u w:val="single"/>
        </w:rPr>
        <w:t>point of law</w:t>
      </w:r>
      <w:r>
        <w:rPr>
          <w:rFonts w:ascii="Arial" w:hAnsi="Arial" w:cs="Arial"/>
        </w:rPr>
        <w:t xml:space="preserve"> in concern)</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scc = final court of appeal, only agrees to hear a case if there is a point of law which can  be developed or if there has been an error in the application of law in the case, there are no trial or witness, the evidence consists of the documents/oral presentations by lawyers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 xml:space="preserve">third party = intervieners, sometimes involved, a party(ies) has been granted </w:t>
      </w:r>
      <w:r>
        <w:rPr>
          <w:rFonts w:ascii="Arial" w:hAnsi="Arial" w:cs="Arial"/>
          <w:u w:val="single"/>
        </w:rPr>
        <w:t>standing</w:t>
      </w:r>
      <w:r>
        <w:rPr>
          <w:rFonts w:ascii="Arial" w:hAnsi="Arial" w:cs="Arial"/>
        </w:rPr>
        <w:t>/permission by an appeal court to intervene in the case and make submissions in the court bc they have demonstrated that they have a significant vested interest in the case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ex: attorney generals</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tab 4:</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jc w:val="both"/>
        <w:rPr>
          <w:rFonts w:ascii="Arial" w:hAnsi="Arial" w:cs="Arial"/>
          <w:color w:val="2C2C2C"/>
        </w:rPr>
      </w:pPr>
      <w:r>
        <w:rPr>
          <w:rFonts w:ascii="Arial" w:hAnsi="Arial" w:cs="Arial"/>
          <w:color w:val="2C2C2C"/>
        </w:rPr>
        <w:t>The two central strands of what I may call the provincial submissions were that (1) two enterprises, having no necessary connection with each other, were involved in television operations and in cablevision operations and (2) the fact that different controlling entities were involved in those operations emphasized the separateness of the enterprises, and since the cable distribution operation was locally situate and limited in its subscriber relations to persons in Quebec</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192 “the appeal should be dismissed” - the majority of scc has rejected, the public service board/appelents has lost their deal</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3 descenting judges = 1 set of reasons were given in descent, all concur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pg. 198 - 2nd paragraph “the judgment...”</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he likes to include false premisses in multiple choice questions</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p.195 - actual judgment (6 of 9 scc justices in the majority - all 6 sign onto same reasons, this indicates a strong and united supreme court ruling therefore a strong precedent)</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once precedent has been set it is binding and takes a great deal to change/modify outcome (stare descisis)</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p.199 - SUMMARY OF FACTS: second paragraph “the facts are not in despuit..”</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who did what when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copy-write = original and fixation</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in radio reference case know the names anglin and newcom</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third para: “the purpose of these undertakings....”</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appeal court is looking at The nature of the tech, how does it work does cable tV ought to be treated in the same manner as radio?</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p.200 - KEY ISSUE FOR DESCENT: third para “in my view...”</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p.202 - first para summarizes historical development of radio technology</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para 2: coaxial = tV cables, what signal comes through (not like radio when its from the air)</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“the fallacy of this argument...” = this is why they are descenting, yet the majority of the supreme court disagrees</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refers to the radio reference case - they are attempting to distinguish this case against that one, bc then you are not bound by the precedent that was set that case</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the provinces again are building their argument on a part of the whole - cable tV is not confined merely to a local undertaking</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p.203: half wayy down “with respect to what was said...”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distinguish facts of radio reference to dionne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p.197: first para “the fundamental question is not whether” - what matters is what the service consists of </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“in all these the inquiry must be to the SERVICE THAT IS PROVIDED AND NOT SIMPLY AS TO THE MEANS WHICH IT IS CARRIED ON</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divided constitutional control is what the feds are arguing - the provinces shud not be given authority to control radio broadcasting</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color w:val="2C2C2C"/>
        </w:rPr>
      </w:pPr>
      <w:r>
        <w:rPr>
          <w:rFonts w:ascii="Arial" w:hAnsi="Arial" w:cs="Arial"/>
          <w:color w:val="2C2C2C"/>
        </w:rPr>
        <w:t>p.198 - the telephone analogy is rejected -- The suggested analogy with a local telephone system cannot be accepted because of the technology employed by the cable distribution enterprises, which rely on broadcasting stations and are merely a link in a chain that extends to subscribers who receive the programs through their private receiving sets.</w:t>
      </w: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9E7959" w:rsidRDefault="009E7959" w:rsidP="009E7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rsidR="00DB129B" w:rsidRDefault="009E7959"/>
    <w:sectPr w:rsidR="00DB129B" w:rsidSect="005D0BB8">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9E7959"/>
    <w:rsid w:val="009E7959"/>
  </w:rsids>
  <m:mathPr>
    <m:mathFont m:val="Arial Narrow"/>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2C0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3009</Words>
  <Characters>17155</Characters>
  <Application>Microsoft Word 12.0.0</Application>
  <DocSecurity>0</DocSecurity>
  <Lines>142</Lines>
  <Paragraphs>34</Paragraphs>
  <ScaleCrop>false</ScaleCrop>
  <LinksUpToDate>false</LinksUpToDate>
  <CharactersWithSpaces>21067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Benan</dc:creator>
  <cp:keywords/>
  <cp:lastModifiedBy>Benan</cp:lastModifiedBy>
  <cp:revision>1</cp:revision>
  <dcterms:created xsi:type="dcterms:W3CDTF">2012-04-12T00:13:00Z</dcterms:created>
  <dcterms:modified xsi:type="dcterms:W3CDTF">2012-04-12T00:13:00Z</dcterms:modified>
</cp:coreProperties>
</file>