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082" w:rsidRPr="004E3082" w:rsidRDefault="004E3082" w:rsidP="004E3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bookmarkStart w:id="0" w:name="_GoBack"/>
      <w:bookmarkEnd w:id="0"/>
      <w:r w:rsidRPr="004E3082">
        <w:rPr>
          <w:rFonts w:ascii="Times New Roman" w:hAnsi="Times New Roman" w:cs="Times New Roman"/>
          <w:b/>
          <w:bCs/>
          <w:sz w:val="36"/>
          <w:szCs w:val="28"/>
        </w:rPr>
        <w:t>Solution to Problem Twelve - 3</w:t>
      </w:r>
    </w:p>
    <w:p w:rsidR="004E3082" w:rsidRDefault="004E3082" w:rsidP="004E30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B65DB9" w:rsidRDefault="00B65DB9" w:rsidP="00B65DB9">
      <w:pPr>
        <w:pStyle w:val="ABaseStyle"/>
      </w:pPr>
      <w:r>
        <w:t>The Net Income For Tax Purposes and Taxable Income of Sweat Ltd. for the 8 month period ending August 31, 2014 is as follows:</w:t>
      </w:r>
    </w:p>
    <w:p w:rsidR="00B65DB9" w:rsidRDefault="00B65DB9" w:rsidP="00B65DB9">
      <w:pPr>
        <w:pStyle w:val="ABaseStyle"/>
      </w:pPr>
    </w:p>
    <w:p w:rsidR="00B65DB9" w:rsidRDefault="00B65DB9" w:rsidP="00B65DB9">
      <w:pPr>
        <w:pStyle w:val="3"/>
      </w:pPr>
      <w:r>
        <w:t>Accounting Income Before Taxes</w:t>
      </w:r>
      <w:r>
        <w:tab/>
      </w:r>
      <w:r>
        <w:tab/>
      </w:r>
      <w:r>
        <w:tab/>
        <w:t xml:space="preserve"> $ 87,400 </w:t>
      </w:r>
    </w:p>
    <w:p w:rsidR="00B65DB9" w:rsidRDefault="00B65DB9" w:rsidP="00B65DB9">
      <w:pPr>
        <w:pStyle w:val="3"/>
      </w:pPr>
      <w:r>
        <w:t>Add:</w:t>
      </w:r>
    </w:p>
    <w:p w:rsidR="00B65DB9" w:rsidRDefault="00B65DB9" w:rsidP="00B65DB9">
      <w:pPr>
        <w:pStyle w:val="3"/>
      </w:pPr>
      <w:r>
        <w:tab/>
        <w:t>Reserve For Inventory Obsolescence</w:t>
      </w:r>
    </w:p>
    <w:p w:rsidR="00B65DB9" w:rsidRDefault="00B65DB9" w:rsidP="00B65DB9">
      <w:pPr>
        <w:pStyle w:val="3"/>
      </w:pPr>
      <w:r>
        <w:tab/>
        <w:t xml:space="preserve"> (Included In Cost Of Sales)</w:t>
      </w:r>
      <w:r>
        <w:tab/>
      </w:r>
      <w:r>
        <w:tab/>
        <w:t xml:space="preserve">$17,800 </w:t>
      </w:r>
    </w:p>
    <w:p w:rsidR="00B65DB9" w:rsidRDefault="00B65DB9" w:rsidP="00B65DB9">
      <w:pPr>
        <w:pStyle w:val="3"/>
      </w:pPr>
      <w:r>
        <w:tab/>
        <w:t>Bonus (Note 1)</w:t>
      </w:r>
      <w:r>
        <w:tab/>
      </w:r>
      <w:r>
        <w:tab/>
        <w:t xml:space="preserve">35,000 </w:t>
      </w:r>
    </w:p>
    <w:p w:rsidR="00B65DB9" w:rsidRDefault="00B65DB9" w:rsidP="00B65DB9">
      <w:pPr>
        <w:pStyle w:val="3"/>
      </w:pPr>
      <w:r>
        <w:tab/>
        <w:t>Amortization</w:t>
      </w:r>
      <w:r>
        <w:tab/>
      </w:r>
      <w:r>
        <w:tab/>
        <w:t xml:space="preserve">49,300 </w:t>
      </w:r>
    </w:p>
    <w:p w:rsidR="00B65DB9" w:rsidRDefault="00B65DB9" w:rsidP="00B65DB9">
      <w:pPr>
        <w:pStyle w:val="3"/>
      </w:pPr>
      <w:r>
        <w:tab/>
        <w:t>Non-Deductible Meals And Entertainment</w:t>
      </w:r>
    </w:p>
    <w:p w:rsidR="00B65DB9" w:rsidRDefault="00B65DB9" w:rsidP="00B65DB9">
      <w:pPr>
        <w:pStyle w:val="3"/>
      </w:pPr>
      <w:r>
        <w:tab/>
        <w:t xml:space="preserve"> [(1/2)($15,200)]</w:t>
      </w:r>
      <w:r>
        <w:tab/>
      </w:r>
      <w:r>
        <w:tab/>
        <w:t xml:space="preserve">7,600 </w:t>
      </w:r>
    </w:p>
    <w:p w:rsidR="00B65DB9" w:rsidRDefault="00B65DB9" w:rsidP="00B65DB9">
      <w:pPr>
        <w:pStyle w:val="3"/>
      </w:pPr>
      <w:r>
        <w:tab/>
        <w:t>Golf Club Memberships</w:t>
      </w:r>
      <w:r>
        <w:tab/>
      </w:r>
      <w:r>
        <w:tab/>
        <w:t xml:space="preserve">7,700 </w:t>
      </w:r>
    </w:p>
    <w:p w:rsidR="00B65DB9" w:rsidRDefault="00B65DB9" w:rsidP="00B65DB9">
      <w:pPr>
        <w:pStyle w:val="3"/>
      </w:pPr>
      <w:r>
        <w:tab/>
        <w:t>Increase In Warranty Reserve ($6,200 - $5,400)</w:t>
      </w:r>
      <w:r>
        <w:tab/>
        <w:t xml:space="preserve">800 </w:t>
      </w:r>
    </w:p>
    <w:p w:rsidR="00B65DB9" w:rsidRDefault="00B65DB9" w:rsidP="00B65DB9">
      <w:pPr>
        <w:pStyle w:val="3"/>
      </w:pPr>
      <w:r>
        <w:tab/>
        <w:t>Charitable Donations</w:t>
      </w:r>
      <w:r>
        <w:tab/>
      </w:r>
      <w:r>
        <w:tab/>
        <w:t xml:space="preserve"> 3,100 </w:t>
      </w:r>
    </w:p>
    <w:p w:rsidR="00B65DB9" w:rsidRDefault="00B65DB9" w:rsidP="00B65DB9">
      <w:pPr>
        <w:pStyle w:val="3"/>
      </w:pPr>
      <w:r>
        <w:tab/>
        <w:t>Taxable Capital Gain On Investments [(1/2)($3,900)]</w:t>
      </w:r>
      <w:r>
        <w:tab/>
      </w:r>
      <w:r>
        <w:rPr>
          <w:u w:val="single"/>
        </w:rPr>
        <w:t xml:space="preserve"> 1,950 </w:t>
      </w:r>
      <w:r>
        <w:tab/>
        <w:t xml:space="preserve">123,250 </w:t>
      </w:r>
    </w:p>
    <w:p w:rsidR="00B65DB9" w:rsidRDefault="00B65DB9" w:rsidP="00B65DB9">
      <w:pPr>
        <w:pStyle w:val="3"/>
      </w:pPr>
      <w:r>
        <w:tab/>
      </w:r>
      <w:r>
        <w:tab/>
      </w:r>
      <w:r>
        <w:tab/>
      </w:r>
    </w:p>
    <w:p w:rsidR="00B65DB9" w:rsidRDefault="00B65DB9" w:rsidP="00B65DB9">
      <w:pPr>
        <w:pStyle w:val="3"/>
      </w:pPr>
      <w:r>
        <w:t>Deduct:</w:t>
      </w:r>
    </w:p>
    <w:p w:rsidR="00B65DB9" w:rsidRDefault="00B65DB9" w:rsidP="00B65DB9">
      <w:pPr>
        <w:pStyle w:val="3"/>
      </w:pPr>
      <w:r>
        <w:tab/>
        <w:t>Accounting Gain On Sale Of Investments</w:t>
      </w:r>
      <w:r>
        <w:tab/>
      </w:r>
      <w:r>
        <w:tab/>
        <w:t>($ 3,900)</w:t>
      </w:r>
    </w:p>
    <w:p w:rsidR="00B65DB9" w:rsidRDefault="00B65DB9" w:rsidP="00B65DB9">
      <w:pPr>
        <w:pStyle w:val="3"/>
      </w:pPr>
      <w:r>
        <w:tab/>
        <w:t>CCA (Note 2)</w:t>
      </w:r>
      <w:r>
        <w:tab/>
      </w:r>
      <w:r>
        <w:tab/>
      </w:r>
      <w:proofErr w:type="gramStart"/>
      <w:r>
        <w:t>( 32,010</w:t>
      </w:r>
      <w:proofErr w:type="gramEnd"/>
      <w:r>
        <w:t>)</w:t>
      </w:r>
      <w:r>
        <w:tab/>
        <w:t>( 35,910)</w:t>
      </w:r>
    </w:p>
    <w:p w:rsidR="00B65DB9" w:rsidRDefault="00B65DB9" w:rsidP="00B65DB9">
      <w:pPr>
        <w:pStyle w:val="3T"/>
      </w:pPr>
      <w:r>
        <w:rPr>
          <w:b/>
          <w:bCs/>
        </w:rPr>
        <w:t>Net Income For Tax Purposes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$174,740 </w:t>
      </w:r>
    </w:p>
    <w:p w:rsidR="00B65DB9" w:rsidRDefault="00B65DB9" w:rsidP="00B65DB9">
      <w:pPr>
        <w:pStyle w:val="3"/>
      </w:pPr>
      <w:r>
        <w:t>Deduct:</w:t>
      </w:r>
    </w:p>
    <w:p w:rsidR="00B65DB9" w:rsidRDefault="00B65DB9" w:rsidP="00B65DB9">
      <w:pPr>
        <w:pStyle w:val="3"/>
      </w:pPr>
      <w:r>
        <w:tab/>
        <w:t>Charitable Donations</w:t>
      </w:r>
      <w:r>
        <w:tab/>
      </w:r>
      <w:r>
        <w:tab/>
        <w:t xml:space="preserve"> ($ 3,100)</w:t>
      </w:r>
    </w:p>
    <w:p w:rsidR="00B65DB9" w:rsidRDefault="00B65DB9" w:rsidP="00B65DB9">
      <w:pPr>
        <w:pStyle w:val="3"/>
      </w:pPr>
      <w:r>
        <w:tab/>
        <w:t>Net Capital Loss Carry Forward (Note 3)</w:t>
      </w:r>
      <w:r>
        <w:tab/>
      </w:r>
      <w:r>
        <w:tab/>
      </w:r>
      <w:proofErr w:type="gramStart"/>
      <w:r>
        <w:t>( 1,950</w:t>
      </w:r>
      <w:proofErr w:type="gramEnd"/>
      <w:r>
        <w:t>)</w:t>
      </w:r>
    </w:p>
    <w:p w:rsidR="00B65DB9" w:rsidRDefault="00B65DB9" w:rsidP="00B65DB9">
      <w:pPr>
        <w:pStyle w:val="3"/>
      </w:pPr>
      <w:r>
        <w:tab/>
        <w:t>Non-Capital Loss Carry Forward (All)</w:t>
      </w:r>
      <w:r>
        <w:tab/>
      </w:r>
      <w:r>
        <w:tab/>
        <w:t xml:space="preserve"> </w:t>
      </w:r>
      <w:proofErr w:type="gramStart"/>
      <w:r>
        <w:t>( 18,700</w:t>
      </w:r>
      <w:proofErr w:type="gramEnd"/>
      <w:r>
        <w:t>)</w:t>
      </w:r>
      <w:r>
        <w:tab/>
        <w:t>( 23,750)</w:t>
      </w:r>
    </w:p>
    <w:p w:rsidR="00B65DB9" w:rsidRDefault="00B65DB9" w:rsidP="00B65DB9">
      <w:pPr>
        <w:pStyle w:val="3GT"/>
      </w:pPr>
      <w:r>
        <w:rPr>
          <w:b/>
          <w:bCs/>
        </w:rPr>
        <w:t>Taxable Income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$ 150,990 </w:t>
      </w:r>
    </w:p>
    <w:p w:rsidR="00B65DB9" w:rsidRDefault="00B65DB9" w:rsidP="00B65DB9">
      <w:pPr>
        <w:pStyle w:val="ABaseStyle"/>
      </w:pPr>
    </w:p>
    <w:p w:rsidR="00B65DB9" w:rsidRDefault="00B65DB9" w:rsidP="00B65DB9">
      <w:pPr>
        <w:pStyle w:val="Body-Indent"/>
      </w:pPr>
      <w:r>
        <w:rPr>
          <w:b/>
          <w:bCs/>
        </w:rPr>
        <w:t>Note 1</w:t>
      </w:r>
      <w:r>
        <w:t xml:space="preserve"> As the bonus is not paid until more than 180 days, but less than 3 </w:t>
      </w:r>
      <w:proofErr w:type="gramStart"/>
      <w:r>
        <w:t>years  after</w:t>
      </w:r>
      <w:proofErr w:type="gramEnd"/>
      <w:r>
        <w:t xml:space="preserve"> the Company’s fiscal year end, it cannot be deducted until it is paid.</w:t>
      </w:r>
    </w:p>
    <w:p w:rsidR="00B65DB9" w:rsidRDefault="00B65DB9" w:rsidP="00B65DB9">
      <w:pPr>
        <w:pStyle w:val="ABaseStyle"/>
      </w:pPr>
    </w:p>
    <w:p w:rsidR="00B65DB9" w:rsidRDefault="00B65DB9" w:rsidP="00B65DB9">
      <w:pPr>
        <w:pStyle w:val="Body-Indent"/>
      </w:pPr>
      <w:r>
        <w:rPr>
          <w:b/>
          <w:bCs/>
        </w:rPr>
        <w:t>Note 2</w:t>
      </w:r>
      <w:r>
        <w:t xml:space="preserve"> The CCA for the 8 month period ending </w:t>
      </w:r>
      <w:proofErr w:type="gramStart"/>
      <w:r>
        <w:t>August  31</w:t>
      </w:r>
      <w:proofErr w:type="gramEnd"/>
      <w:r>
        <w:t xml:space="preserve"> , 2014 (243 days), can be calculated as follows:</w:t>
      </w:r>
    </w:p>
    <w:p w:rsidR="00B65DB9" w:rsidRDefault="00B65DB9" w:rsidP="00B65DB9">
      <w:pPr>
        <w:pStyle w:val="ABaseStyle"/>
      </w:pPr>
    </w:p>
    <w:p w:rsidR="00B65DB9" w:rsidRDefault="00B65DB9" w:rsidP="00B65DB9">
      <w:pPr>
        <w:pStyle w:val="2"/>
      </w:pPr>
      <w:r>
        <w:t>Class 8 Opening UCC</w:t>
      </w:r>
      <w:r>
        <w:tab/>
      </w:r>
      <w:r>
        <w:tab/>
        <w:t xml:space="preserve">$79,800 </w:t>
      </w:r>
    </w:p>
    <w:p w:rsidR="00B65DB9" w:rsidRDefault="00B65DB9" w:rsidP="00B65DB9">
      <w:pPr>
        <w:pStyle w:val="2"/>
      </w:pPr>
      <w:r>
        <w:t>Additions</w:t>
      </w:r>
      <w:r>
        <w:tab/>
        <w:t xml:space="preserve">$20,500 </w:t>
      </w:r>
    </w:p>
    <w:p w:rsidR="00B65DB9" w:rsidRDefault="00B65DB9" w:rsidP="00B65DB9">
      <w:pPr>
        <w:pStyle w:val="2"/>
      </w:pPr>
      <w:r>
        <w:t>Disposals - Lesser Of:</w:t>
      </w:r>
    </w:p>
    <w:p w:rsidR="00B65DB9" w:rsidRDefault="00B65DB9" w:rsidP="00B65DB9">
      <w:pPr>
        <w:pStyle w:val="2-Bullet"/>
        <w:tabs>
          <w:tab w:val="clear" w:pos="360"/>
          <w:tab w:val="num" w:pos="1440"/>
        </w:tabs>
        <w:ind w:left="1440" w:hanging="360"/>
      </w:pPr>
      <w:r>
        <w:t>Capital Cost = $14,200</w:t>
      </w:r>
    </w:p>
    <w:p w:rsidR="00B65DB9" w:rsidRDefault="00B65DB9" w:rsidP="00B65DB9">
      <w:pPr>
        <w:pStyle w:val="2-Bullet"/>
        <w:tabs>
          <w:tab w:val="clear" w:pos="360"/>
          <w:tab w:val="num" w:pos="1440"/>
        </w:tabs>
        <w:ind w:left="1440" w:hanging="360"/>
      </w:pPr>
      <w:r>
        <w:t>Proceeds Of Disposition = $9,500</w:t>
      </w:r>
      <w:r>
        <w:tab/>
      </w:r>
      <w:r>
        <w:rPr>
          <w:u w:val="single"/>
        </w:rPr>
        <w:t>( 9,500)</w:t>
      </w:r>
      <w:r>
        <w:tab/>
        <w:t xml:space="preserve">11,000 </w:t>
      </w:r>
    </w:p>
    <w:p w:rsidR="00B65DB9" w:rsidRDefault="00B65DB9" w:rsidP="00B65DB9">
      <w:pPr>
        <w:pStyle w:val="Space-Half"/>
      </w:pPr>
    </w:p>
    <w:p w:rsidR="00B65DB9" w:rsidRDefault="00B65DB9" w:rsidP="00B65DB9">
      <w:pPr>
        <w:pStyle w:val="2"/>
      </w:pPr>
      <w:r>
        <w:t>One-Half Net Additions [(1/2)($11,000)]</w:t>
      </w:r>
      <w:r>
        <w:tab/>
      </w:r>
      <w:r>
        <w:tab/>
      </w:r>
      <w:proofErr w:type="gramStart"/>
      <w:r>
        <w:t>( 5,500</w:t>
      </w:r>
      <w:proofErr w:type="gramEnd"/>
      <w:r>
        <w:t>)</w:t>
      </w:r>
    </w:p>
    <w:p w:rsidR="00B65DB9" w:rsidRDefault="00B65DB9" w:rsidP="00B65DB9">
      <w:pPr>
        <w:pStyle w:val="2T"/>
      </w:pPr>
      <w:r>
        <w:t>CCA Base</w:t>
      </w:r>
      <w:r>
        <w:tab/>
      </w:r>
      <w:r>
        <w:tab/>
        <w:t xml:space="preserve">$85,300 </w:t>
      </w:r>
    </w:p>
    <w:p w:rsidR="00B65DB9" w:rsidRDefault="00B65DB9" w:rsidP="00B65DB9">
      <w:pPr>
        <w:pStyle w:val="2"/>
      </w:pPr>
      <w:r>
        <w:t>Rate (Class 8)</w:t>
      </w:r>
      <w:r>
        <w:tab/>
      </w:r>
      <w:r>
        <w:tab/>
        <w:t xml:space="preserve">20% </w:t>
      </w:r>
    </w:p>
    <w:p w:rsidR="00B65DB9" w:rsidRDefault="00B65DB9" w:rsidP="00B65DB9">
      <w:pPr>
        <w:pStyle w:val="2T"/>
      </w:pPr>
      <w:r>
        <w:t>Full Year Amount</w:t>
      </w:r>
      <w:r>
        <w:tab/>
      </w:r>
      <w:r>
        <w:tab/>
        <w:t xml:space="preserve">$17,060 </w:t>
      </w:r>
    </w:p>
    <w:p w:rsidR="00B65DB9" w:rsidRDefault="00B65DB9" w:rsidP="00B65DB9">
      <w:pPr>
        <w:pStyle w:val="2"/>
      </w:pPr>
      <w:r>
        <w:t>Proration For Short Fiscal Year</w:t>
      </w:r>
      <w:r>
        <w:tab/>
      </w:r>
      <w:r>
        <w:tab/>
        <w:t xml:space="preserve">243/365 </w:t>
      </w:r>
    </w:p>
    <w:p w:rsidR="00B65DB9" w:rsidRDefault="00B65DB9" w:rsidP="00B65DB9">
      <w:pPr>
        <w:pStyle w:val="2GT"/>
      </w:pPr>
      <w:r>
        <w:t>Class 8 CCA</w:t>
      </w:r>
      <w:r>
        <w:tab/>
      </w:r>
      <w:r>
        <w:tab/>
        <w:t xml:space="preserve">$11,358 </w:t>
      </w:r>
    </w:p>
    <w:p w:rsidR="00B65DB9" w:rsidRDefault="00B65DB9" w:rsidP="00B65DB9">
      <w:pPr>
        <w:pStyle w:val="ABaseStyle"/>
      </w:pPr>
    </w:p>
    <w:p w:rsidR="00B65DB9" w:rsidRDefault="00B65DB9" w:rsidP="00B65DB9">
      <w:pPr>
        <w:pStyle w:val="Body-Indent"/>
      </w:pPr>
      <w:r>
        <w:t>The total CCA for the 8 month period ending August 31, 2014 would be as follows:</w:t>
      </w:r>
    </w:p>
    <w:p w:rsidR="00B65DB9" w:rsidRDefault="00B65DB9" w:rsidP="00B65DB9">
      <w:pPr>
        <w:pStyle w:val="Space-Half"/>
      </w:pPr>
    </w:p>
    <w:p w:rsidR="00B65DB9" w:rsidRDefault="00B65DB9" w:rsidP="00B65DB9">
      <w:pPr>
        <w:pStyle w:val="1"/>
      </w:pPr>
      <w:r>
        <w:t>Class 8 CCA (Preceding Calculation)</w:t>
      </w:r>
      <w:r>
        <w:tab/>
        <w:t xml:space="preserve">$11,358 </w:t>
      </w:r>
    </w:p>
    <w:p w:rsidR="00B65DB9" w:rsidRDefault="00B65DB9" w:rsidP="00B65DB9">
      <w:pPr>
        <w:pStyle w:val="1"/>
      </w:pPr>
      <w:r>
        <w:t>Class 10 CCA  [(30%)($103,400)(243/365)]</w:t>
      </w:r>
      <w:r>
        <w:tab/>
        <w:t xml:space="preserve">20,652 </w:t>
      </w:r>
    </w:p>
    <w:p w:rsidR="00B65DB9" w:rsidRDefault="00B65DB9" w:rsidP="00B65DB9">
      <w:pPr>
        <w:pStyle w:val="1GT"/>
      </w:pPr>
      <w:r>
        <w:t>Total CCA</w:t>
      </w:r>
      <w:r>
        <w:tab/>
        <w:t xml:space="preserve">$32,010 </w:t>
      </w:r>
    </w:p>
    <w:p w:rsidR="001C553E" w:rsidRDefault="001C553E" w:rsidP="00B65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B65DB9" w:rsidRDefault="00B65DB9" w:rsidP="00B65DB9">
      <w:pPr>
        <w:pStyle w:val="Body-Indent"/>
      </w:pPr>
      <w:r>
        <w:rPr>
          <w:b/>
          <w:bCs/>
        </w:rPr>
        <w:t>Note 3</w:t>
      </w:r>
      <w:r>
        <w:t xml:space="preserve"> The net capital loss carry forward deducted is limited to the taxable capital gain of $1,950.  This deduction will leave a net capital loss balance of $4,300 ($6,250 - $1,950).</w:t>
      </w:r>
    </w:p>
    <w:p w:rsidR="00B65DB9" w:rsidRDefault="00B65DB9" w:rsidP="00B65DB9">
      <w:pPr>
        <w:pStyle w:val="ABaseStyle"/>
      </w:pPr>
    </w:p>
    <w:p w:rsidR="00B65DB9" w:rsidRDefault="00B65DB9" w:rsidP="00B65DB9">
      <w:pPr>
        <w:pStyle w:val="ABaseStyle"/>
      </w:pPr>
      <w:r>
        <w:t>The following additional points are relevant to the solution:</w:t>
      </w:r>
    </w:p>
    <w:p w:rsidR="00B65DB9" w:rsidRDefault="00B65DB9" w:rsidP="00B65DB9">
      <w:pPr>
        <w:pStyle w:val="Space-Half"/>
      </w:pPr>
    </w:p>
    <w:p w:rsidR="00B65DB9" w:rsidRDefault="00B65DB9" w:rsidP="00B65DB9">
      <w:pPr>
        <w:pStyle w:val="Bullet-1"/>
      </w:pPr>
      <w:r>
        <w:t>Dividends declared are not deducted in the calculation of either accounting Net Income or Taxable Income.</w:t>
      </w:r>
    </w:p>
    <w:p w:rsidR="00B65DB9" w:rsidRDefault="00B65DB9" w:rsidP="00B65DB9">
      <w:pPr>
        <w:pStyle w:val="Space-Half"/>
      </w:pPr>
    </w:p>
    <w:p w:rsidR="00B65DB9" w:rsidRDefault="00B65DB9" w:rsidP="00B65DB9">
      <w:pPr>
        <w:pStyle w:val="Bullet-1"/>
      </w:pPr>
      <w:r>
        <w:t>The interest expense is fully deductible.</w:t>
      </w:r>
    </w:p>
    <w:p w:rsidR="00B65DB9" w:rsidRDefault="00B65DB9" w:rsidP="00B65DB9">
      <w:pPr>
        <w:pStyle w:val="Space-Half"/>
      </w:pPr>
    </w:p>
    <w:p w:rsidR="00B65DB9" w:rsidRDefault="00B65DB9" w:rsidP="00B65DB9">
      <w:pPr>
        <w:pStyle w:val="Bullet-1"/>
      </w:pPr>
      <w:r>
        <w:t>Where a foreign exchange loss arises in the normal course of business operations, it is fully deductible.</w:t>
      </w:r>
    </w:p>
    <w:p w:rsidR="00B65DB9" w:rsidRDefault="00B65DB9" w:rsidP="00B65DB9">
      <w:pPr>
        <w:pStyle w:val="ABaseStyle"/>
      </w:pPr>
    </w:p>
    <w:p w:rsidR="001C553E" w:rsidRPr="00B65DB9" w:rsidRDefault="001C553E" w:rsidP="00B65D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lang w:val="en-GB"/>
        </w:rPr>
      </w:pPr>
    </w:p>
    <w:p w:rsidR="001C553E" w:rsidRDefault="001C553E">
      <w:pPr>
        <w:rPr>
          <w:rFonts w:ascii="Times New Roman" w:hAnsi="Times New Roman" w:cs="Times New Roman"/>
          <w:color w:val="000000"/>
          <w:sz w:val="20"/>
          <w:szCs w:val="20"/>
        </w:rPr>
      </w:pPr>
    </w:p>
    <w:sectPr w:rsidR="001C55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D0B57"/>
    <w:multiLevelType w:val="hybridMultilevel"/>
    <w:tmpl w:val="66A09410"/>
    <w:lvl w:ilvl="0" w:tplc="F35A4A1A">
      <w:start w:val="1"/>
      <w:numFmt w:val="bullet"/>
      <w:pStyle w:val="2-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12719B"/>
    <w:multiLevelType w:val="hybridMultilevel"/>
    <w:tmpl w:val="6396F198"/>
    <w:lvl w:ilvl="0" w:tplc="D536F5B6">
      <w:numFmt w:val="bullet"/>
      <w:pStyle w:val="Bullet-1"/>
      <w:lvlText w:val=""/>
      <w:lvlJc w:val="left"/>
      <w:pPr>
        <w:tabs>
          <w:tab w:val="num" w:pos="533"/>
        </w:tabs>
        <w:ind w:left="353" w:hanging="1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082"/>
    <w:rsid w:val="000B4A6D"/>
    <w:rsid w:val="001C553E"/>
    <w:rsid w:val="00395C6C"/>
    <w:rsid w:val="004E3082"/>
    <w:rsid w:val="005F4461"/>
    <w:rsid w:val="009E5BAD"/>
    <w:rsid w:val="00B6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aseStyle">
    <w:name w:val="A_Base Style"/>
    <w:link w:val="ABaseStyleChar"/>
    <w:uiPriority w:val="99"/>
    <w:rsid w:val="00B65DB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val="en-GB"/>
    </w:rPr>
  </w:style>
  <w:style w:type="character" w:customStyle="1" w:styleId="ABaseStyleChar">
    <w:name w:val="A_Base Style Char"/>
    <w:basedOn w:val="DefaultParagraphFont"/>
    <w:link w:val="ABaseStyle"/>
    <w:uiPriority w:val="99"/>
    <w:locked/>
    <w:rsid w:val="00B65DB9"/>
    <w:rPr>
      <w:rFonts w:ascii="Times New Roman" w:eastAsia="Times New Roman" w:hAnsi="Times New Roman" w:cs="Times New Roman"/>
      <w:sz w:val="20"/>
      <w:szCs w:val="24"/>
      <w:lang w:val="en-GB"/>
    </w:rPr>
  </w:style>
  <w:style w:type="paragraph" w:customStyle="1" w:styleId="1">
    <w:name w:val="$1"/>
    <w:basedOn w:val="ABaseStyle"/>
    <w:uiPriority w:val="99"/>
    <w:rsid w:val="00B65DB9"/>
    <w:pPr>
      <w:tabs>
        <w:tab w:val="left" w:pos="1440"/>
        <w:tab w:val="decimal" w:pos="6912"/>
      </w:tabs>
      <w:ind w:left="1080" w:right="1008"/>
      <w:jc w:val="left"/>
    </w:pPr>
  </w:style>
  <w:style w:type="paragraph" w:customStyle="1" w:styleId="1GT">
    <w:name w:val="$1GT"/>
    <w:basedOn w:val="Normal"/>
    <w:next w:val="Normal"/>
    <w:uiPriority w:val="99"/>
    <w:rsid w:val="00B65DB9"/>
    <w:pPr>
      <w:pBdr>
        <w:top w:val="single" w:sz="4" w:space="1" w:color="auto"/>
        <w:bottom w:val="double" w:sz="4" w:space="1" w:color="auto"/>
      </w:pBdr>
      <w:tabs>
        <w:tab w:val="left" w:pos="1440"/>
        <w:tab w:val="decimal" w:pos="6912"/>
      </w:tabs>
      <w:spacing w:after="0" w:line="240" w:lineRule="auto"/>
      <w:ind w:left="1080" w:right="1008"/>
    </w:pPr>
    <w:rPr>
      <w:rFonts w:ascii="Times New Roman" w:eastAsia="Times New Roman" w:hAnsi="Times New Roman" w:cs="Times New Roman"/>
      <w:sz w:val="20"/>
      <w:szCs w:val="24"/>
      <w:lang w:val="en-GB"/>
    </w:rPr>
  </w:style>
  <w:style w:type="paragraph" w:customStyle="1" w:styleId="Body-Indent">
    <w:name w:val="Body-Indent"/>
    <w:basedOn w:val="ABaseStyle"/>
    <w:uiPriority w:val="99"/>
    <w:rsid w:val="00B65DB9"/>
    <w:pPr>
      <w:ind w:left="360"/>
    </w:pPr>
  </w:style>
  <w:style w:type="paragraph" w:customStyle="1" w:styleId="Space-Half">
    <w:name w:val="Space-Half"/>
    <w:basedOn w:val="ABaseStyle"/>
    <w:uiPriority w:val="99"/>
    <w:rsid w:val="00B65DB9"/>
    <w:rPr>
      <w:sz w:val="10"/>
      <w:szCs w:val="20"/>
    </w:rPr>
  </w:style>
  <w:style w:type="paragraph" w:customStyle="1" w:styleId="2">
    <w:name w:val="$2"/>
    <w:basedOn w:val="ABaseStyle"/>
    <w:uiPriority w:val="99"/>
    <w:rsid w:val="00B65DB9"/>
    <w:pPr>
      <w:tabs>
        <w:tab w:val="left" w:pos="1080"/>
        <w:tab w:val="decimal" w:pos="5400"/>
        <w:tab w:val="decimal" w:pos="7200"/>
      </w:tabs>
      <w:ind w:left="720" w:right="720"/>
      <w:jc w:val="left"/>
    </w:pPr>
  </w:style>
  <w:style w:type="paragraph" w:customStyle="1" w:styleId="2T">
    <w:name w:val="$2T"/>
    <w:basedOn w:val="2"/>
    <w:next w:val="2"/>
    <w:uiPriority w:val="99"/>
    <w:rsid w:val="00B65DB9"/>
    <w:pPr>
      <w:pBdr>
        <w:top w:val="single" w:sz="4" w:space="1" w:color="auto"/>
      </w:pBdr>
    </w:pPr>
  </w:style>
  <w:style w:type="paragraph" w:customStyle="1" w:styleId="2GT">
    <w:name w:val="$2GT"/>
    <w:basedOn w:val="2T"/>
    <w:next w:val="Normal"/>
    <w:uiPriority w:val="99"/>
    <w:rsid w:val="00B65DB9"/>
    <w:pPr>
      <w:pBdr>
        <w:bottom w:val="double" w:sz="4" w:space="1" w:color="auto"/>
      </w:pBdr>
    </w:pPr>
  </w:style>
  <w:style w:type="paragraph" w:customStyle="1" w:styleId="3">
    <w:name w:val="$3"/>
    <w:basedOn w:val="ABaseStyle"/>
    <w:uiPriority w:val="99"/>
    <w:rsid w:val="00B65DB9"/>
    <w:pPr>
      <w:tabs>
        <w:tab w:val="left" w:pos="720"/>
        <w:tab w:val="decimal" w:pos="4608"/>
        <w:tab w:val="decimal" w:pos="6264"/>
        <w:tab w:val="decimal" w:pos="7920"/>
      </w:tabs>
      <w:ind w:left="360"/>
      <w:jc w:val="left"/>
    </w:pPr>
  </w:style>
  <w:style w:type="paragraph" w:customStyle="1" w:styleId="3T">
    <w:name w:val="$3T"/>
    <w:basedOn w:val="3"/>
    <w:next w:val="3"/>
    <w:uiPriority w:val="99"/>
    <w:rsid w:val="00B65DB9"/>
    <w:pPr>
      <w:pBdr>
        <w:top w:val="single" w:sz="4" w:space="1" w:color="auto"/>
      </w:pBdr>
    </w:pPr>
  </w:style>
  <w:style w:type="paragraph" w:customStyle="1" w:styleId="3GT">
    <w:name w:val="$3GT"/>
    <w:basedOn w:val="3"/>
    <w:next w:val="Normal"/>
    <w:uiPriority w:val="99"/>
    <w:rsid w:val="00B65DB9"/>
    <w:pPr>
      <w:pBdr>
        <w:top w:val="single" w:sz="4" w:space="1" w:color="auto"/>
        <w:bottom w:val="double" w:sz="4" w:space="1" w:color="auto"/>
      </w:pBdr>
    </w:pPr>
  </w:style>
  <w:style w:type="paragraph" w:customStyle="1" w:styleId="2-Bullet">
    <w:name w:val="$2-Bullet"/>
    <w:basedOn w:val="2"/>
    <w:next w:val="2"/>
    <w:uiPriority w:val="99"/>
    <w:rsid w:val="00B65DB9"/>
    <w:pPr>
      <w:numPr>
        <w:numId w:val="1"/>
      </w:numPr>
      <w:tabs>
        <w:tab w:val="clear" w:pos="1440"/>
        <w:tab w:val="num" w:pos="360"/>
      </w:tabs>
      <w:ind w:left="720" w:firstLine="0"/>
    </w:pPr>
  </w:style>
  <w:style w:type="paragraph" w:customStyle="1" w:styleId="Bullet-1">
    <w:name w:val="Bullet-1"/>
    <w:basedOn w:val="ABaseStyle"/>
    <w:uiPriority w:val="99"/>
    <w:rsid w:val="00B65DB9"/>
    <w:pPr>
      <w:numPr>
        <w:numId w:val="2"/>
      </w:numPr>
      <w:tabs>
        <w:tab w:val="clear" w:pos="533"/>
      </w:tabs>
      <w:ind w:left="360" w:hanging="187"/>
    </w:pPr>
    <w:rPr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aseStyle">
    <w:name w:val="A_Base Style"/>
    <w:link w:val="ABaseStyleChar"/>
    <w:uiPriority w:val="99"/>
    <w:rsid w:val="00B65DB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val="en-GB"/>
    </w:rPr>
  </w:style>
  <w:style w:type="character" w:customStyle="1" w:styleId="ABaseStyleChar">
    <w:name w:val="A_Base Style Char"/>
    <w:basedOn w:val="DefaultParagraphFont"/>
    <w:link w:val="ABaseStyle"/>
    <w:uiPriority w:val="99"/>
    <w:locked/>
    <w:rsid w:val="00B65DB9"/>
    <w:rPr>
      <w:rFonts w:ascii="Times New Roman" w:eastAsia="Times New Roman" w:hAnsi="Times New Roman" w:cs="Times New Roman"/>
      <w:sz w:val="20"/>
      <w:szCs w:val="24"/>
      <w:lang w:val="en-GB"/>
    </w:rPr>
  </w:style>
  <w:style w:type="paragraph" w:customStyle="1" w:styleId="1">
    <w:name w:val="$1"/>
    <w:basedOn w:val="ABaseStyle"/>
    <w:uiPriority w:val="99"/>
    <w:rsid w:val="00B65DB9"/>
    <w:pPr>
      <w:tabs>
        <w:tab w:val="left" w:pos="1440"/>
        <w:tab w:val="decimal" w:pos="6912"/>
      </w:tabs>
      <w:ind w:left="1080" w:right="1008"/>
      <w:jc w:val="left"/>
    </w:pPr>
  </w:style>
  <w:style w:type="paragraph" w:customStyle="1" w:styleId="1GT">
    <w:name w:val="$1GT"/>
    <w:basedOn w:val="Normal"/>
    <w:next w:val="Normal"/>
    <w:uiPriority w:val="99"/>
    <w:rsid w:val="00B65DB9"/>
    <w:pPr>
      <w:pBdr>
        <w:top w:val="single" w:sz="4" w:space="1" w:color="auto"/>
        <w:bottom w:val="double" w:sz="4" w:space="1" w:color="auto"/>
      </w:pBdr>
      <w:tabs>
        <w:tab w:val="left" w:pos="1440"/>
        <w:tab w:val="decimal" w:pos="6912"/>
      </w:tabs>
      <w:spacing w:after="0" w:line="240" w:lineRule="auto"/>
      <w:ind w:left="1080" w:right="1008"/>
    </w:pPr>
    <w:rPr>
      <w:rFonts w:ascii="Times New Roman" w:eastAsia="Times New Roman" w:hAnsi="Times New Roman" w:cs="Times New Roman"/>
      <w:sz w:val="20"/>
      <w:szCs w:val="24"/>
      <w:lang w:val="en-GB"/>
    </w:rPr>
  </w:style>
  <w:style w:type="paragraph" w:customStyle="1" w:styleId="Body-Indent">
    <w:name w:val="Body-Indent"/>
    <w:basedOn w:val="ABaseStyle"/>
    <w:uiPriority w:val="99"/>
    <w:rsid w:val="00B65DB9"/>
    <w:pPr>
      <w:ind w:left="360"/>
    </w:pPr>
  </w:style>
  <w:style w:type="paragraph" w:customStyle="1" w:styleId="Space-Half">
    <w:name w:val="Space-Half"/>
    <w:basedOn w:val="ABaseStyle"/>
    <w:uiPriority w:val="99"/>
    <w:rsid w:val="00B65DB9"/>
    <w:rPr>
      <w:sz w:val="10"/>
      <w:szCs w:val="20"/>
    </w:rPr>
  </w:style>
  <w:style w:type="paragraph" w:customStyle="1" w:styleId="2">
    <w:name w:val="$2"/>
    <w:basedOn w:val="ABaseStyle"/>
    <w:uiPriority w:val="99"/>
    <w:rsid w:val="00B65DB9"/>
    <w:pPr>
      <w:tabs>
        <w:tab w:val="left" w:pos="1080"/>
        <w:tab w:val="decimal" w:pos="5400"/>
        <w:tab w:val="decimal" w:pos="7200"/>
      </w:tabs>
      <w:ind w:left="720" w:right="720"/>
      <w:jc w:val="left"/>
    </w:pPr>
  </w:style>
  <w:style w:type="paragraph" w:customStyle="1" w:styleId="2T">
    <w:name w:val="$2T"/>
    <w:basedOn w:val="2"/>
    <w:next w:val="2"/>
    <w:uiPriority w:val="99"/>
    <w:rsid w:val="00B65DB9"/>
    <w:pPr>
      <w:pBdr>
        <w:top w:val="single" w:sz="4" w:space="1" w:color="auto"/>
      </w:pBdr>
    </w:pPr>
  </w:style>
  <w:style w:type="paragraph" w:customStyle="1" w:styleId="2GT">
    <w:name w:val="$2GT"/>
    <w:basedOn w:val="2T"/>
    <w:next w:val="Normal"/>
    <w:uiPriority w:val="99"/>
    <w:rsid w:val="00B65DB9"/>
    <w:pPr>
      <w:pBdr>
        <w:bottom w:val="double" w:sz="4" w:space="1" w:color="auto"/>
      </w:pBdr>
    </w:pPr>
  </w:style>
  <w:style w:type="paragraph" w:customStyle="1" w:styleId="3">
    <w:name w:val="$3"/>
    <w:basedOn w:val="ABaseStyle"/>
    <w:uiPriority w:val="99"/>
    <w:rsid w:val="00B65DB9"/>
    <w:pPr>
      <w:tabs>
        <w:tab w:val="left" w:pos="720"/>
        <w:tab w:val="decimal" w:pos="4608"/>
        <w:tab w:val="decimal" w:pos="6264"/>
        <w:tab w:val="decimal" w:pos="7920"/>
      </w:tabs>
      <w:ind w:left="360"/>
      <w:jc w:val="left"/>
    </w:pPr>
  </w:style>
  <w:style w:type="paragraph" w:customStyle="1" w:styleId="3T">
    <w:name w:val="$3T"/>
    <w:basedOn w:val="3"/>
    <w:next w:val="3"/>
    <w:uiPriority w:val="99"/>
    <w:rsid w:val="00B65DB9"/>
    <w:pPr>
      <w:pBdr>
        <w:top w:val="single" w:sz="4" w:space="1" w:color="auto"/>
      </w:pBdr>
    </w:pPr>
  </w:style>
  <w:style w:type="paragraph" w:customStyle="1" w:styleId="3GT">
    <w:name w:val="$3GT"/>
    <w:basedOn w:val="3"/>
    <w:next w:val="Normal"/>
    <w:uiPriority w:val="99"/>
    <w:rsid w:val="00B65DB9"/>
    <w:pPr>
      <w:pBdr>
        <w:top w:val="single" w:sz="4" w:space="1" w:color="auto"/>
        <w:bottom w:val="double" w:sz="4" w:space="1" w:color="auto"/>
      </w:pBdr>
    </w:pPr>
  </w:style>
  <w:style w:type="paragraph" w:customStyle="1" w:styleId="2-Bullet">
    <w:name w:val="$2-Bullet"/>
    <w:basedOn w:val="2"/>
    <w:next w:val="2"/>
    <w:uiPriority w:val="99"/>
    <w:rsid w:val="00B65DB9"/>
    <w:pPr>
      <w:numPr>
        <w:numId w:val="1"/>
      </w:numPr>
      <w:tabs>
        <w:tab w:val="clear" w:pos="1440"/>
        <w:tab w:val="num" w:pos="360"/>
      </w:tabs>
      <w:ind w:left="720" w:firstLine="0"/>
    </w:pPr>
  </w:style>
  <w:style w:type="paragraph" w:customStyle="1" w:styleId="Bullet-1">
    <w:name w:val="Bullet-1"/>
    <w:basedOn w:val="ABaseStyle"/>
    <w:uiPriority w:val="99"/>
    <w:rsid w:val="00B65DB9"/>
    <w:pPr>
      <w:numPr>
        <w:numId w:val="2"/>
      </w:numPr>
      <w:tabs>
        <w:tab w:val="clear" w:pos="533"/>
      </w:tabs>
      <w:ind w:left="360" w:hanging="187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1872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mcadieux</dc:creator>
  <cp:lastModifiedBy>Simon</cp:lastModifiedBy>
  <cp:revision>2</cp:revision>
  <dcterms:created xsi:type="dcterms:W3CDTF">2015-01-28T21:18:00Z</dcterms:created>
  <dcterms:modified xsi:type="dcterms:W3CDTF">2015-01-28T21:18:00Z</dcterms:modified>
</cp:coreProperties>
</file>