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12E" w:rsidRPr="00A70721" w:rsidRDefault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HR Exam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  <w:r w:rsidRPr="00A70721">
        <w:rPr>
          <w:rFonts w:ascii="Times" w:hAnsi="Times"/>
          <w:b/>
          <w:lang w:val="fr-CA"/>
        </w:rPr>
        <w:t>Chapitre 1 : Miser sur la gestion des ressources humaines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1.2 : La gestion des ressources humaines comme source de valeur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ajoutée</w:t>
      </w:r>
      <w:proofErr w:type="gramEnd"/>
      <w:r w:rsidRPr="00A70721">
        <w:rPr>
          <w:rFonts w:ascii="Times" w:hAnsi="Times"/>
          <w:lang w:val="fr-CA"/>
        </w:rPr>
        <w:t xml:space="preserve"> et l’encadré 1.2 p. 14-15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1.5, 1.5.1 Le manuel de l’employé et les politiques de gestion des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ressources</w:t>
      </w:r>
      <w:proofErr w:type="gramEnd"/>
      <w:r w:rsidRPr="00A70721">
        <w:rPr>
          <w:rFonts w:ascii="Times" w:hAnsi="Times"/>
          <w:lang w:val="fr-CA"/>
        </w:rPr>
        <w:t xml:space="preserve"> humaines; Tableau 1.2 p. 24-25</w:t>
      </w: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  <w:r w:rsidRPr="00A70721">
        <w:rPr>
          <w:rFonts w:ascii="Times" w:hAnsi="Times"/>
          <w:b/>
          <w:lang w:val="fr-CA"/>
        </w:rPr>
        <w:t>Chapitre 2 : La planification des ressources humaines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2.1.4 : L’adaptation à la &lt;guerre des talents&gt; : p. 54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2.3 et 2.3.1 : Les solutions à mettre en place pour éviter les écueils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et</w:t>
      </w:r>
      <w:proofErr w:type="gramEnd"/>
      <w:r w:rsidRPr="00A70721">
        <w:rPr>
          <w:rFonts w:ascii="Times" w:hAnsi="Times"/>
          <w:lang w:val="fr-CA"/>
        </w:rPr>
        <w:t xml:space="preserve"> le Tableau 2.2 les solutions aux déséquilibres anticipés en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  <w:bookmarkStart w:id="0" w:name="_GoBack"/>
      <w:bookmarkEnd w:id="0"/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matière</w:t>
      </w:r>
      <w:proofErr w:type="gramEnd"/>
      <w:r w:rsidRPr="00A70721">
        <w:rPr>
          <w:rFonts w:ascii="Times" w:hAnsi="Times"/>
          <w:lang w:val="fr-CA"/>
        </w:rPr>
        <w:t xml:space="preserve"> de personnel ; p. 67- 69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2.1.6 L’adaptation à la génération Y et regard sur la pratique p. 55-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2.1.7 : L’adaptation à la diversité de la main-d’œuvre p. 56-57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2.2.2 : La prévision de la disponibilité des ressources humaines p.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61-66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2.3.2 : Les solutions à une pénurie qualitative des ressources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humaines</w:t>
      </w:r>
      <w:proofErr w:type="gramEnd"/>
      <w:r w:rsidRPr="00A70721">
        <w:rPr>
          <w:rFonts w:ascii="Times" w:hAnsi="Times"/>
          <w:lang w:val="fr-CA"/>
        </w:rPr>
        <w:t xml:space="preserve"> p. 71-72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Les conditions de succès de la planification des ressources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humaines</w:t>
      </w:r>
      <w:proofErr w:type="gramEnd"/>
      <w:r w:rsidRPr="00A70721">
        <w:rPr>
          <w:rFonts w:ascii="Times" w:hAnsi="Times"/>
          <w:lang w:val="fr-CA"/>
        </w:rPr>
        <w:t xml:space="preserve"> p. 78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  <w:r w:rsidRPr="00A70721">
        <w:rPr>
          <w:rFonts w:ascii="Times" w:hAnsi="Times"/>
          <w:b/>
          <w:lang w:val="fr-CA"/>
        </w:rPr>
        <w:t>Chapitre 3 : Organiser le travail et gérer le changement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3.1 : les modes d’organisation du travail p. 89—91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3.2.1 : Élargir sa vision de l’harmonisation travail-vie personnelle p.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100-106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3.2.2 : Le temps d’organisation de travail p. 101-103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3.4.2 : La conduite du changement p. 108-111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  <w:r w:rsidRPr="00A70721">
        <w:rPr>
          <w:rFonts w:ascii="Times" w:hAnsi="Times"/>
          <w:b/>
          <w:lang w:val="fr-CA"/>
        </w:rPr>
        <w:t>Chapitre 4 : le recrutement, la sélection et l’accueil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Définitions : p. 121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4.1 : Le positionnement de l’employeur p. 123-125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4.1.1 : La marque de l’employeur : p. 125-126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4.2 : La détermination des critères de sélection;  4.2.1 : L’analyse de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l’emploi</w:t>
      </w:r>
      <w:proofErr w:type="gramEnd"/>
      <w:r w:rsidRPr="00A70721">
        <w:rPr>
          <w:rFonts w:ascii="Times" w:hAnsi="Times"/>
          <w:lang w:val="fr-CA"/>
        </w:rPr>
        <w:t xml:space="preserve"> p. 128-130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4.2.4 : Les critères de sélection  p. 133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4.3.1 et 4.3.2 et le tableau 4.5 : Le recrutement interne et le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recrutement</w:t>
      </w:r>
      <w:proofErr w:type="gramEnd"/>
      <w:r w:rsidRPr="00A70721">
        <w:rPr>
          <w:rFonts w:ascii="Times" w:hAnsi="Times"/>
          <w:lang w:val="fr-CA"/>
        </w:rPr>
        <w:t xml:space="preserve"> externe p. 135-140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4.4 La sélection p. 141-143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4.4.2 : L’entrevue de sélection; le tableau 4.7 la distinction entre les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questions</w:t>
      </w:r>
      <w:proofErr w:type="gramEnd"/>
      <w:r w:rsidRPr="00A70721">
        <w:rPr>
          <w:rFonts w:ascii="Times" w:hAnsi="Times"/>
          <w:lang w:val="fr-CA"/>
        </w:rPr>
        <w:t xml:space="preserve"> comportementales et les questions de mise en situation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p. 144- 145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4.5.2 : Le programme d’accueil p. 152-154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4.3 : Le recrutement et 4.3.1 : le recrutement interne et le Tableau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4.4.2 L’entrevue de sélection p. 144-145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4.5 : Les avantages du recrutement interne et externe p. 134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Les conditions de succès du recrutement, de la sélection et de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l’accueil</w:t>
      </w:r>
      <w:proofErr w:type="gramEnd"/>
      <w:r w:rsidRPr="00A70721">
        <w:rPr>
          <w:rFonts w:ascii="Times" w:hAnsi="Times"/>
          <w:lang w:val="fr-CA"/>
        </w:rPr>
        <w:t xml:space="preserve"> p. 155-156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  <w:r w:rsidRPr="00A70721">
        <w:rPr>
          <w:rFonts w:ascii="Times" w:hAnsi="Times"/>
          <w:b/>
          <w:lang w:val="fr-CA"/>
        </w:rPr>
        <w:t xml:space="preserve">Chapitre 5 : La formation et le développement des </w:t>
      </w: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  <w:proofErr w:type="gramStart"/>
      <w:r w:rsidRPr="00A70721">
        <w:rPr>
          <w:rFonts w:ascii="Times" w:hAnsi="Times"/>
          <w:b/>
          <w:lang w:val="fr-CA"/>
        </w:rPr>
        <w:t>compétences</w:t>
      </w:r>
      <w:proofErr w:type="gramEnd"/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5.2.4 : Le coaching et le mentorat p. 178-179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  <w:r w:rsidRPr="00A70721">
        <w:rPr>
          <w:rFonts w:ascii="Times" w:hAnsi="Times"/>
          <w:b/>
          <w:lang w:val="fr-CA"/>
        </w:rPr>
        <w:t xml:space="preserve">Chapitre 6 : Gérer la performance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Le partage des responsabilités en matière de gestion de la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performance</w:t>
      </w:r>
      <w:proofErr w:type="gramEnd"/>
      <w:r w:rsidRPr="00A70721">
        <w:rPr>
          <w:rFonts w:ascii="Times" w:hAnsi="Times"/>
          <w:lang w:val="fr-CA"/>
        </w:rPr>
        <w:t xml:space="preserve"> p. 196-197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6.2 : Le suivi et le coaching de la performance de l’équipe et des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personnes</w:t>
      </w:r>
      <w:proofErr w:type="gramEnd"/>
      <w:r w:rsidRPr="00A70721">
        <w:rPr>
          <w:rFonts w:ascii="Times" w:hAnsi="Times"/>
          <w:lang w:val="fr-CA"/>
        </w:rPr>
        <w:t xml:space="preserve"> p. 198-200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6.3.1 : Les formulaires d’évaluation de la performance individuelle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et</w:t>
      </w:r>
      <w:proofErr w:type="gramEnd"/>
      <w:r w:rsidRPr="00A70721">
        <w:rPr>
          <w:rFonts w:ascii="Times" w:hAnsi="Times"/>
          <w:lang w:val="fr-CA"/>
        </w:rPr>
        <w:t xml:space="preserve"> La théorie de la justice organisationnelle p. 202-204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6.3.2 : Les critères d’évaluation de la performance  individuelle p.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204-207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6.5.2 : L’approche disciplinaire dans le cas de la sous-performance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p. 222-226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Encadré 6.8 : Les erreurs ou les biais dans l’évaluation de la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performance</w:t>
      </w:r>
      <w:proofErr w:type="gramEnd"/>
      <w:r w:rsidRPr="00A70721">
        <w:rPr>
          <w:rFonts w:ascii="Times" w:hAnsi="Times"/>
          <w:lang w:val="fr-CA"/>
        </w:rPr>
        <w:t xml:space="preserve"> p. 216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  <w:r w:rsidRPr="00A70721">
        <w:rPr>
          <w:rFonts w:ascii="Times" w:hAnsi="Times"/>
          <w:b/>
          <w:lang w:val="fr-CA"/>
        </w:rPr>
        <w:t>Chapitre 7 : La gestion des carrières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L’importance de gérer les carrières p. 237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  <w:r w:rsidRPr="00A70721">
        <w:rPr>
          <w:rFonts w:ascii="Times" w:hAnsi="Times"/>
          <w:b/>
          <w:lang w:val="fr-CA"/>
        </w:rPr>
        <w:t>Chapitre 8 : Gérer la rémunération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8.3 : Les principes d’équité  inhérents à la gestion d’une structure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salariale</w:t>
      </w:r>
      <w:proofErr w:type="gramEnd"/>
      <w:r w:rsidRPr="00A70721">
        <w:rPr>
          <w:rFonts w:ascii="Times" w:hAnsi="Times"/>
          <w:lang w:val="fr-CA"/>
        </w:rPr>
        <w:t xml:space="preserve"> et 8.3.1 Les respect de l’équité externe par des enquêtes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de</w:t>
      </w:r>
      <w:proofErr w:type="gramEnd"/>
      <w:r w:rsidRPr="00A70721">
        <w:rPr>
          <w:rFonts w:ascii="Times" w:hAnsi="Times"/>
          <w:lang w:val="fr-CA"/>
        </w:rPr>
        <w:t xml:space="preserve"> rémunération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8.3.2 : Le respect de l’équité interne par des évaluations d’emplois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conformes</w:t>
      </w:r>
      <w:proofErr w:type="gramEnd"/>
      <w:r w:rsidRPr="00A70721">
        <w:rPr>
          <w:rFonts w:ascii="Times" w:hAnsi="Times"/>
          <w:lang w:val="fr-CA"/>
        </w:rPr>
        <w:t xml:space="preserve"> à la Loi sur l’équité salariale : p. 268-271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8.3.3Le respect de l’équité individuelle par la gestion des échelles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de</w:t>
      </w:r>
      <w:proofErr w:type="gramEnd"/>
      <w:r w:rsidRPr="00A70721">
        <w:rPr>
          <w:rFonts w:ascii="Times" w:hAnsi="Times"/>
          <w:lang w:val="fr-CA"/>
        </w:rPr>
        <w:t xml:space="preserve"> salaire p. 272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  <w:r w:rsidRPr="00A70721">
        <w:rPr>
          <w:rFonts w:ascii="Times" w:hAnsi="Times"/>
          <w:b/>
          <w:lang w:val="fr-CA"/>
        </w:rPr>
        <w:t>Chapitre 9 : Les relations de travail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Définitions et </w:t>
      </w:r>
      <w:proofErr w:type="gramStart"/>
      <w:r w:rsidRPr="00A70721">
        <w:rPr>
          <w:rFonts w:ascii="Times" w:hAnsi="Times"/>
          <w:lang w:val="fr-CA"/>
        </w:rPr>
        <w:t>L’importances</w:t>
      </w:r>
      <w:proofErr w:type="gramEnd"/>
      <w:r w:rsidRPr="00A70721">
        <w:rPr>
          <w:rFonts w:ascii="Times" w:hAnsi="Times"/>
          <w:lang w:val="fr-CA"/>
        </w:rPr>
        <w:t xml:space="preserve"> de gérer les relations de travail p. 303-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305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9.1- Le syndicat et son fonctionnement; 9.2 - La démarche de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syndicalisation</w:t>
      </w:r>
      <w:proofErr w:type="gramEnd"/>
      <w:r w:rsidRPr="00A70721">
        <w:rPr>
          <w:rFonts w:ascii="Times" w:hAnsi="Times"/>
          <w:lang w:val="fr-CA"/>
        </w:rPr>
        <w:t xml:space="preserve"> et 9.2.1   Les motifs poussant à la syndicalisation;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9.2.2 - L’accréditation des associations de salariés p. 307-313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9.3 : La négociation collective p. 314-317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9.3.3 Les arrêts de travail  p. 319-322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Tableau 9.4 les principales clauses des conventions collectives p.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327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9.4.3 : Les clauses de la convention collective p. 328-330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9.5, la résolution des litiges relatifs;  p. 330-331, 9.5.1, La procédure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interne</w:t>
      </w:r>
      <w:proofErr w:type="gramEnd"/>
      <w:r w:rsidRPr="00A70721">
        <w:rPr>
          <w:rFonts w:ascii="Times" w:hAnsi="Times"/>
          <w:lang w:val="fr-CA"/>
        </w:rPr>
        <w:t xml:space="preserve"> de règlement des griefs; encadré 9.3 : Les étapes d’une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procédure</w:t>
      </w:r>
      <w:proofErr w:type="gramEnd"/>
      <w:r w:rsidRPr="00A70721">
        <w:rPr>
          <w:rFonts w:ascii="Times" w:hAnsi="Times"/>
          <w:lang w:val="fr-CA"/>
        </w:rPr>
        <w:t xml:space="preserve"> interne de règlement des griefs p. 331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9.5.3 : L’arbitrage des griefs p. 332-334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Les conditions de succès des relations du travail p. 336-337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  <w:r w:rsidRPr="00A70721">
        <w:rPr>
          <w:rFonts w:ascii="Times" w:hAnsi="Times"/>
          <w:b/>
          <w:lang w:val="fr-CA"/>
        </w:rPr>
        <w:t xml:space="preserve">Chapitre 10 : Promouvoir la santé, la sécurité et le mieux </w:t>
      </w: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  <w:r w:rsidRPr="00A70721">
        <w:rPr>
          <w:rFonts w:ascii="Times" w:hAnsi="Times"/>
          <w:b/>
          <w:lang w:val="fr-CA"/>
        </w:rPr>
        <w:t>être au travail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Les </w:t>
      </w:r>
      <w:proofErr w:type="spellStart"/>
      <w:r w:rsidRPr="00A70721">
        <w:rPr>
          <w:rFonts w:ascii="Times" w:hAnsi="Times"/>
          <w:lang w:val="fr-CA"/>
        </w:rPr>
        <w:t>coûts</w:t>
      </w:r>
      <w:proofErr w:type="spellEnd"/>
      <w:r w:rsidRPr="00A70721">
        <w:rPr>
          <w:rFonts w:ascii="Times" w:hAnsi="Times"/>
          <w:lang w:val="fr-CA"/>
        </w:rPr>
        <w:t xml:space="preserve"> reliés au stress en milieu de travail  p. 348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Les </w:t>
      </w:r>
      <w:proofErr w:type="spellStart"/>
      <w:r w:rsidRPr="00A70721">
        <w:rPr>
          <w:rFonts w:ascii="Times" w:hAnsi="Times"/>
          <w:lang w:val="fr-CA"/>
        </w:rPr>
        <w:t>coûts</w:t>
      </w:r>
      <w:proofErr w:type="spellEnd"/>
      <w:r w:rsidRPr="00A70721">
        <w:rPr>
          <w:rFonts w:ascii="Times" w:hAnsi="Times"/>
          <w:lang w:val="fr-CA"/>
        </w:rPr>
        <w:t xml:space="preserve"> directs et indirects de la santé et la sécurité du travail p.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348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Le partage des responsabilités en matière de santé, de sécurité et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de</w:t>
      </w:r>
      <w:proofErr w:type="gramEnd"/>
      <w:r w:rsidRPr="00A70721">
        <w:rPr>
          <w:rFonts w:ascii="Times" w:hAnsi="Times"/>
          <w:lang w:val="fr-CA"/>
        </w:rPr>
        <w:t xml:space="preserve"> mieux-être au travail p. 349-350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10.1 : La gestion de la santé et de la sécurité du travail p. 351-352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10.1.1 : L’identification des risques  p. 353-356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10.2.2 : La promotion de la santé p. 363-371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La gestion du stress et Tableau 10.3 et 10.4 p. 365-366</w:t>
      </w: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  <w:r w:rsidRPr="00A70721">
        <w:rPr>
          <w:rFonts w:ascii="Times" w:hAnsi="Times"/>
          <w:b/>
          <w:lang w:val="fr-CA"/>
        </w:rPr>
        <w:t>Chapitre 11 : La gestion de la diversité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> L’importance de gérer la diversité p. 383-384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11.2 : L’obligation d’accommodement des employeurs et des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syndicats</w:t>
      </w:r>
      <w:proofErr w:type="gramEnd"/>
      <w:r w:rsidRPr="00A70721">
        <w:rPr>
          <w:rFonts w:ascii="Times" w:hAnsi="Times"/>
          <w:lang w:val="fr-CA"/>
        </w:rPr>
        <w:t xml:space="preserve"> p. 386-387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11.5.1 : L’accessibilité du lieu de travail et l’aménagement du poste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de</w:t>
      </w:r>
      <w:proofErr w:type="gramEnd"/>
      <w:r w:rsidRPr="00A70721">
        <w:rPr>
          <w:rFonts w:ascii="Times" w:hAnsi="Times"/>
          <w:lang w:val="fr-CA"/>
        </w:rPr>
        <w:t xml:space="preserve"> travail p. 395-396</w:t>
      </w: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</w:p>
    <w:p w:rsidR="00A70721" w:rsidRPr="00A70721" w:rsidRDefault="00A70721" w:rsidP="00A70721">
      <w:pPr>
        <w:rPr>
          <w:rFonts w:ascii="Times" w:hAnsi="Times"/>
          <w:b/>
          <w:lang w:val="fr-CA"/>
        </w:rPr>
      </w:pPr>
      <w:r w:rsidRPr="00A70721">
        <w:rPr>
          <w:rFonts w:ascii="Times" w:hAnsi="Times"/>
          <w:b/>
          <w:lang w:val="fr-CA"/>
        </w:rPr>
        <w:t>Chapitre 12 : Évaluer la gestion des ressources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r w:rsidRPr="00A70721">
        <w:rPr>
          <w:rFonts w:ascii="Times" w:hAnsi="Times"/>
          <w:lang w:val="fr-CA"/>
        </w:rPr>
        <w:t xml:space="preserve"> L’importance d’évaluer la gestion des ressources humaines et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l’encadré</w:t>
      </w:r>
      <w:proofErr w:type="gramEnd"/>
      <w:r w:rsidRPr="00A70721">
        <w:rPr>
          <w:rFonts w:ascii="Times" w:hAnsi="Times"/>
          <w:lang w:val="fr-CA"/>
        </w:rPr>
        <w:t xml:space="preserve"> L’importance d’évaluer la GRH et le partage des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responsabilités</w:t>
      </w:r>
      <w:proofErr w:type="gramEnd"/>
      <w:r w:rsidRPr="00A70721">
        <w:rPr>
          <w:rFonts w:ascii="Times" w:hAnsi="Times"/>
          <w:lang w:val="fr-CA"/>
        </w:rPr>
        <w:t xml:space="preserve">  et l’encadré Les responsabilités en matière </w:t>
      </w:r>
    </w:p>
    <w:p w:rsidR="00A70721" w:rsidRPr="00A70721" w:rsidRDefault="00A70721" w:rsidP="00A70721">
      <w:pPr>
        <w:rPr>
          <w:rFonts w:ascii="Times" w:hAnsi="Times"/>
          <w:lang w:val="fr-CA"/>
        </w:rPr>
      </w:pPr>
    </w:p>
    <w:p w:rsidR="00A70721" w:rsidRPr="00A70721" w:rsidRDefault="00A70721" w:rsidP="00A70721">
      <w:pPr>
        <w:rPr>
          <w:rFonts w:ascii="Times" w:hAnsi="Times"/>
          <w:lang w:val="fr-CA"/>
        </w:rPr>
      </w:pPr>
      <w:proofErr w:type="gramStart"/>
      <w:r w:rsidRPr="00A70721">
        <w:rPr>
          <w:rFonts w:ascii="Times" w:hAnsi="Times"/>
          <w:lang w:val="fr-CA"/>
        </w:rPr>
        <w:t>d’évaluation</w:t>
      </w:r>
      <w:proofErr w:type="gramEnd"/>
      <w:r w:rsidRPr="00A70721">
        <w:rPr>
          <w:rFonts w:ascii="Times" w:hAnsi="Times"/>
          <w:lang w:val="fr-CA"/>
        </w:rPr>
        <w:t xml:space="preserve"> de la GRH – p. 411-412</w:t>
      </w:r>
    </w:p>
    <w:sectPr w:rsidR="00A70721" w:rsidRPr="00A70721" w:rsidSect="000C012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721"/>
    <w:rsid w:val="000C012E"/>
    <w:rsid w:val="00A7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DA640E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800</Words>
  <Characters>4561</Characters>
  <Application>Microsoft Macintosh Word</Application>
  <DocSecurity>0</DocSecurity>
  <Lines>38</Lines>
  <Paragraphs>10</Paragraphs>
  <ScaleCrop>false</ScaleCrop>
  <Company/>
  <LinksUpToDate>false</LinksUpToDate>
  <CharactersWithSpaces>5351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2015-04-06T15:20:00Z</dcterms:created>
  <dcterms:modified xsi:type="dcterms:W3CDTF">2015-04-06T15:22:00Z</dcterms:modified>
</cp:coreProperties>
</file>