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Default="002926F9" w:rsidP="002926F9">
      <w:pPr>
        <w:jc w:val="center"/>
        <w:rPr>
          <w:b/>
          <w:sz w:val="24"/>
          <w:szCs w:val="24"/>
          <w:lang w:val="en-US"/>
        </w:rPr>
      </w:pPr>
    </w:p>
    <w:p w:rsidR="002926F9" w:rsidRPr="00A7371A" w:rsidRDefault="002926F9" w:rsidP="002926F9">
      <w:pPr>
        <w:jc w:val="center"/>
        <w:rPr>
          <w:sz w:val="24"/>
          <w:szCs w:val="24"/>
          <w:lang w:val="en-US"/>
        </w:rPr>
      </w:pPr>
      <w:r w:rsidRPr="00A7371A">
        <w:rPr>
          <w:sz w:val="24"/>
          <w:szCs w:val="24"/>
          <w:lang w:val="en-US"/>
        </w:rPr>
        <w:t>IFRS versus GAAP</w:t>
      </w:r>
    </w:p>
    <w:p w:rsidR="002926F9" w:rsidRPr="00A7371A" w:rsidRDefault="00891C4C" w:rsidP="002926F9">
      <w:pPr>
        <w:jc w:val="center"/>
        <w:rPr>
          <w:sz w:val="24"/>
          <w:szCs w:val="24"/>
          <w:lang w:val="en-US"/>
        </w:rPr>
      </w:pPr>
      <w:r>
        <w:rPr>
          <w:sz w:val="24"/>
          <w:szCs w:val="24"/>
          <w:lang w:val="en-US"/>
        </w:rPr>
        <w:t>Student Name</w:t>
      </w:r>
      <w:bookmarkStart w:id="0" w:name="_GoBack"/>
      <w:bookmarkEnd w:id="0"/>
    </w:p>
    <w:p w:rsidR="002926F9" w:rsidRPr="00A7371A" w:rsidRDefault="002926F9" w:rsidP="002926F9">
      <w:pPr>
        <w:jc w:val="center"/>
        <w:rPr>
          <w:sz w:val="24"/>
          <w:szCs w:val="24"/>
          <w:lang w:val="en-US"/>
        </w:rPr>
      </w:pPr>
      <w:r w:rsidRPr="00A7371A">
        <w:rPr>
          <w:sz w:val="24"/>
          <w:szCs w:val="24"/>
          <w:lang w:val="en-US"/>
        </w:rPr>
        <w:t>ACC/290</w:t>
      </w:r>
    </w:p>
    <w:p w:rsidR="002926F9" w:rsidRPr="00A7371A" w:rsidRDefault="002926F9" w:rsidP="002926F9">
      <w:pPr>
        <w:jc w:val="center"/>
        <w:rPr>
          <w:sz w:val="24"/>
          <w:szCs w:val="24"/>
          <w:lang w:val="en-US"/>
        </w:rPr>
      </w:pPr>
      <w:r w:rsidRPr="00A7371A">
        <w:rPr>
          <w:sz w:val="24"/>
          <w:szCs w:val="24"/>
          <w:lang w:val="en-US"/>
        </w:rPr>
        <w:t>Due February 09, 2015</w:t>
      </w:r>
    </w:p>
    <w:p w:rsidR="002926F9" w:rsidRPr="00A7371A" w:rsidRDefault="002926F9" w:rsidP="002926F9">
      <w:pPr>
        <w:jc w:val="center"/>
        <w:rPr>
          <w:sz w:val="24"/>
          <w:szCs w:val="24"/>
          <w:lang w:val="en-US"/>
        </w:rPr>
      </w:pPr>
      <w:r w:rsidRPr="00A7371A">
        <w:rPr>
          <w:sz w:val="24"/>
          <w:szCs w:val="24"/>
          <w:lang w:val="en-US"/>
        </w:rPr>
        <w:t>Accounting Principles I</w:t>
      </w:r>
    </w:p>
    <w:p w:rsidR="002926F9" w:rsidRDefault="002926F9">
      <w:pPr>
        <w:rPr>
          <w:b/>
          <w:sz w:val="24"/>
          <w:szCs w:val="24"/>
          <w:lang w:val="en-US"/>
        </w:rPr>
      </w:pPr>
      <w:r>
        <w:rPr>
          <w:b/>
          <w:sz w:val="24"/>
          <w:szCs w:val="24"/>
          <w:lang w:val="en-US"/>
        </w:rPr>
        <w:br w:type="page"/>
      </w:r>
    </w:p>
    <w:p w:rsidR="00DC28ED" w:rsidRPr="000112D3" w:rsidRDefault="002926F9" w:rsidP="000112D3">
      <w:pPr>
        <w:spacing w:line="480" w:lineRule="auto"/>
        <w:ind w:firstLine="720"/>
        <w:jc w:val="center"/>
        <w:rPr>
          <w:b/>
          <w:sz w:val="24"/>
          <w:szCs w:val="24"/>
          <w:lang w:val="en-US"/>
        </w:rPr>
      </w:pPr>
      <w:r>
        <w:rPr>
          <w:b/>
          <w:sz w:val="24"/>
          <w:szCs w:val="24"/>
          <w:lang w:val="en-US"/>
        </w:rPr>
        <w:lastRenderedPageBreak/>
        <w:t>I</w:t>
      </w:r>
      <w:r w:rsidR="00DC28ED" w:rsidRPr="000112D3">
        <w:rPr>
          <w:b/>
          <w:sz w:val="24"/>
          <w:szCs w:val="24"/>
          <w:lang w:val="en-US"/>
        </w:rPr>
        <w:t xml:space="preserve">FRS </w:t>
      </w:r>
      <w:r>
        <w:rPr>
          <w:b/>
          <w:sz w:val="24"/>
          <w:szCs w:val="24"/>
          <w:lang w:val="en-US"/>
        </w:rPr>
        <w:t>versus</w:t>
      </w:r>
      <w:r w:rsidR="00DC28ED" w:rsidRPr="000112D3">
        <w:rPr>
          <w:b/>
          <w:sz w:val="24"/>
          <w:szCs w:val="24"/>
          <w:lang w:val="en-US"/>
        </w:rPr>
        <w:t xml:space="preserve"> GAAP</w:t>
      </w:r>
    </w:p>
    <w:p w:rsidR="00E22507" w:rsidRPr="000112D3" w:rsidRDefault="000A0B42" w:rsidP="000112D3">
      <w:pPr>
        <w:spacing w:line="480" w:lineRule="auto"/>
        <w:ind w:firstLine="720"/>
        <w:jc w:val="center"/>
        <w:rPr>
          <w:b/>
          <w:sz w:val="24"/>
          <w:szCs w:val="24"/>
          <w:lang w:val="en-US"/>
        </w:rPr>
      </w:pPr>
      <w:r w:rsidRPr="000112D3">
        <w:rPr>
          <w:b/>
          <w:sz w:val="24"/>
          <w:szCs w:val="24"/>
          <w:lang w:val="en-US"/>
        </w:rPr>
        <w:t>Introduction</w:t>
      </w:r>
    </w:p>
    <w:p w:rsidR="000A0B42" w:rsidRPr="000112D3" w:rsidRDefault="00F8582E" w:rsidP="000112D3">
      <w:pPr>
        <w:spacing w:line="480" w:lineRule="auto"/>
        <w:ind w:firstLine="720"/>
        <w:rPr>
          <w:rFonts w:cs="Helvetica"/>
          <w:color w:val="111111"/>
          <w:sz w:val="24"/>
          <w:szCs w:val="24"/>
          <w:shd w:val="clear" w:color="auto" w:fill="FFFFFF"/>
          <w:lang w:val="en-US"/>
        </w:rPr>
      </w:pPr>
      <w:r w:rsidRPr="000112D3">
        <w:rPr>
          <w:sz w:val="24"/>
          <w:szCs w:val="24"/>
          <w:lang w:val="en-US"/>
        </w:rPr>
        <w:t>International Financial Reporting Standards (IFRS) is a</w:t>
      </w:r>
      <w:r w:rsidRPr="000112D3">
        <w:rPr>
          <w:rFonts w:cs="Helvetica"/>
          <w:color w:val="111111"/>
          <w:sz w:val="24"/>
          <w:szCs w:val="24"/>
          <w:shd w:val="clear" w:color="auto" w:fill="FFFFFF"/>
          <w:lang w:val="en-US"/>
        </w:rPr>
        <w:t xml:space="preserve"> set of international accounting standards stating how particular types of transactions and other events should be reported in financial statements. IFRS are issued by the International Accounting Standards Board (IASB).</w:t>
      </w:r>
    </w:p>
    <w:p w:rsidR="00F8582E" w:rsidRPr="000112D3" w:rsidRDefault="0030746E" w:rsidP="000112D3">
      <w:pPr>
        <w:spacing w:line="480" w:lineRule="auto"/>
        <w:ind w:firstLine="720"/>
        <w:rPr>
          <w:rFonts w:cs="Helvetica"/>
          <w:color w:val="111111"/>
          <w:sz w:val="24"/>
          <w:szCs w:val="24"/>
          <w:shd w:val="clear" w:color="auto" w:fill="FFFFFF"/>
          <w:lang w:val="en-US"/>
        </w:rPr>
      </w:pPr>
      <w:r w:rsidRPr="000112D3">
        <w:rPr>
          <w:rFonts w:cs="Helvetica"/>
          <w:color w:val="111111"/>
          <w:sz w:val="24"/>
          <w:szCs w:val="24"/>
          <w:shd w:val="clear" w:color="auto" w:fill="FFFFFF"/>
          <w:lang w:val="en-US"/>
        </w:rPr>
        <w:t>Generally Accepted Accounting Principles (GAAP) is common set of accounting principles, standards and procedures that companies use to compile their financial statements. GAAP are a combination of authoritative standards (set by policy boards) and simply the commonly accepted ways of recording and reporting accounting information.</w:t>
      </w:r>
    </w:p>
    <w:p w:rsidR="0030746E" w:rsidRPr="000112D3" w:rsidRDefault="00DC28ED" w:rsidP="000112D3">
      <w:pPr>
        <w:spacing w:line="480" w:lineRule="auto"/>
        <w:ind w:firstLine="720"/>
        <w:rPr>
          <w:sz w:val="24"/>
          <w:szCs w:val="24"/>
          <w:lang w:val="en-US"/>
        </w:rPr>
      </w:pPr>
      <w:r w:rsidRPr="000112D3">
        <w:rPr>
          <w:bCs/>
          <w:sz w:val="24"/>
          <w:szCs w:val="24"/>
          <w:lang w:val="en-US"/>
        </w:rPr>
        <w:t>GAAP</w:t>
      </w:r>
      <w:r w:rsidRPr="000112D3">
        <w:rPr>
          <w:rStyle w:val="apple-converted-space"/>
          <w:color w:val="000000"/>
          <w:sz w:val="24"/>
          <w:szCs w:val="24"/>
          <w:lang w:val="en-US"/>
        </w:rPr>
        <w:t> </w:t>
      </w:r>
      <w:r w:rsidRPr="000112D3">
        <w:rPr>
          <w:sz w:val="24"/>
          <w:szCs w:val="24"/>
          <w:lang w:val="en-US"/>
        </w:rPr>
        <w:t>is the accounting standard used in the US, while</w:t>
      </w:r>
      <w:r w:rsidRPr="000112D3">
        <w:rPr>
          <w:rStyle w:val="apple-converted-space"/>
          <w:color w:val="000000"/>
          <w:sz w:val="24"/>
          <w:szCs w:val="24"/>
          <w:lang w:val="en-US"/>
        </w:rPr>
        <w:t> </w:t>
      </w:r>
      <w:r w:rsidRPr="000112D3">
        <w:rPr>
          <w:bCs/>
          <w:sz w:val="24"/>
          <w:szCs w:val="24"/>
          <w:lang w:val="en-US"/>
        </w:rPr>
        <w:t>IFRS</w:t>
      </w:r>
      <w:r w:rsidRPr="000112D3">
        <w:rPr>
          <w:rStyle w:val="apple-converted-space"/>
          <w:color w:val="000000"/>
          <w:sz w:val="24"/>
          <w:szCs w:val="24"/>
          <w:lang w:val="en-US"/>
        </w:rPr>
        <w:t> </w:t>
      </w:r>
      <w:r w:rsidRPr="000112D3">
        <w:rPr>
          <w:sz w:val="24"/>
          <w:szCs w:val="24"/>
          <w:lang w:val="en-US"/>
        </w:rPr>
        <w:t>is the accounting standard used in over 110 countries around the world. GAAP is considered a more “rules based” system of accounting, while IFRS is more “principles based”. There are some differences between GAAP and IFRS which will be considered in this paper.</w:t>
      </w:r>
    </w:p>
    <w:p w:rsidR="00DC28ED" w:rsidRPr="000112D3" w:rsidRDefault="00DC28ED" w:rsidP="000112D3">
      <w:pPr>
        <w:spacing w:line="480" w:lineRule="auto"/>
        <w:ind w:firstLine="720"/>
        <w:jc w:val="center"/>
        <w:rPr>
          <w:b/>
          <w:sz w:val="24"/>
          <w:szCs w:val="24"/>
          <w:lang w:val="en-US"/>
        </w:rPr>
      </w:pPr>
      <w:r w:rsidRPr="000112D3">
        <w:rPr>
          <w:b/>
          <w:sz w:val="24"/>
          <w:szCs w:val="24"/>
          <w:lang w:val="en-US"/>
        </w:rPr>
        <w:t>Differences in format of a statement</w:t>
      </w:r>
    </w:p>
    <w:p w:rsidR="00DC28ED" w:rsidRPr="000112D3" w:rsidRDefault="00F23451" w:rsidP="000112D3">
      <w:pPr>
        <w:spacing w:line="480" w:lineRule="auto"/>
        <w:ind w:firstLine="720"/>
        <w:rPr>
          <w:sz w:val="24"/>
          <w:szCs w:val="24"/>
          <w:lang w:val="en-US"/>
        </w:rPr>
      </w:pPr>
      <w:r w:rsidRPr="000112D3">
        <w:rPr>
          <w:sz w:val="24"/>
          <w:szCs w:val="24"/>
          <w:lang w:val="en-US"/>
        </w:rPr>
        <w:t>IFRS does not require a specific order or classification of accounts on the statement of financial position. It is loosely recommended that companies report assets in reverse order of liquidity. The main goal is to give users of financial statements a clear understanding of the company’s assets structure. After assets, shareholder equity is reported, followed by liabilities at the end. An example of the order of accounts on the statement of financial position is as follows: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long term assets (i.e. property, plant, equipment, land);</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current assets (i.e. inventory, cash, marketable, securities);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lastRenderedPageBreak/>
        <w:t>shareholder equity (i.e. share capital ordinary);</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long term liabilities (i.e. notes payable);</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current liabilities (i.e. accounts payable).</w:t>
      </w:r>
    </w:p>
    <w:p w:rsidR="00F23451" w:rsidRPr="000112D3" w:rsidRDefault="00F23451" w:rsidP="000112D3">
      <w:pPr>
        <w:spacing w:line="480" w:lineRule="auto"/>
        <w:ind w:firstLine="720"/>
        <w:rPr>
          <w:sz w:val="24"/>
          <w:szCs w:val="24"/>
          <w:lang w:val="en-US"/>
        </w:rPr>
      </w:pPr>
      <w:r w:rsidRPr="000112D3">
        <w:rPr>
          <w:sz w:val="24"/>
          <w:szCs w:val="24"/>
          <w:lang w:val="en-US"/>
        </w:rPr>
        <w:t>GAAP has a specific requirement that all accounts are ranked on their measure liquidity, which means that highly liquid assets such as cash will be ordered first. Another difference is that shareholder equity is reported very last on the balance sheet.</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Current assets;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Long term assets;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Current liabilities;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Long term liabilities;</w:t>
      </w:r>
    </w:p>
    <w:p w:rsidR="00F23451" w:rsidRPr="000112D3" w:rsidRDefault="00F23451" w:rsidP="000112D3">
      <w:pPr>
        <w:pStyle w:val="a3"/>
        <w:numPr>
          <w:ilvl w:val="0"/>
          <w:numId w:val="1"/>
        </w:numPr>
        <w:spacing w:line="480" w:lineRule="auto"/>
        <w:ind w:firstLine="720"/>
        <w:rPr>
          <w:sz w:val="24"/>
          <w:szCs w:val="24"/>
          <w:lang w:val="en-US"/>
        </w:rPr>
      </w:pPr>
      <w:r w:rsidRPr="000112D3">
        <w:rPr>
          <w:sz w:val="24"/>
          <w:szCs w:val="24"/>
          <w:lang w:val="en-US"/>
        </w:rPr>
        <w:t>Shareholder equity.</w:t>
      </w:r>
    </w:p>
    <w:p w:rsidR="00F23451" w:rsidRPr="000112D3" w:rsidRDefault="00940A0F" w:rsidP="000112D3">
      <w:pPr>
        <w:spacing w:line="480" w:lineRule="auto"/>
        <w:ind w:firstLine="720"/>
        <w:jc w:val="center"/>
        <w:rPr>
          <w:b/>
          <w:sz w:val="24"/>
          <w:szCs w:val="24"/>
          <w:lang w:val="en-US"/>
        </w:rPr>
      </w:pPr>
      <w:r w:rsidRPr="000112D3">
        <w:rPr>
          <w:b/>
          <w:sz w:val="24"/>
          <w:szCs w:val="24"/>
          <w:lang w:val="en-US"/>
        </w:rPr>
        <w:t>Differences in financial reporting</w:t>
      </w:r>
    </w:p>
    <w:p w:rsidR="00940A0F" w:rsidRPr="000112D3" w:rsidRDefault="00A362C3" w:rsidP="000112D3">
      <w:pPr>
        <w:spacing w:line="480" w:lineRule="auto"/>
        <w:ind w:firstLine="720"/>
        <w:rPr>
          <w:sz w:val="24"/>
          <w:szCs w:val="24"/>
          <w:lang w:val="en-US"/>
        </w:rPr>
      </w:pPr>
      <w:r w:rsidRPr="000112D3">
        <w:rPr>
          <w:sz w:val="24"/>
          <w:szCs w:val="24"/>
          <w:lang w:val="en-US"/>
        </w:rPr>
        <w:t xml:space="preserve">Both IFRS and GAAP take the same general position in regards to objectivity in financial reporting. </w:t>
      </w:r>
      <w:r w:rsidR="00E1646E" w:rsidRPr="000112D3">
        <w:rPr>
          <w:sz w:val="24"/>
          <w:szCs w:val="24"/>
          <w:lang w:val="en-US"/>
        </w:rPr>
        <w:t>The two main positions the governing bodies share are relevancy and faithful representation of information. Organizations that provide relevant data will include any material financial data that would be important for the users of financial statements. Faithfully represented data is produced with conservative standards and consistently follows industry standards. The main difference is that IFRS puts a special focus on maintaining relevancy between multiple independent counties, while GAAP is mainly concerned the U.S business environment.</w:t>
      </w:r>
    </w:p>
    <w:p w:rsidR="00E1646E" w:rsidRPr="000112D3" w:rsidRDefault="00391202" w:rsidP="000112D3">
      <w:pPr>
        <w:spacing w:line="480" w:lineRule="auto"/>
        <w:ind w:firstLine="720"/>
        <w:jc w:val="center"/>
        <w:rPr>
          <w:b/>
          <w:sz w:val="24"/>
          <w:szCs w:val="24"/>
          <w:lang w:val="en-US"/>
        </w:rPr>
      </w:pPr>
      <w:r w:rsidRPr="000112D3">
        <w:rPr>
          <w:b/>
          <w:sz w:val="24"/>
          <w:szCs w:val="24"/>
          <w:lang w:val="en-US"/>
        </w:rPr>
        <w:t>Differences in terms</w:t>
      </w:r>
    </w:p>
    <w:p w:rsidR="00391202" w:rsidRPr="000112D3" w:rsidRDefault="003D7065" w:rsidP="000112D3">
      <w:pPr>
        <w:spacing w:line="480" w:lineRule="auto"/>
        <w:ind w:firstLine="720"/>
        <w:rPr>
          <w:sz w:val="24"/>
          <w:szCs w:val="24"/>
          <w:lang w:val="en-US"/>
        </w:rPr>
      </w:pPr>
      <w:r w:rsidRPr="000112D3">
        <w:rPr>
          <w:sz w:val="24"/>
          <w:szCs w:val="24"/>
          <w:lang w:val="en-US"/>
        </w:rPr>
        <w:lastRenderedPageBreak/>
        <w:t>The statement of financial position under IFRS is synonymous with the Balance Sheet. Although they are formatted slightly different, they are designed to show to comparison of assets to liabilities and equity. IFRS chose to use the term of “financial position” because it is more descriptive of the statement’s actual purpose.</w:t>
      </w:r>
    </w:p>
    <w:p w:rsidR="003D7065" w:rsidRPr="000112D3" w:rsidRDefault="003D7065" w:rsidP="000112D3">
      <w:pPr>
        <w:spacing w:line="480" w:lineRule="auto"/>
        <w:ind w:firstLine="720"/>
        <w:rPr>
          <w:sz w:val="24"/>
          <w:szCs w:val="24"/>
          <w:lang w:val="en-US"/>
        </w:rPr>
      </w:pPr>
      <w:r w:rsidRPr="000112D3">
        <w:rPr>
          <w:sz w:val="24"/>
          <w:szCs w:val="24"/>
          <w:lang w:val="en-US"/>
        </w:rPr>
        <w:t>Rather than use the term “common stock” IFRS uses the term “share capital ordinary” to describe common ownership stakes. This term is identical to common stock, which refers to the value if equity that has been acquired by owners in exchange for cash. The term share capital ordinary is more commonly used in the European Union (EU), thus it was chosen as the norm for IFRS.</w:t>
      </w:r>
    </w:p>
    <w:p w:rsidR="003D7065" w:rsidRPr="000112D3" w:rsidRDefault="00150E86" w:rsidP="000112D3">
      <w:pPr>
        <w:spacing w:line="480" w:lineRule="auto"/>
        <w:ind w:firstLine="720"/>
        <w:jc w:val="center"/>
        <w:rPr>
          <w:b/>
          <w:sz w:val="24"/>
          <w:szCs w:val="24"/>
          <w:lang w:val="en-US"/>
        </w:rPr>
      </w:pPr>
      <w:r w:rsidRPr="000112D3">
        <w:rPr>
          <w:b/>
          <w:sz w:val="24"/>
          <w:szCs w:val="24"/>
          <w:lang w:val="en-US"/>
        </w:rPr>
        <w:t>Advantages of IFRS for U.S</w:t>
      </w:r>
    </w:p>
    <w:p w:rsidR="00150E86" w:rsidRPr="000112D3" w:rsidRDefault="003D0E61" w:rsidP="000112D3">
      <w:pPr>
        <w:spacing w:line="480" w:lineRule="auto"/>
        <w:ind w:firstLine="720"/>
        <w:rPr>
          <w:sz w:val="24"/>
          <w:szCs w:val="24"/>
          <w:lang w:val="en-US"/>
        </w:rPr>
      </w:pPr>
      <w:r w:rsidRPr="000112D3">
        <w:rPr>
          <w:sz w:val="24"/>
          <w:szCs w:val="24"/>
          <w:lang w:val="en-US"/>
        </w:rPr>
        <w:t>The United States is the most powerful engine in the world and changing the long-established GAAP accounting rules would a major undertaking. If SEC chose to pursue this change, it would have to present a compelling set of benefits for U.S businesses to support the switch. Millions of businesses apply GAAP standards and educational institutes train our accounting professionals to be familiar with this body of rules.</w:t>
      </w:r>
    </w:p>
    <w:p w:rsidR="003D0E61" w:rsidRPr="000112D3" w:rsidRDefault="003D0E61" w:rsidP="000112D3">
      <w:pPr>
        <w:spacing w:line="480" w:lineRule="auto"/>
        <w:ind w:firstLine="720"/>
        <w:rPr>
          <w:sz w:val="24"/>
          <w:szCs w:val="24"/>
          <w:lang w:val="en-US"/>
        </w:rPr>
      </w:pPr>
      <w:r w:rsidRPr="000112D3">
        <w:rPr>
          <w:sz w:val="24"/>
          <w:szCs w:val="24"/>
          <w:lang w:val="en-US"/>
        </w:rPr>
        <w:t>Transitioning to a new set of rules would likely cost businesses billions of dollars in additional expenses to modify their current bookkeeping practices. It would require a massive investment in employee training, new computerized accounting systems, and new auditing requirements. Furthermore, companies that provide bookkeeping software and database systems would need to overhaul their technology. At the end of the day, the SEC would need to assess if the potential benefits provided by IFRS will justify the burden in domestic businesses</w:t>
      </w:r>
      <w:r w:rsidR="00AF267E" w:rsidRPr="000112D3">
        <w:rPr>
          <w:sz w:val="24"/>
          <w:szCs w:val="24"/>
          <w:lang w:val="en-US"/>
        </w:rPr>
        <w:t>.</w:t>
      </w:r>
    </w:p>
    <w:p w:rsidR="00AF267E" w:rsidRPr="000112D3" w:rsidRDefault="00626A69" w:rsidP="000112D3">
      <w:pPr>
        <w:spacing w:line="480" w:lineRule="auto"/>
        <w:ind w:firstLine="720"/>
        <w:jc w:val="center"/>
        <w:rPr>
          <w:b/>
          <w:sz w:val="24"/>
          <w:szCs w:val="24"/>
          <w:lang w:val="en-US"/>
        </w:rPr>
      </w:pPr>
      <w:r w:rsidRPr="000112D3">
        <w:rPr>
          <w:b/>
          <w:sz w:val="24"/>
          <w:szCs w:val="24"/>
          <w:lang w:val="en-US"/>
        </w:rPr>
        <w:t>Revenue recognition (IFRS v</w:t>
      </w:r>
      <w:r w:rsidR="00E16049" w:rsidRPr="000112D3">
        <w:rPr>
          <w:b/>
          <w:sz w:val="24"/>
          <w:szCs w:val="24"/>
          <w:lang w:val="en-US"/>
        </w:rPr>
        <w:t>ersu</w:t>
      </w:r>
      <w:r w:rsidRPr="000112D3">
        <w:rPr>
          <w:b/>
          <w:sz w:val="24"/>
          <w:szCs w:val="24"/>
          <w:lang w:val="en-US"/>
        </w:rPr>
        <w:t>s GAAP)</w:t>
      </w:r>
    </w:p>
    <w:p w:rsidR="007B4EC3" w:rsidRPr="000112D3" w:rsidRDefault="00E16049" w:rsidP="000112D3">
      <w:pPr>
        <w:spacing w:line="480" w:lineRule="auto"/>
        <w:ind w:firstLine="720"/>
        <w:rPr>
          <w:sz w:val="24"/>
          <w:szCs w:val="24"/>
          <w:lang w:val="en-US"/>
        </w:rPr>
      </w:pPr>
      <w:r w:rsidRPr="000112D3">
        <w:rPr>
          <w:sz w:val="24"/>
          <w:szCs w:val="24"/>
          <w:lang w:val="en-US"/>
        </w:rPr>
        <w:lastRenderedPageBreak/>
        <w:t>The criteria to recognize revenue is a crucial accounting standard for virtually every industry. If accounting standards are too liberal with revenue recognition it creates the potential for fraudulent revenue estimates and overestimation of income. Conversely, revenue recognition standards that are too conservative would prevent companies from taking advantage of their realistic economic growth and would disappoint investors.</w:t>
      </w:r>
    </w:p>
    <w:p w:rsidR="00E16049" w:rsidRPr="000112D3" w:rsidRDefault="007B4EC3" w:rsidP="000112D3">
      <w:pPr>
        <w:spacing w:line="480" w:lineRule="auto"/>
        <w:ind w:firstLine="720"/>
        <w:rPr>
          <w:sz w:val="24"/>
          <w:szCs w:val="24"/>
          <w:lang w:val="en-US"/>
        </w:rPr>
      </w:pPr>
      <w:r w:rsidRPr="000112D3">
        <w:rPr>
          <w:sz w:val="24"/>
          <w:szCs w:val="24"/>
          <w:lang w:val="en-US"/>
        </w:rPr>
        <w:t>The GAAP maintains revenue recognition principles that are highly targeted based on different industries. For example, a pharmaceutical development company will face different revenue recognition principles than a home building company.</w:t>
      </w:r>
    </w:p>
    <w:p w:rsidR="007B4EC3" w:rsidRPr="000112D3" w:rsidRDefault="007B4EC3" w:rsidP="000112D3">
      <w:pPr>
        <w:spacing w:line="480" w:lineRule="auto"/>
        <w:ind w:firstLine="720"/>
        <w:rPr>
          <w:sz w:val="24"/>
          <w:szCs w:val="24"/>
          <w:lang w:val="en-US"/>
        </w:rPr>
      </w:pPr>
      <w:r w:rsidRPr="000112D3">
        <w:rPr>
          <w:sz w:val="24"/>
          <w:szCs w:val="24"/>
          <w:lang w:val="en-US"/>
        </w:rPr>
        <w:t>IFRS takes a more general stance on this issue by stating revenue can be recorded when it becomes economically significant. In order to meet this requirement the revenue should be highly probable to flow to the company in the future and should be measurable with a high degree of accuracy.</w:t>
      </w:r>
    </w:p>
    <w:p w:rsidR="007B4EC3" w:rsidRPr="000112D3" w:rsidRDefault="00DB06D2" w:rsidP="000112D3">
      <w:pPr>
        <w:spacing w:line="480" w:lineRule="auto"/>
        <w:ind w:firstLine="720"/>
        <w:jc w:val="center"/>
        <w:rPr>
          <w:b/>
          <w:sz w:val="24"/>
          <w:szCs w:val="24"/>
          <w:lang w:val="en-US"/>
        </w:rPr>
      </w:pPr>
      <w:r w:rsidRPr="000112D3">
        <w:rPr>
          <w:b/>
          <w:sz w:val="24"/>
          <w:szCs w:val="24"/>
          <w:lang w:val="en-US"/>
        </w:rPr>
        <w:t>Revenue and Expenses under IFRS</w:t>
      </w:r>
    </w:p>
    <w:p w:rsidR="00DB06D2" w:rsidRPr="000112D3" w:rsidRDefault="00682815" w:rsidP="000112D3">
      <w:pPr>
        <w:spacing w:line="480" w:lineRule="auto"/>
        <w:ind w:firstLine="720"/>
        <w:rPr>
          <w:sz w:val="24"/>
          <w:szCs w:val="24"/>
          <w:lang w:val="en-US"/>
        </w:rPr>
      </w:pPr>
      <w:r w:rsidRPr="000112D3">
        <w:rPr>
          <w:sz w:val="24"/>
          <w:szCs w:val="24"/>
          <w:lang w:val="en-US"/>
        </w:rPr>
        <w:t>IFRS describes revenue as the gross inflow of economic benefits arising from the ordinary operating activities. Gains and losses would generally not be includes as part of revenue or expenses because they do not constitute operating activities. If a maid cleaning service experiences a gain as a result of a stock investment on the books, this should be included as a core operating activity.</w:t>
      </w:r>
      <w:r w:rsidR="00521353" w:rsidRPr="000112D3">
        <w:rPr>
          <w:sz w:val="24"/>
          <w:szCs w:val="24"/>
          <w:lang w:val="en-US"/>
        </w:rPr>
        <w:t xml:space="preserve"> On the financial statements these items will be classified separately to show they do not directly impact operational performance, thus improving the understanding for users of financial statements.</w:t>
      </w:r>
    </w:p>
    <w:p w:rsidR="00521353" w:rsidRPr="000112D3" w:rsidRDefault="008C4CA1" w:rsidP="000112D3">
      <w:pPr>
        <w:spacing w:line="480" w:lineRule="auto"/>
        <w:ind w:firstLine="720"/>
        <w:jc w:val="center"/>
        <w:rPr>
          <w:b/>
          <w:sz w:val="24"/>
          <w:szCs w:val="24"/>
          <w:lang w:val="en-US"/>
        </w:rPr>
      </w:pPr>
      <w:r w:rsidRPr="000112D3">
        <w:rPr>
          <w:b/>
          <w:sz w:val="24"/>
          <w:szCs w:val="24"/>
          <w:lang w:val="en-US"/>
        </w:rPr>
        <w:t>Comparative implications of S</w:t>
      </w:r>
      <w:r w:rsidR="004D39FD" w:rsidRPr="000112D3">
        <w:rPr>
          <w:b/>
          <w:sz w:val="24"/>
          <w:szCs w:val="24"/>
          <w:lang w:val="en-US"/>
        </w:rPr>
        <w:t>arbanes Oxley Act</w:t>
      </w:r>
    </w:p>
    <w:p w:rsidR="008C4CA1" w:rsidRPr="000112D3" w:rsidRDefault="004D39FD" w:rsidP="000112D3">
      <w:pPr>
        <w:spacing w:line="480" w:lineRule="auto"/>
        <w:ind w:firstLine="720"/>
        <w:rPr>
          <w:sz w:val="24"/>
          <w:szCs w:val="24"/>
          <w:lang w:val="en-US"/>
        </w:rPr>
      </w:pPr>
      <w:r w:rsidRPr="000112D3">
        <w:rPr>
          <w:sz w:val="24"/>
          <w:szCs w:val="24"/>
          <w:lang w:val="en-US"/>
        </w:rPr>
        <w:t xml:space="preserve">The Sarbanes Oxley Act of 2002 (SOX) implemented additional rules for publicly traded companies in an effort to reduce executive level corporate fraud and improve transparency in </w:t>
      </w:r>
      <w:r w:rsidRPr="000112D3">
        <w:rPr>
          <w:sz w:val="24"/>
          <w:szCs w:val="24"/>
          <w:lang w:val="en-US"/>
        </w:rPr>
        <w:lastRenderedPageBreak/>
        <w:t xml:space="preserve">financial reporting. Many businesses were opposed to this bill because it creates additional </w:t>
      </w:r>
      <w:r w:rsidR="000C0FC6" w:rsidRPr="000112D3">
        <w:rPr>
          <w:sz w:val="24"/>
          <w:szCs w:val="24"/>
          <w:lang w:val="en-US"/>
        </w:rPr>
        <w:t>financial reporting costs and is more complex to stay in compliance. In some cases, international businesses have to set up headquarters outside</w:t>
      </w:r>
      <w:r w:rsidR="00342383" w:rsidRPr="000112D3">
        <w:rPr>
          <w:sz w:val="24"/>
          <w:szCs w:val="24"/>
          <w:lang w:val="en-US"/>
        </w:rPr>
        <w:t xml:space="preserve"> U.S to avoid the requirements.</w:t>
      </w:r>
    </w:p>
    <w:p w:rsidR="00342383" w:rsidRPr="000112D3" w:rsidRDefault="00342383" w:rsidP="000112D3">
      <w:pPr>
        <w:spacing w:line="480" w:lineRule="auto"/>
        <w:ind w:firstLine="720"/>
        <w:rPr>
          <w:sz w:val="24"/>
          <w:szCs w:val="24"/>
          <w:lang w:val="en-US"/>
        </w:rPr>
      </w:pPr>
      <w:r w:rsidRPr="000112D3">
        <w:rPr>
          <w:sz w:val="24"/>
          <w:szCs w:val="24"/>
          <w:lang w:val="en-US"/>
        </w:rPr>
        <w:t xml:space="preserve">However, the law appears to be very effective </w:t>
      </w:r>
      <w:r w:rsidR="002E0DEB" w:rsidRPr="000112D3">
        <w:rPr>
          <w:sz w:val="24"/>
          <w:szCs w:val="24"/>
          <w:lang w:val="en-US"/>
        </w:rPr>
        <w:t>at preventing corporate fraud and reduces the risks faced by investors operating in the United States. The benefits of moving a business offshore are unlikely to outweigh the negative impact of SOX compliance requirements.</w:t>
      </w:r>
    </w:p>
    <w:p w:rsidR="002E0DEB" w:rsidRPr="000112D3" w:rsidRDefault="002E0DEB" w:rsidP="000112D3">
      <w:pPr>
        <w:spacing w:line="480" w:lineRule="auto"/>
        <w:ind w:firstLine="720"/>
        <w:jc w:val="center"/>
        <w:rPr>
          <w:b/>
          <w:sz w:val="24"/>
          <w:szCs w:val="24"/>
          <w:lang w:val="en-US"/>
        </w:rPr>
      </w:pPr>
      <w:r w:rsidRPr="000112D3">
        <w:rPr>
          <w:b/>
          <w:sz w:val="24"/>
          <w:szCs w:val="24"/>
          <w:lang w:val="en-US"/>
        </w:rPr>
        <w:t>Conclusion</w:t>
      </w:r>
    </w:p>
    <w:p w:rsidR="002E0DEB" w:rsidRPr="000112D3" w:rsidRDefault="00B342C6" w:rsidP="000112D3">
      <w:pPr>
        <w:spacing w:line="480" w:lineRule="auto"/>
        <w:ind w:firstLine="720"/>
        <w:rPr>
          <w:sz w:val="24"/>
          <w:szCs w:val="24"/>
          <w:lang w:val="en-US"/>
        </w:rPr>
      </w:pPr>
      <w:r w:rsidRPr="000112D3">
        <w:rPr>
          <w:sz w:val="24"/>
          <w:szCs w:val="24"/>
          <w:lang w:val="en-US"/>
        </w:rPr>
        <w:t>As we were able to see in each part of this paper there are a lot of differences between GAAP and IFRS, all of them has different importance and influence on financial accounting amount these principles.</w:t>
      </w:r>
    </w:p>
    <w:p w:rsidR="00B342C6" w:rsidRPr="000112D3" w:rsidRDefault="00B342C6" w:rsidP="000112D3">
      <w:pPr>
        <w:spacing w:line="480" w:lineRule="auto"/>
        <w:ind w:firstLine="720"/>
        <w:jc w:val="center"/>
        <w:rPr>
          <w:b/>
          <w:sz w:val="24"/>
          <w:szCs w:val="24"/>
          <w:lang w:val="en-US"/>
        </w:rPr>
      </w:pPr>
      <w:r w:rsidRPr="000112D3">
        <w:rPr>
          <w:b/>
          <w:sz w:val="24"/>
          <w:szCs w:val="24"/>
          <w:lang w:val="en-US"/>
        </w:rPr>
        <w:t>References</w:t>
      </w:r>
    </w:p>
    <w:p w:rsidR="00B342C6" w:rsidRPr="000112D3" w:rsidRDefault="00EC4BF4" w:rsidP="000112D3">
      <w:pPr>
        <w:spacing w:line="480" w:lineRule="auto"/>
        <w:ind w:firstLine="720"/>
        <w:rPr>
          <w:sz w:val="24"/>
          <w:szCs w:val="24"/>
          <w:lang w:val="en-US"/>
        </w:rPr>
      </w:pPr>
      <w:hyperlink r:id="rId9" w:history="1">
        <w:r w:rsidR="003A60B7" w:rsidRPr="000112D3">
          <w:rPr>
            <w:rStyle w:val="a4"/>
            <w:sz w:val="24"/>
            <w:szCs w:val="24"/>
            <w:lang w:val="en-US"/>
          </w:rPr>
          <w:t>AICPA © IFRS Resources.</w:t>
        </w:r>
      </w:hyperlink>
    </w:p>
    <w:p w:rsidR="003A60B7" w:rsidRPr="000112D3" w:rsidRDefault="00EC4BF4" w:rsidP="000112D3">
      <w:pPr>
        <w:spacing w:line="480" w:lineRule="auto"/>
        <w:ind w:firstLine="720"/>
        <w:rPr>
          <w:sz w:val="24"/>
          <w:szCs w:val="24"/>
          <w:lang w:val="en-US"/>
        </w:rPr>
      </w:pPr>
      <w:hyperlink r:id="rId10" w:history="1">
        <w:r w:rsidR="003A60B7" w:rsidRPr="000112D3">
          <w:rPr>
            <w:rStyle w:val="a4"/>
            <w:sz w:val="24"/>
            <w:szCs w:val="24"/>
            <w:lang w:val="en-US"/>
          </w:rPr>
          <w:t>US GAAP versus IFRS. Ernst &amp; Young, 2011.</w:t>
        </w:r>
      </w:hyperlink>
    </w:p>
    <w:sectPr w:rsidR="003A60B7" w:rsidRPr="000112D3" w:rsidSect="002926F9">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BF4" w:rsidRDefault="00EC4BF4" w:rsidP="002926F9">
      <w:pPr>
        <w:spacing w:after="0" w:line="240" w:lineRule="auto"/>
      </w:pPr>
      <w:r>
        <w:separator/>
      </w:r>
    </w:p>
  </w:endnote>
  <w:endnote w:type="continuationSeparator" w:id="0">
    <w:p w:rsidR="00EC4BF4" w:rsidRDefault="00EC4BF4" w:rsidP="0029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BF4" w:rsidRDefault="00EC4BF4" w:rsidP="002926F9">
      <w:pPr>
        <w:spacing w:after="0" w:line="240" w:lineRule="auto"/>
      </w:pPr>
      <w:r>
        <w:separator/>
      </w:r>
    </w:p>
  </w:footnote>
  <w:footnote w:type="continuationSeparator" w:id="0">
    <w:p w:rsidR="00EC4BF4" w:rsidRDefault="00EC4BF4" w:rsidP="00292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0679587"/>
      <w:docPartObj>
        <w:docPartGallery w:val="Page Numbers (Top of Page)"/>
        <w:docPartUnique/>
      </w:docPartObj>
    </w:sdtPr>
    <w:sdtEndPr/>
    <w:sdtContent>
      <w:p w:rsidR="002926F9" w:rsidRDefault="002926F9">
        <w:pPr>
          <w:pStyle w:val="a5"/>
          <w:jc w:val="right"/>
        </w:pPr>
        <w:r>
          <w:fldChar w:fldCharType="begin"/>
        </w:r>
        <w:r>
          <w:instrText>PAGE   \* MERGEFORMAT</w:instrText>
        </w:r>
        <w:r>
          <w:fldChar w:fldCharType="separate"/>
        </w:r>
        <w:r w:rsidR="00891C4C">
          <w:rPr>
            <w:noProof/>
          </w:rPr>
          <w:t>1</w:t>
        </w:r>
        <w:r>
          <w:fldChar w:fldCharType="end"/>
        </w:r>
      </w:p>
    </w:sdtContent>
  </w:sdt>
  <w:p w:rsidR="002926F9" w:rsidRDefault="002926F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93C50"/>
    <w:multiLevelType w:val="hybridMultilevel"/>
    <w:tmpl w:val="08F26F0A"/>
    <w:lvl w:ilvl="0" w:tplc="EA8A5B32">
      <w:start w:val="1"/>
      <w:numFmt w:val="bullet"/>
      <w:lvlText w:val=""/>
      <w:lvlJc w:val="left"/>
      <w:pPr>
        <w:ind w:left="0" w:firstLine="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935"/>
    <w:rsid w:val="000112D3"/>
    <w:rsid w:val="000A0B42"/>
    <w:rsid w:val="000C0FC6"/>
    <w:rsid w:val="000D26CB"/>
    <w:rsid w:val="00150E86"/>
    <w:rsid w:val="00191D7D"/>
    <w:rsid w:val="002926F9"/>
    <w:rsid w:val="002E0DEB"/>
    <w:rsid w:val="0030746E"/>
    <w:rsid w:val="00342383"/>
    <w:rsid w:val="00391202"/>
    <w:rsid w:val="003A60B7"/>
    <w:rsid w:val="003D0E61"/>
    <w:rsid w:val="003D7065"/>
    <w:rsid w:val="00402124"/>
    <w:rsid w:val="004D39FD"/>
    <w:rsid w:val="00521353"/>
    <w:rsid w:val="00626A69"/>
    <w:rsid w:val="00682815"/>
    <w:rsid w:val="007B4EC3"/>
    <w:rsid w:val="00891C4C"/>
    <w:rsid w:val="008C4CA1"/>
    <w:rsid w:val="00930015"/>
    <w:rsid w:val="00940A0F"/>
    <w:rsid w:val="00A362C3"/>
    <w:rsid w:val="00A7371A"/>
    <w:rsid w:val="00A92E9C"/>
    <w:rsid w:val="00AF267E"/>
    <w:rsid w:val="00B342C6"/>
    <w:rsid w:val="00DB06D2"/>
    <w:rsid w:val="00DC28ED"/>
    <w:rsid w:val="00E16049"/>
    <w:rsid w:val="00E1646E"/>
    <w:rsid w:val="00E22507"/>
    <w:rsid w:val="00EB6935"/>
    <w:rsid w:val="00EC4BF4"/>
    <w:rsid w:val="00EF0E05"/>
    <w:rsid w:val="00F23451"/>
    <w:rsid w:val="00F85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C28ED"/>
  </w:style>
  <w:style w:type="paragraph" w:styleId="a3">
    <w:name w:val="List Paragraph"/>
    <w:basedOn w:val="a"/>
    <w:uiPriority w:val="34"/>
    <w:qFormat/>
    <w:rsid w:val="00F23451"/>
    <w:pPr>
      <w:ind w:left="720"/>
      <w:contextualSpacing/>
    </w:pPr>
  </w:style>
  <w:style w:type="character" w:styleId="a4">
    <w:name w:val="Hyperlink"/>
    <w:basedOn w:val="a0"/>
    <w:uiPriority w:val="99"/>
    <w:unhideWhenUsed/>
    <w:rsid w:val="003A60B7"/>
    <w:rPr>
      <w:color w:val="0000FF" w:themeColor="hyperlink"/>
      <w:u w:val="single"/>
    </w:rPr>
  </w:style>
  <w:style w:type="paragraph" w:styleId="a5">
    <w:name w:val="header"/>
    <w:basedOn w:val="a"/>
    <w:link w:val="a6"/>
    <w:uiPriority w:val="99"/>
    <w:unhideWhenUsed/>
    <w:rsid w:val="002926F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926F9"/>
  </w:style>
  <w:style w:type="paragraph" w:styleId="a7">
    <w:name w:val="footer"/>
    <w:basedOn w:val="a"/>
    <w:link w:val="a8"/>
    <w:uiPriority w:val="99"/>
    <w:unhideWhenUsed/>
    <w:rsid w:val="002926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926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C28ED"/>
  </w:style>
  <w:style w:type="paragraph" w:styleId="a3">
    <w:name w:val="List Paragraph"/>
    <w:basedOn w:val="a"/>
    <w:uiPriority w:val="34"/>
    <w:qFormat/>
    <w:rsid w:val="00F23451"/>
    <w:pPr>
      <w:ind w:left="720"/>
      <w:contextualSpacing/>
    </w:pPr>
  </w:style>
  <w:style w:type="character" w:styleId="a4">
    <w:name w:val="Hyperlink"/>
    <w:basedOn w:val="a0"/>
    <w:uiPriority w:val="99"/>
    <w:unhideWhenUsed/>
    <w:rsid w:val="003A60B7"/>
    <w:rPr>
      <w:color w:val="0000FF" w:themeColor="hyperlink"/>
      <w:u w:val="single"/>
    </w:rPr>
  </w:style>
  <w:style w:type="paragraph" w:styleId="a5">
    <w:name w:val="header"/>
    <w:basedOn w:val="a"/>
    <w:link w:val="a6"/>
    <w:uiPriority w:val="99"/>
    <w:unhideWhenUsed/>
    <w:rsid w:val="002926F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926F9"/>
  </w:style>
  <w:style w:type="paragraph" w:styleId="a7">
    <w:name w:val="footer"/>
    <w:basedOn w:val="a"/>
    <w:link w:val="a8"/>
    <w:uiPriority w:val="99"/>
    <w:unhideWhenUsed/>
    <w:rsid w:val="002926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92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ey.com/Publication/vwLUAssets/US_GAAP_v_IFRS:_The_Basics/$FILE/US%20GAAP%20v%20IFRS%20Dec%202011.pdf" TargetMode="External"/><Relationship Id="rId4" Type="http://schemas.microsoft.com/office/2007/relationships/stylesWithEffects" Target="stylesWithEffects.xml"/><Relationship Id="rId9" Type="http://schemas.openxmlformats.org/officeDocument/2006/relationships/hyperlink" Target="http://www.ifrs.com/overview/general/difference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9F3DD-1C6A-4D5C-992E-ED3539E64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1111</Words>
  <Characters>6339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Pitbool</dc:creator>
  <cp:lastModifiedBy>Pitbool</cp:lastModifiedBy>
  <cp:revision>4</cp:revision>
  <dcterms:created xsi:type="dcterms:W3CDTF">2015-02-09T16:00:00Z</dcterms:created>
  <dcterms:modified xsi:type="dcterms:W3CDTF">2015-03-08T07:56:00Z</dcterms:modified>
</cp:coreProperties>
</file>