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9A2" w:rsidRPr="00B70A3B" w:rsidRDefault="00B70A3B">
      <w:pPr>
        <w:rPr>
          <w:b/>
          <w:u w:val="single"/>
        </w:rPr>
      </w:pPr>
      <w:r w:rsidRPr="00B70A3B">
        <w:rPr>
          <w:b/>
          <w:u w:val="single"/>
        </w:rPr>
        <w:t>Le modèle « espagnol » de transition et ses usages actuels</w:t>
      </w:r>
    </w:p>
    <w:p w:rsidR="00B70A3B" w:rsidRDefault="00B70A3B"/>
    <w:p w:rsidR="00B70A3B" w:rsidRDefault="00B70A3B">
      <w:r>
        <w:sym w:font="Wingdings" w:char="F0E0"/>
      </w:r>
      <w:r>
        <w:t xml:space="preserve"> Usages mythiques, usages réels</w:t>
      </w:r>
    </w:p>
    <w:p w:rsidR="00B70A3B" w:rsidRDefault="00B70A3B">
      <w:r>
        <w:sym w:font="Wingdings" w:char="F0E0"/>
      </w:r>
      <w:r>
        <w:t xml:space="preserve"> Rôle des élites; monarques, politiciens, élites. </w:t>
      </w:r>
    </w:p>
    <w:p w:rsidR="00B70A3B" w:rsidRDefault="00B70A3B">
      <w:r>
        <w:sym w:font="Wingdings" w:char="F0E0"/>
      </w:r>
      <w:r>
        <w:t xml:space="preserve"> Projection vers l’extérieur et à l’intérieur </w:t>
      </w:r>
    </w:p>
    <w:p w:rsidR="00B70A3B" w:rsidRDefault="00B70A3B">
      <w:r>
        <w:tab/>
      </w:r>
      <w:r>
        <w:sym w:font="Wingdings" w:char="F0E0"/>
      </w:r>
      <w:r>
        <w:t xml:space="preserve"> Différents projections</w:t>
      </w:r>
    </w:p>
    <w:p w:rsidR="00B70A3B" w:rsidRDefault="00B70A3B">
      <w:r>
        <w:sym w:font="Wingdings" w:char="F0E0"/>
      </w:r>
      <w:r>
        <w:t xml:space="preserve"> Utilisé comme modèle pour les pays durant la troisième vague du démocratisation </w:t>
      </w:r>
    </w:p>
    <w:p w:rsidR="00B70A3B" w:rsidRDefault="00B70A3B">
      <w:r>
        <w:sym w:font="Wingdings" w:char="F0E0"/>
      </w:r>
      <w:r>
        <w:t xml:space="preserve"> Projeté comme une modèle parfaite</w:t>
      </w:r>
    </w:p>
    <w:p w:rsidR="00B70A3B" w:rsidRDefault="00B70A3B">
      <w:r>
        <w:tab/>
      </w:r>
      <w:r>
        <w:sym w:font="Wingdings" w:char="F0E0"/>
      </w:r>
      <w:r>
        <w:t xml:space="preserve">Négociations et compromis </w:t>
      </w:r>
    </w:p>
    <w:p w:rsidR="00B70A3B" w:rsidRDefault="00B70A3B">
      <w:r>
        <w:tab/>
      </w:r>
      <w:r>
        <w:sym w:font="Wingdings" w:char="F0E0"/>
      </w:r>
      <w:r>
        <w:t>Sans violence</w:t>
      </w:r>
    </w:p>
    <w:p w:rsidR="00B70A3B" w:rsidRDefault="00B70A3B">
      <w:r>
        <w:sym w:font="Wingdings" w:char="F0E0"/>
      </w:r>
      <w:r>
        <w:t xml:space="preserve"> « Founding myth »</w:t>
      </w:r>
    </w:p>
    <w:p w:rsidR="00B70A3B" w:rsidRDefault="00B70A3B">
      <w:r>
        <w:sym w:font="Wingdings" w:char="F0E0"/>
      </w:r>
      <w:r>
        <w:t xml:space="preserve"> Démocratisation, « concessions », par le droit et la gauche</w:t>
      </w:r>
    </w:p>
    <w:p w:rsidR="00B70A3B" w:rsidRDefault="00B70A3B">
      <w:r>
        <w:sym w:font="Wingdings" w:char="F0E0"/>
      </w:r>
      <w:r>
        <w:t xml:space="preserve"> Sa place dans le monde académique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Les auteurs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>Reconnaitre que la transition espagnol était parvenue à construire… et aujourd’hui parfaitement consolidé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 xml:space="preserve">« L’expression « transition démocratique » ne fut employée ni par la Grèce ni par la Pologne » 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Page 345 : « La grande majorité des analyses de cet épisode qui se déroula il y a une vingtaine années convergent alors vers une interprétation dominante »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Page 346 : « La transition espagnole est traditionnellement décrite comme un exemple de coopération entre des élites politiques modérés… consolidation démocratique pacifique (sans coup de feu)</w:t>
      </w:r>
    </w:p>
    <w:p w:rsidR="00B70A3B" w:rsidRDefault="00B70A3B" w:rsidP="00B70A3B">
      <w:pPr>
        <w:ind w:left="360"/>
      </w:pPr>
    </w:p>
    <w:p w:rsidR="00B70A3B" w:rsidRDefault="00B70A3B" w:rsidP="00B70A3B">
      <w:pPr>
        <w:ind w:left="360"/>
        <w:rPr>
          <w:u w:val="single"/>
        </w:rPr>
      </w:pPr>
      <w:r w:rsidRPr="00B70A3B">
        <w:rPr>
          <w:u w:val="single"/>
        </w:rPr>
        <w:t>Arguments et thèmes</w:t>
      </w:r>
    </w:p>
    <w:p w:rsidR="00B70A3B" w:rsidRDefault="00B70A3B" w:rsidP="00B70A3B">
      <w:pPr>
        <w:ind w:left="360"/>
      </w:pPr>
    </w:p>
    <w:p w:rsidR="00B70A3B" w:rsidRDefault="00B70A3B" w:rsidP="00B70A3B">
      <w:pPr>
        <w:ind w:left="360"/>
      </w:pPr>
      <w:r>
        <w:t xml:space="preserve">Thèmes de la vue orthodoxe : 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 xml:space="preserve">Transition négociée 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Transition pactée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>Signatures de deux textes qui ont reconstruit la démocratie en 1977</w:t>
      </w:r>
    </w:p>
    <w:p w:rsidR="00B70A3B" w:rsidRDefault="00B70A3B" w:rsidP="00B70A3B">
      <w:pPr>
        <w:pStyle w:val="ListParagraph"/>
        <w:numPr>
          <w:ilvl w:val="2"/>
          <w:numId w:val="1"/>
        </w:numPr>
      </w:pPr>
      <w:r>
        <w:t>Accords de la Monclova 1977</w:t>
      </w:r>
    </w:p>
    <w:p w:rsidR="00B70A3B" w:rsidRDefault="00B70A3B" w:rsidP="00B70A3B">
      <w:pPr>
        <w:pStyle w:val="ListParagraph"/>
        <w:numPr>
          <w:ilvl w:val="2"/>
          <w:numId w:val="1"/>
        </w:numPr>
      </w:pPr>
      <w:r>
        <w:t>Constitution en 1978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>Réforme pactada, ruptura pactada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Transition construit autour une idée de rythme et changement paisible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Idée de désenchantement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Espagne suggère une chance de succès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Continuité Institutionnelle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>Monarchie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 xml:space="preserve">Corruption de l’élite de l’ancien régime 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>Crainte de la violence vue pendant la guerre civile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t xml:space="preserve">« Large loi d’amnistie et de rédiger un texte constitutionnel accepte par l’ensemble des forces politiques » </w:t>
      </w:r>
    </w:p>
    <w:p w:rsidR="00B70A3B" w:rsidRDefault="00B70A3B" w:rsidP="00B70A3B">
      <w:pPr>
        <w:ind w:left="360"/>
      </w:pPr>
    </w:p>
    <w:p w:rsidR="00B70A3B" w:rsidRDefault="00B70A3B" w:rsidP="00B70A3B">
      <w:pPr>
        <w:ind w:left="360"/>
      </w:pPr>
      <w:r>
        <w:t xml:space="preserve">Arguments : </w:t>
      </w:r>
    </w:p>
    <w:p w:rsidR="00B70A3B" w:rsidRDefault="00B70A3B" w:rsidP="00B70A3B">
      <w:pPr>
        <w:pStyle w:val="ListParagraph"/>
        <w:numPr>
          <w:ilvl w:val="0"/>
          <w:numId w:val="1"/>
        </w:numPr>
      </w:pPr>
      <w:r>
        <w:lastRenderedPageBreak/>
        <w:t xml:space="preserve">3 Caractéristiques :  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>Recherche permanent d’un consensus</w:t>
      </w:r>
    </w:p>
    <w:p w:rsidR="00B70A3B" w:rsidRDefault="00B70A3B" w:rsidP="00B70A3B">
      <w:pPr>
        <w:pStyle w:val="ListParagraph"/>
        <w:numPr>
          <w:ilvl w:val="1"/>
          <w:numId w:val="1"/>
        </w:numPr>
      </w:pPr>
      <w:r>
        <w:t>Le choix d’un processus paisible pour éviter une autre rupture violent</w:t>
      </w:r>
    </w:p>
    <w:p w:rsidR="00B70A3B" w:rsidRPr="00B70A3B" w:rsidRDefault="00B70A3B" w:rsidP="00B70A3B">
      <w:pPr>
        <w:pStyle w:val="ListParagraph"/>
        <w:numPr>
          <w:ilvl w:val="1"/>
          <w:numId w:val="1"/>
        </w:numPr>
      </w:pPr>
      <w:r>
        <w:t xml:space="preserve">Négocier entre les </w:t>
      </w:r>
      <w:bookmarkStart w:id="0" w:name="_GoBack"/>
      <w:bookmarkEnd w:id="0"/>
      <w:r>
        <w:t>différentes factions poste-franco</w:t>
      </w:r>
    </w:p>
    <w:p w:rsidR="00B70A3B" w:rsidRDefault="00B70A3B"/>
    <w:p w:rsidR="00B70A3B" w:rsidRPr="00B70A3B" w:rsidRDefault="00B70A3B"/>
    <w:sectPr w:rsidR="00B70A3B" w:rsidRPr="00B70A3B" w:rsidSect="00733EE0">
      <w:headerReference w:type="default" r:id="rId8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A3B" w:rsidRDefault="00B70A3B" w:rsidP="00B70A3B">
      <w:r>
        <w:separator/>
      </w:r>
    </w:p>
  </w:endnote>
  <w:endnote w:type="continuationSeparator" w:id="0">
    <w:p w:rsidR="00B70A3B" w:rsidRDefault="00B70A3B" w:rsidP="00B7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A3B" w:rsidRDefault="00B70A3B" w:rsidP="00B70A3B">
      <w:r>
        <w:separator/>
      </w:r>
    </w:p>
  </w:footnote>
  <w:footnote w:type="continuationSeparator" w:id="0">
    <w:p w:rsidR="00B70A3B" w:rsidRDefault="00B70A3B" w:rsidP="00B70A3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A3B" w:rsidRDefault="00B70A3B">
    <w:pPr>
      <w:pStyle w:val="Header"/>
    </w:pPr>
    <w:proofErr w:type="spellStart"/>
    <w:r>
      <w:t>Banzana</w:t>
    </w:r>
    <w:proofErr w:type="spellEnd"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B59"/>
    <w:multiLevelType w:val="hybridMultilevel"/>
    <w:tmpl w:val="1FEE4A84"/>
    <w:lvl w:ilvl="0" w:tplc="91CEFD2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3B"/>
    <w:rsid w:val="001A137C"/>
    <w:rsid w:val="00733EE0"/>
    <w:rsid w:val="007C31DC"/>
    <w:rsid w:val="00873488"/>
    <w:rsid w:val="00A10865"/>
    <w:rsid w:val="00A842D1"/>
    <w:rsid w:val="00B70A3B"/>
    <w:rsid w:val="00C549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A303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A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A3B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B70A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A3B"/>
    <w:rPr>
      <w:lang w:val="fr-CA"/>
    </w:rPr>
  </w:style>
  <w:style w:type="paragraph" w:styleId="ListParagraph">
    <w:name w:val="List Paragraph"/>
    <w:basedOn w:val="Normal"/>
    <w:uiPriority w:val="34"/>
    <w:qFormat/>
    <w:rsid w:val="00B70A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A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A3B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B70A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A3B"/>
    <w:rPr>
      <w:lang w:val="fr-CA"/>
    </w:rPr>
  </w:style>
  <w:style w:type="paragraph" w:styleId="ListParagraph">
    <w:name w:val="List Paragraph"/>
    <w:basedOn w:val="Normal"/>
    <w:uiPriority w:val="34"/>
    <w:qFormat/>
    <w:rsid w:val="00B70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280</Words>
  <Characters>1596</Characters>
  <Application>Microsoft Macintosh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Tweedie</dc:creator>
  <cp:keywords/>
  <dc:description/>
  <cp:lastModifiedBy>Cam Tweedie</cp:lastModifiedBy>
  <cp:revision>1</cp:revision>
  <dcterms:created xsi:type="dcterms:W3CDTF">2012-04-09T01:22:00Z</dcterms:created>
  <dcterms:modified xsi:type="dcterms:W3CDTF">2012-04-09T01:41:00Z</dcterms:modified>
</cp:coreProperties>
</file>