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6E0" w:rsidRPr="00AC2EDF" w:rsidRDefault="002E46E0" w:rsidP="002E46E0">
      <w:pPr>
        <w:autoSpaceDE w:val="0"/>
        <w:autoSpaceDN w:val="0"/>
        <w:adjustRightInd w:val="0"/>
        <w:spacing w:after="0" w:line="240" w:lineRule="auto"/>
        <w:jc w:val="center"/>
        <w:rPr>
          <w:rFonts w:ascii="Times New Roman" w:hAnsi="Times New Roman" w:cs="Times New Roman"/>
          <w:b/>
          <w:sz w:val="24"/>
          <w:szCs w:val="24"/>
        </w:rPr>
      </w:pPr>
      <w:r w:rsidRPr="00AC2EDF">
        <w:rPr>
          <w:rFonts w:ascii="Times New Roman" w:hAnsi="Times New Roman" w:cs="Times New Roman"/>
          <w:b/>
          <w:sz w:val="24"/>
          <w:szCs w:val="24"/>
        </w:rPr>
        <w:t>ECO110</w:t>
      </w:r>
      <w:r>
        <w:rPr>
          <w:rFonts w:ascii="Times New Roman" w:hAnsi="Times New Roman" w:cs="Times New Roman"/>
          <w:b/>
          <w:sz w:val="24"/>
          <w:szCs w:val="24"/>
        </w:rPr>
        <w:t>4D</w:t>
      </w:r>
      <w:r w:rsidRPr="00AC2EDF">
        <w:rPr>
          <w:rFonts w:ascii="Times New Roman" w:hAnsi="Times New Roman" w:cs="Times New Roman"/>
          <w:b/>
          <w:sz w:val="24"/>
          <w:szCs w:val="24"/>
        </w:rPr>
        <w:t>, University of Ottawa</w:t>
      </w:r>
    </w:p>
    <w:p w:rsidR="002E46E0" w:rsidRPr="00AC2EDF" w:rsidRDefault="002E46E0" w:rsidP="002E46E0">
      <w:pPr>
        <w:autoSpaceDE w:val="0"/>
        <w:autoSpaceDN w:val="0"/>
        <w:adjustRightInd w:val="0"/>
        <w:spacing w:after="0" w:line="240" w:lineRule="auto"/>
        <w:jc w:val="center"/>
        <w:rPr>
          <w:rFonts w:ascii="Times New Roman" w:hAnsi="Times New Roman" w:cs="Times New Roman"/>
          <w:b/>
          <w:sz w:val="24"/>
          <w:szCs w:val="24"/>
        </w:rPr>
      </w:pPr>
      <w:r w:rsidRPr="00AC2EDF">
        <w:rPr>
          <w:rFonts w:ascii="Times New Roman" w:hAnsi="Times New Roman" w:cs="Times New Roman"/>
          <w:b/>
          <w:sz w:val="24"/>
          <w:szCs w:val="24"/>
        </w:rPr>
        <w:t>Midterm:  October 10, 2013</w:t>
      </w:r>
    </w:p>
    <w:p w:rsidR="002E46E0" w:rsidRPr="00AC2EDF" w:rsidRDefault="002E46E0" w:rsidP="002E46E0">
      <w:pPr>
        <w:autoSpaceDE w:val="0"/>
        <w:autoSpaceDN w:val="0"/>
        <w:adjustRightInd w:val="0"/>
        <w:spacing w:after="0" w:line="240" w:lineRule="auto"/>
        <w:jc w:val="center"/>
        <w:rPr>
          <w:rFonts w:ascii="Times New Roman" w:hAnsi="Times New Roman" w:cs="Times New Roman"/>
          <w:b/>
          <w:color w:val="FF0000"/>
          <w:sz w:val="24"/>
          <w:szCs w:val="24"/>
        </w:rPr>
      </w:pPr>
      <w:r w:rsidRPr="00AC2EDF">
        <w:rPr>
          <w:rFonts w:ascii="Times New Roman" w:hAnsi="Times New Roman" w:cs="Times New Roman"/>
          <w:b/>
          <w:color w:val="FF0000"/>
          <w:sz w:val="24"/>
          <w:szCs w:val="24"/>
        </w:rPr>
        <w:t>Answer Key</w:t>
      </w:r>
    </w:p>
    <w:p w:rsidR="002E46E0" w:rsidRDefault="002E46E0" w:rsidP="002E46E0">
      <w:pPr>
        <w:autoSpaceDE w:val="0"/>
        <w:autoSpaceDN w:val="0"/>
        <w:adjustRightInd w:val="0"/>
        <w:spacing w:after="0" w:line="240" w:lineRule="auto"/>
        <w:rPr>
          <w:rFonts w:ascii="Times New Roman" w:hAnsi="Times New Roman" w:cs="Times New Roman"/>
          <w:sz w:val="24"/>
          <w:szCs w:val="24"/>
        </w:rPr>
      </w:pPr>
    </w:p>
    <w:p w:rsidR="002E46E0" w:rsidRDefault="002E46E0" w:rsidP="002E46E0">
      <w:pPr>
        <w:autoSpaceDE w:val="0"/>
        <w:autoSpaceDN w:val="0"/>
        <w:adjustRightInd w:val="0"/>
        <w:spacing w:after="0" w:line="240" w:lineRule="auto"/>
        <w:rPr>
          <w:rFonts w:ascii="Times New Roman" w:hAnsi="Times New Roman" w:cs="Times New Roman"/>
          <w:sz w:val="24"/>
          <w:szCs w:val="24"/>
        </w:rPr>
      </w:pPr>
      <w:r w:rsidRPr="003E6FBD">
        <w:rPr>
          <w:rFonts w:ascii="Times New Roman" w:hAnsi="Times New Roman" w:cs="Times New Roman"/>
          <w:b/>
          <w:sz w:val="24"/>
          <w:szCs w:val="24"/>
          <w:u w:val="single"/>
        </w:rPr>
        <w:t>Multiple Choice</w:t>
      </w:r>
      <w:r>
        <w:rPr>
          <w:rFonts w:ascii="Times New Roman" w:hAnsi="Times New Roman" w:cs="Times New Roman"/>
          <w:sz w:val="24"/>
          <w:szCs w:val="24"/>
        </w:rPr>
        <w:t xml:space="preserve"> (80 points; 2 points each)</w:t>
      </w:r>
    </w:p>
    <w:p w:rsidR="002E46E0" w:rsidRDefault="002E46E0" w:rsidP="002E46E0">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2394"/>
        <w:gridCol w:w="2394"/>
        <w:gridCol w:w="2394"/>
        <w:gridCol w:w="2394"/>
      </w:tblGrid>
      <w:tr w:rsidR="002E46E0" w:rsidTr="004C2DC2">
        <w:tc>
          <w:tcPr>
            <w:tcW w:w="2394" w:type="dxa"/>
          </w:tcPr>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2E46E0" w:rsidP="002E46E0">
            <w:pPr>
              <w:pStyle w:val="ListParagraph"/>
              <w:numPr>
                <w:ilvl w:val="0"/>
                <w:numId w:val="3"/>
              </w:numPr>
              <w:autoSpaceDE w:val="0"/>
              <w:autoSpaceDN w:val="0"/>
              <w:adjustRightInd w:val="0"/>
              <w:rPr>
                <w:rFonts w:ascii="Times New Roman" w:hAnsi="Times New Roman" w:cs="Times New Roman"/>
                <w:sz w:val="24"/>
                <w:szCs w:val="24"/>
              </w:rPr>
            </w:pPr>
            <w:r w:rsidRPr="002E46E0">
              <w:rPr>
                <w:rFonts w:ascii="Times New Roman" w:hAnsi="Times New Roman" w:cs="Times New Roman"/>
                <w:sz w:val="24"/>
                <w:szCs w:val="24"/>
              </w:rPr>
              <w:t>B</w:t>
            </w:r>
          </w:p>
        </w:tc>
        <w:tc>
          <w:tcPr>
            <w:tcW w:w="2394" w:type="dxa"/>
          </w:tcPr>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C</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2E46E0" w:rsidP="002E46E0">
            <w:pPr>
              <w:pStyle w:val="ListParagraph"/>
              <w:numPr>
                <w:ilvl w:val="0"/>
                <w:numId w:val="3"/>
              </w:numPr>
              <w:autoSpaceDE w:val="0"/>
              <w:autoSpaceDN w:val="0"/>
              <w:adjustRightInd w:val="0"/>
              <w:rPr>
                <w:rFonts w:ascii="Times New Roman" w:hAnsi="Times New Roman" w:cs="Times New Roman"/>
                <w:sz w:val="24"/>
                <w:szCs w:val="24"/>
              </w:rPr>
            </w:pPr>
            <w:r w:rsidRPr="002E46E0">
              <w:rPr>
                <w:rFonts w:ascii="Times New Roman" w:hAnsi="Times New Roman" w:cs="Times New Roman"/>
                <w:sz w:val="24"/>
                <w:szCs w:val="24"/>
              </w:rPr>
              <w:t>B</w:t>
            </w:r>
          </w:p>
        </w:tc>
        <w:tc>
          <w:tcPr>
            <w:tcW w:w="2394" w:type="dxa"/>
          </w:tcPr>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w:t>
            </w:r>
          </w:p>
          <w:p w:rsidR="002E46E0" w:rsidRPr="002E46E0" w:rsidRDefault="002E46E0" w:rsidP="002E46E0">
            <w:pPr>
              <w:pStyle w:val="ListParagraph"/>
              <w:numPr>
                <w:ilvl w:val="0"/>
                <w:numId w:val="3"/>
              </w:numPr>
              <w:autoSpaceDE w:val="0"/>
              <w:autoSpaceDN w:val="0"/>
              <w:adjustRightInd w:val="0"/>
              <w:rPr>
                <w:rFonts w:ascii="Times New Roman" w:hAnsi="Times New Roman" w:cs="Times New Roman"/>
                <w:sz w:val="24"/>
                <w:szCs w:val="24"/>
              </w:rPr>
            </w:pPr>
            <w:r w:rsidRPr="002E46E0">
              <w:rPr>
                <w:rFonts w:ascii="Times New Roman" w:hAnsi="Times New Roman" w:cs="Times New Roman"/>
                <w:sz w:val="24"/>
                <w:szCs w:val="24"/>
              </w:rPr>
              <w:t>C</w:t>
            </w:r>
          </w:p>
        </w:tc>
        <w:tc>
          <w:tcPr>
            <w:tcW w:w="2394" w:type="dxa"/>
          </w:tcPr>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B</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w:t>
            </w:r>
          </w:p>
          <w:p w:rsidR="002E46E0" w:rsidRPr="002E46E0" w:rsidRDefault="002E46E0" w:rsidP="002E46E0">
            <w:pPr>
              <w:pStyle w:val="ListParagraph"/>
              <w:numPr>
                <w:ilvl w:val="0"/>
                <w:numId w:val="3"/>
              </w:numPr>
              <w:autoSpaceDE w:val="0"/>
              <w:autoSpaceDN w:val="0"/>
              <w:adjustRightInd w:val="0"/>
              <w:rPr>
                <w:rFonts w:ascii="Times New Roman" w:hAnsi="Times New Roman" w:cs="Times New Roman"/>
                <w:sz w:val="24"/>
                <w:szCs w:val="24"/>
              </w:rPr>
            </w:pPr>
            <w:r w:rsidRPr="002E46E0">
              <w:rPr>
                <w:rFonts w:ascii="Times New Roman" w:hAnsi="Times New Roman" w:cs="Times New Roman"/>
                <w:sz w:val="24"/>
                <w:szCs w:val="24"/>
              </w:rPr>
              <w:t>B</w:t>
            </w:r>
            <w:bookmarkStart w:id="0" w:name="_GoBack"/>
            <w:bookmarkEnd w:id="0"/>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D</w:t>
            </w:r>
          </w:p>
          <w:p w:rsidR="002E46E0" w:rsidRP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C</w:t>
            </w:r>
          </w:p>
          <w:p w:rsidR="002E46E0" w:rsidRDefault="000A2673" w:rsidP="002E46E0">
            <w:pPr>
              <w:pStyle w:val="ListParagraph"/>
              <w:numPr>
                <w:ilvl w:val="0"/>
                <w:numId w:val="3"/>
              </w:numPr>
              <w:autoSpaceDE w:val="0"/>
              <w:autoSpaceDN w:val="0"/>
              <w:adjustRightInd w:val="0"/>
              <w:rPr>
                <w:rFonts w:ascii="Times New Roman" w:hAnsi="Times New Roman" w:cs="Times New Roman"/>
                <w:sz w:val="24"/>
                <w:szCs w:val="24"/>
                <w:lang w:val="fr-CA"/>
              </w:rPr>
            </w:pPr>
            <w:r>
              <w:rPr>
                <w:rFonts w:ascii="Times New Roman" w:hAnsi="Times New Roman" w:cs="Times New Roman"/>
                <w:sz w:val="24"/>
                <w:szCs w:val="24"/>
                <w:lang w:val="fr-CA"/>
              </w:rPr>
              <w:t>D</w:t>
            </w:r>
          </w:p>
          <w:p w:rsidR="002E46E0" w:rsidRPr="002E46E0" w:rsidRDefault="002E46E0" w:rsidP="002E46E0">
            <w:pPr>
              <w:pStyle w:val="ListParagraph"/>
              <w:numPr>
                <w:ilvl w:val="0"/>
                <w:numId w:val="3"/>
              </w:numPr>
              <w:autoSpaceDE w:val="0"/>
              <w:autoSpaceDN w:val="0"/>
              <w:adjustRightInd w:val="0"/>
              <w:rPr>
                <w:rFonts w:ascii="Times New Roman" w:hAnsi="Times New Roman" w:cs="Times New Roman"/>
                <w:sz w:val="24"/>
                <w:szCs w:val="24"/>
                <w:lang w:val="fr-CA"/>
              </w:rPr>
            </w:pPr>
            <w:r w:rsidRPr="002E46E0">
              <w:rPr>
                <w:rFonts w:ascii="Times New Roman" w:hAnsi="Times New Roman" w:cs="Times New Roman"/>
                <w:sz w:val="24"/>
                <w:szCs w:val="24"/>
              </w:rPr>
              <w:t>A</w:t>
            </w:r>
          </w:p>
        </w:tc>
      </w:tr>
    </w:tbl>
    <w:p w:rsidR="002E46E0" w:rsidRDefault="002E46E0" w:rsidP="002E46E0">
      <w:pPr>
        <w:autoSpaceDE w:val="0"/>
        <w:autoSpaceDN w:val="0"/>
        <w:adjustRightInd w:val="0"/>
        <w:spacing w:after="0" w:line="240" w:lineRule="auto"/>
        <w:rPr>
          <w:rFonts w:ascii="Times New Roman" w:hAnsi="Times New Roman" w:cs="Times New Roman"/>
          <w:sz w:val="24"/>
          <w:szCs w:val="24"/>
        </w:rPr>
      </w:pPr>
    </w:p>
    <w:p w:rsidR="002E46E0" w:rsidRDefault="002E46E0" w:rsidP="0024522A">
      <w:pPr>
        <w:autoSpaceDE w:val="0"/>
        <w:autoSpaceDN w:val="0"/>
        <w:adjustRightInd w:val="0"/>
        <w:spacing w:after="240" w:line="240" w:lineRule="auto"/>
        <w:rPr>
          <w:rFonts w:ascii="Times New Roman" w:hAnsi="Times New Roman" w:cs="Times New Roman"/>
          <w:sz w:val="24"/>
          <w:szCs w:val="24"/>
        </w:rPr>
      </w:pPr>
      <w:r w:rsidRPr="003E6FBD">
        <w:rPr>
          <w:rFonts w:ascii="Times New Roman" w:hAnsi="Times New Roman" w:cs="Times New Roman"/>
          <w:b/>
          <w:sz w:val="24"/>
          <w:szCs w:val="24"/>
          <w:u w:val="single"/>
        </w:rPr>
        <w:t>Short Answer</w:t>
      </w:r>
      <w:r>
        <w:rPr>
          <w:rFonts w:ascii="Times New Roman" w:hAnsi="Times New Roman" w:cs="Times New Roman"/>
          <w:sz w:val="24"/>
          <w:szCs w:val="24"/>
        </w:rPr>
        <w:t xml:space="preserve"> (20 points)</w:t>
      </w:r>
    </w:p>
    <w:p w:rsidR="002E46E0" w:rsidRDefault="002E46E0" w:rsidP="0024522A">
      <w:pPr>
        <w:pStyle w:val="ListParagraph"/>
        <w:numPr>
          <w:ilvl w:val="0"/>
          <w:numId w:val="3"/>
        </w:numPr>
        <w:autoSpaceDE w:val="0"/>
        <w:autoSpaceDN w:val="0"/>
        <w:adjustRightInd w:val="0"/>
        <w:spacing w:after="240" w:line="240" w:lineRule="auto"/>
        <w:ind w:left="360"/>
        <w:contextualSpacing w:val="0"/>
        <w:rPr>
          <w:rFonts w:ascii="Times New Roman" w:hAnsi="Times New Roman" w:cs="Times New Roman"/>
          <w:sz w:val="24"/>
          <w:szCs w:val="24"/>
        </w:rPr>
      </w:pPr>
      <w:r w:rsidRPr="002E46E0">
        <w:rPr>
          <w:rFonts w:ascii="Times New Roman" w:hAnsi="Times New Roman" w:cs="Times New Roman"/>
          <w:sz w:val="24"/>
          <w:szCs w:val="24"/>
        </w:rPr>
        <w:t>(4 points</w:t>
      </w:r>
      <w:r w:rsidR="0014153E">
        <w:rPr>
          <w:rFonts w:ascii="Times New Roman" w:hAnsi="Times New Roman" w:cs="Times New Roman"/>
          <w:sz w:val="24"/>
          <w:szCs w:val="24"/>
        </w:rPr>
        <w:t>; there are more examples below than required to obtain the full 4 points</w:t>
      </w:r>
      <w:r w:rsidRPr="002E46E0">
        <w:rPr>
          <w:rFonts w:ascii="Times New Roman" w:hAnsi="Times New Roman" w:cs="Times New Roman"/>
          <w:sz w:val="24"/>
          <w:szCs w:val="24"/>
        </w:rPr>
        <w:t>)</w:t>
      </w:r>
    </w:p>
    <w:p w:rsidR="002E46E0" w:rsidRPr="002E46E0" w:rsidRDefault="00546709" w:rsidP="0024522A">
      <w:pPr>
        <w:pStyle w:val="ListParagraph"/>
        <w:autoSpaceDE w:val="0"/>
        <w:autoSpaceDN w:val="0"/>
        <w:adjustRightInd w:val="0"/>
        <w:spacing w:after="240" w:line="240" w:lineRule="auto"/>
        <w:ind w:left="360"/>
        <w:contextualSpacing w:val="0"/>
        <w:rPr>
          <w:rFonts w:ascii="Times New Roman" w:hAnsi="Times New Roman" w:cs="Times New Roman"/>
          <w:sz w:val="24"/>
          <w:szCs w:val="24"/>
        </w:rPr>
      </w:pPr>
      <w:r w:rsidRPr="002E46E0">
        <w:rPr>
          <w:rFonts w:ascii="Times New Roman" w:hAnsi="Times New Roman" w:cs="Times New Roman"/>
          <w:sz w:val="24"/>
          <w:szCs w:val="24"/>
        </w:rPr>
        <w:t>If there is a market failure, such as an externality or monopoly, government regulation might improve the well-being of society by promoting efficiency.</w:t>
      </w:r>
      <w:r w:rsidR="00FD0A27">
        <w:rPr>
          <w:rFonts w:ascii="Times New Roman" w:hAnsi="Times New Roman" w:cs="Times New Roman"/>
          <w:sz w:val="24"/>
          <w:szCs w:val="24"/>
        </w:rPr>
        <w:t xml:space="preserve"> </w:t>
      </w:r>
      <w:r w:rsidRPr="002E46E0">
        <w:rPr>
          <w:rFonts w:ascii="Times New Roman" w:hAnsi="Times New Roman" w:cs="Times New Roman"/>
          <w:sz w:val="24"/>
          <w:szCs w:val="24"/>
        </w:rPr>
        <w:t xml:space="preserve"> </w:t>
      </w:r>
      <w:r w:rsidR="00FD0A27">
        <w:rPr>
          <w:rFonts w:ascii="Times New Roman" w:hAnsi="Times New Roman" w:cs="Times New Roman"/>
          <w:sz w:val="24"/>
          <w:szCs w:val="24"/>
        </w:rPr>
        <w:t xml:space="preserve">If there is an illegal market, for example, for drugs, government might design policies to </w:t>
      </w:r>
      <w:r w:rsidR="008844C2">
        <w:rPr>
          <w:rFonts w:ascii="Times New Roman" w:hAnsi="Times New Roman" w:cs="Times New Roman"/>
          <w:sz w:val="24"/>
          <w:szCs w:val="24"/>
        </w:rPr>
        <w:t xml:space="preserve">reduce activity in that market.  </w:t>
      </w:r>
      <w:r w:rsidRPr="002E46E0">
        <w:rPr>
          <w:rFonts w:ascii="Times New Roman" w:hAnsi="Times New Roman" w:cs="Times New Roman"/>
          <w:sz w:val="24"/>
          <w:szCs w:val="24"/>
        </w:rPr>
        <w:t xml:space="preserve">If the distribution of income or wealth is considered to be unfair by society, government intervention </w:t>
      </w:r>
      <w:r w:rsidR="002544FC">
        <w:rPr>
          <w:rFonts w:ascii="Times New Roman" w:hAnsi="Times New Roman" w:cs="Times New Roman"/>
          <w:sz w:val="24"/>
          <w:szCs w:val="24"/>
        </w:rPr>
        <w:t xml:space="preserve">through a minimum wage or </w:t>
      </w:r>
      <w:r w:rsidR="00FD0A27">
        <w:rPr>
          <w:rFonts w:ascii="Times New Roman" w:hAnsi="Times New Roman" w:cs="Times New Roman"/>
          <w:sz w:val="24"/>
          <w:szCs w:val="24"/>
        </w:rPr>
        <w:t xml:space="preserve">rent control </w:t>
      </w:r>
      <w:r w:rsidRPr="002E46E0">
        <w:rPr>
          <w:rFonts w:ascii="Times New Roman" w:hAnsi="Times New Roman" w:cs="Times New Roman"/>
          <w:sz w:val="24"/>
          <w:szCs w:val="24"/>
        </w:rPr>
        <w:t>might achieve a more equitable distribution of economic well-being</w:t>
      </w:r>
      <w:r w:rsidR="002544FC">
        <w:rPr>
          <w:rFonts w:ascii="Times New Roman" w:hAnsi="Times New Roman" w:cs="Times New Roman"/>
          <w:sz w:val="24"/>
          <w:szCs w:val="24"/>
        </w:rPr>
        <w:t>.</w:t>
      </w:r>
    </w:p>
    <w:p w:rsidR="002E46E0" w:rsidRPr="002E46E0" w:rsidRDefault="002E46E0" w:rsidP="0024522A">
      <w:pPr>
        <w:pStyle w:val="ListParagraph"/>
        <w:numPr>
          <w:ilvl w:val="0"/>
          <w:numId w:val="3"/>
        </w:numPr>
        <w:autoSpaceDE w:val="0"/>
        <w:autoSpaceDN w:val="0"/>
        <w:adjustRightInd w:val="0"/>
        <w:spacing w:after="240" w:line="240" w:lineRule="auto"/>
        <w:ind w:left="360"/>
        <w:contextualSpacing w:val="0"/>
        <w:rPr>
          <w:rFonts w:ascii="Times New Roman" w:hAnsi="Times New Roman" w:cs="Times New Roman"/>
          <w:sz w:val="24"/>
          <w:szCs w:val="24"/>
        </w:rPr>
      </w:pPr>
      <w:r w:rsidRPr="002E46E0">
        <w:rPr>
          <w:rFonts w:ascii="Times New Roman" w:hAnsi="Times New Roman" w:cs="Times New Roman"/>
          <w:sz w:val="24"/>
          <w:szCs w:val="24"/>
        </w:rPr>
        <w:t>(</w:t>
      </w:r>
      <w:r>
        <w:rPr>
          <w:rFonts w:ascii="Times New Roman" w:hAnsi="Times New Roman" w:cs="Times New Roman"/>
          <w:sz w:val="24"/>
          <w:szCs w:val="24"/>
        </w:rPr>
        <w:t>8</w:t>
      </w:r>
      <w:r w:rsidRPr="002E46E0">
        <w:rPr>
          <w:rFonts w:ascii="Times New Roman" w:hAnsi="Times New Roman" w:cs="Times New Roman"/>
          <w:sz w:val="24"/>
          <w:szCs w:val="24"/>
        </w:rPr>
        <w:t xml:space="preserve"> points</w:t>
      </w:r>
      <w:r>
        <w:rPr>
          <w:rFonts w:ascii="Times New Roman" w:hAnsi="Times New Roman" w:cs="Times New Roman"/>
          <w:sz w:val="24"/>
          <w:szCs w:val="24"/>
        </w:rPr>
        <w:t>; 2 points for each part</w:t>
      </w:r>
      <w:r w:rsidRPr="002E46E0">
        <w:rPr>
          <w:rFonts w:ascii="Times New Roman" w:hAnsi="Times New Roman" w:cs="Times New Roman"/>
          <w:sz w:val="24"/>
          <w:szCs w:val="24"/>
        </w:rPr>
        <w:t>)</w:t>
      </w:r>
    </w:p>
    <w:p w:rsidR="002E46E0" w:rsidRDefault="00546709" w:rsidP="0024522A">
      <w:pPr>
        <w:pStyle w:val="ListParagraph"/>
        <w:numPr>
          <w:ilvl w:val="0"/>
          <w:numId w:val="2"/>
        </w:numPr>
        <w:autoSpaceDE w:val="0"/>
        <w:autoSpaceDN w:val="0"/>
        <w:adjustRightInd w:val="0"/>
        <w:spacing w:after="240" w:line="240" w:lineRule="auto"/>
        <w:contextualSpacing w:val="0"/>
        <w:rPr>
          <w:rFonts w:ascii="Times New Roman" w:hAnsi="Times New Roman" w:cs="Times New Roman"/>
          <w:sz w:val="24"/>
          <w:szCs w:val="24"/>
        </w:rPr>
      </w:pPr>
      <w:r w:rsidRPr="002E46E0">
        <w:rPr>
          <w:rFonts w:ascii="Times New Roman" w:hAnsi="Times New Roman" w:cs="Times New Roman"/>
          <w:sz w:val="24"/>
          <w:szCs w:val="24"/>
        </w:rPr>
        <w:t>In terms of labour time spent making TVs and shoes, both goods cost less in Korea than in Taiwan, 0.33 weeks per TV and 0.05 weeks per pair of shoes in Korea, and 0.5 weeks per TV and 0.1 weeks per pair of shoes in Taiwan</w:t>
      </w:r>
      <w:r w:rsidR="0090710D">
        <w:rPr>
          <w:rFonts w:ascii="Times New Roman" w:hAnsi="Times New Roman" w:cs="Times New Roman"/>
          <w:sz w:val="24"/>
          <w:szCs w:val="24"/>
        </w:rPr>
        <w:t>.  Korea possesses an absolute advantage in producing both goods.</w:t>
      </w:r>
    </w:p>
    <w:p w:rsidR="002E46E0" w:rsidRDefault="00546709" w:rsidP="0024522A">
      <w:pPr>
        <w:pStyle w:val="ListParagraph"/>
        <w:numPr>
          <w:ilvl w:val="0"/>
          <w:numId w:val="2"/>
        </w:numPr>
        <w:autoSpaceDE w:val="0"/>
        <w:autoSpaceDN w:val="0"/>
        <w:adjustRightInd w:val="0"/>
        <w:spacing w:after="240" w:line="240" w:lineRule="auto"/>
        <w:contextualSpacing w:val="0"/>
        <w:rPr>
          <w:rFonts w:ascii="Times New Roman" w:hAnsi="Times New Roman" w:cs="Times New Roman"/>
          <w:sz w:val="24"/>
          <w:szCs w:val="24"/>
        </w:rPr>
      </w:pPr>
      <w:r w:rsidRPr="002E46E0">
        <w:rPr>
          <w:rFonts w:ascii="Times New Roman" w:hAnsi="Times New Roman" w:cs="Times New Roman"/>
          <w:sz w:val="24"/>
          <w:szCs w:val="24"/>
        </w:rPr>
        <w:t>In terms of opportunity cost, TVs cost less in Taiwan than in Korea: 5 pairs of shoes per TV in Taiwan and 6.67 pairs of shoes per TV in Korea</w:t>
      </w:r>
      <w:r w:rsidR="0090710D">
        <w:rPr>
          <w:rFonts w:ascii="Times New Roman" w:hAnsi="Times New Roman" w:cs="Times New Roman"/>
          <w:sz w:val="24"/>
          <w:szCs w:val="24"/>
        </w:rPr>
        <w:t>.  Taiwan possesses a comparative advantage in TV production.</w:t>
      </w:r>
    </w:p>
    <w:p w:rsidR="002E46E0" w:rsidRDefault="00546709" w:rsidP="0024522A">
      <w:pPr>
        <w:pStyle w:val="ListParagraph"/>
        <w:numPr>
          <w:ilvl w:val="0"/>
          <w:numId w:val="2"/>
        </w:numPr>
        <w:autoSpaceDE w:val="0"/>
        <w:autoSpaceDN w:val="0"/>
        <w:adjustRightInd w:val="0"/>
        <w:spacing w:after="240" w:line="240" w:lineRule="auto"/>
        <w:contextualSpacing w:val="0"/>
        <w:rPr>
          <w:rFonts w:ascii="Times New Roman" w:hAnsi="Times New Roman" w:cs="Times New Roman"/>
          <w:sz w:val="24"/>
          <w:szCs w:val="24"/>
        </w:rPr>
      </w:pPr>
      <w:r w:rsidRPr="002E46E0">
        <w:rPr>
          <w:rFonts w:ascii="Times New Roman" w:hAnsi="Times New Roman" w:cs="Times New Roman"/>
          <w:sz w:val="24"/>
          <w:szCs w:val="24"/>
        </w:rPr>
        <w:t xml:space="preserve">Since Taiwan has a comparative advantage in TVs, it will export TVs. </w:t>
      </w:r>
      <w:r w:rsidR="00676692">
        <w:rPr>
          <w:rFonts w:ascii="Times New Roman" w:hAnsi="Times New Roman" w:cs="Times New Roman"/>
          <w:sz w:val="24"/>
          <w:szCs w:val="24"/>
        </w:rPr>
        <w:t xml:space="preserve"> </w:t>
      </w:r>
      <w:r w:rsidRPr="002E46E0">
        <w:rPr>
          <w:rFonts w:ascii="Times New Roman" w:hAnsi="Times New Roman" w:cs="Times New Roman"/>
          <w:sz w:val="24"/>
          <w:szCs w:val="24"/>
        </w:rPr>
        <w:t>Since Korea has a comparative advantage in making shoes, it will export shoes</w:t>
      </w:r>
      <w:r w:rsidR="00676692">
        <w:rPr>
          <w:rFonts w:ascii="Times New Roman" w:hAnsi="Times New Roman" w:cs="Times New Roman"/>
          <w:sz w:val="24"/>
          <w:szCs w:val="24"/>
        </w:rPr>
        <w:t>.</w:t>
      </w:r>
    </w:p>
    <w:p w:rsidR="002E46E0" w:rsidRDefault="00546709" w:rsidP="0024522A">
      <w:pPr>
        <w:pStyle w:val="ListParagraph"/>
        <w:numPr>
          <w:ilvl w:val="0"/>
          <w:numId w:val="2"/>
        </w:numPr>
        <w:autoSpaceDE w:val="0"/>
        <w:autoSpaceDN w:val="0"/>
        <w:adjustRightInd w:val="0"/>
        <w:spacing w:after="240" w:line="240" w:lineRule="auto"/>
        <w:contextualSpacing w:val="0"/>
        <w:rPr>
          <w:rFonts w:ascii="Times New Roman" w:hAnsi="Times New Roman" w:cs="Times New Roman"/>
          <w:sz w:val="24"/>
          <w:szCs w:val="24"/>
        </w:rPr>
      </w:pPr>
      <w:r w:rsidRPr="002E46E0">
        <w:rPr>
          <w:rFonts w:ascii="Times New Roman" w:hAnsi="Times New Roman" w:cs="Times New Roman"/>
          <w:sz w:val="24"/>
          <w:szCs w:val="24"/>
        </w:rPr>
        <w:t>No country would have a comparative advantage since opportunity costs will be the same for both countries and therefore engaging in trade would benefit neither country</w:t>
      </w:r>
      <w:r w:rsidR="00676692">
        <w:rPr>
          <w:rFonts w:ascii="Times New Roman" w:hAnsi="Times New Roman" w:cs="Times New Roman"/>
          <w:sz w:val="24"/>
          <w:szCs w:val="24"/>
        </w:rPr>
        <w:t>.</w:t>
      </w:r>
    </w:p>
    <w:p w:rsidR="00FE460A" w:rsidRPr="002E46E0" w:rsidRDefault="002E46E0" w:rsidP="0024522A">
      <w:pPr>
        <w:pStyle w:val="ListParagraph"/>
        <w:keepNext/>
        <w:numPr>
          <w:ilvl w:val="0"/>
          <w:numId w:val="3"/>
        </w:numPr>
        <w:autoSpaceDE w:val="0"/>
        <w:autoSpaceDN w:val="0"/>
        <w:adjustRightInd w:val="0"/>
        <w:spacing w:after="240" w:line="240" w:lineRule="auto"/>
        <w:ind w:left="360"/>
        <w:contextualSpacing w:val="0"/>
        <w:rPr>
          <w:rFonts w:ascii="Times New Roman" w:hAnsi="Times New Roman" w:cs="Times New Roman"/>
          <w:sz w:val="24"/>
          <w:szCs w:val="24"/>
        </w:rPr>
      </w:pPr>
      <w:r>
        <w:rPr>
          <w:rFonts w:ascii="Times New Roman" w:hAnsi="Times New Roman" w:cs="Times New Roman"/>
          <w:sz w:val="24"/>
          <w:szCs w:val="24"/>
        </w:rPr>
        <w:lastRenderedPageBreak/>
        <w:t>(8 points)</w:t>
      </w:r>
    </w:p>
    <w:p w:rsidR="004924EC" w:rsidRDefault="00241050" w:rsidP="0024522A">
      <w:pPr>
        <w:spacing w:after="240" w:line="240" w:lineRule="auto"/>
        <w:ind w:left="360"/>
        <w:rPr>
          <w:rFonts w:ascii="Times New Roman" w:hAnsi="Times New Roman" w:cs="Times New Roman"/>
          <w:sz w:val="24"/>
          <w:szCs w:val="24"/>
        </w:rPr>
      </w:pPr>
      <w:r>
        <w:rPr>
          <w:rFonts w:ascii="Times New Roman" w:hAnsi="Times New Roman" w:cs="Times New Roman"/>
          <w:sz w:val="24"/>
          <w:szCs w:val="24"/>
        </w:rPr>
        <w:t xml:space="preserve">The burden of a tax </w:t>
      </w:r>
      <w:r w:rsidR="004924EC">
        <w:rPr>
          <w:rFonts w:ascii="Times New Roman" w:hAnsi="Times New Roman" w:cs="Times New Roman"/>
          <w:sz w:val="24"/>
          <w:szCs w:val="24"/>
        </w:rPr>
        <w:t>refers to who pays the tax.  If a tax is imposed on a market that was not previously taxed, will it be consumers or producers who actually pay the tax?  (1 point)</w:t>
      </w:r>
    </w:p>
    <w:p w:rsidR="004924EC" w:rsidRDefault="004924EC" w:rsidP="0024522A">
      <w:pPr>
        <w:spacing w:after="240" w:line="240" w:lineRule="auto"/>
        <w:ind w:left="360"/>
        <w:rPr>
          <w:rFonts w:ascii="Times New Roman" w:hAnsi="Times New Roman" w:cs="Times New Roman"/>
          <w:sz w:val="24"/>
          <w:szCs w:val="24"/>
        </w:rPr>
      </w:pPr>
      <w:r>
        <w:rPr>
          <w:rFonts w:ascii="Times New Roman" w:hAnsi="Times New Roman" w:cs="Times New Roman"/>
          <w:sz w:val="24"/>
          <w:szCs w:val="24"/>
        </w:rPr>
        <w:t>The answer is that</w:t>
      </w:r>
      <w:r w:rsidR="0053435F">
        <w:rPr>
          <w:rFonts w:ascii="Times New Roman" w:hAnsi="Times New Roman" w:cs="Times New Roman"/>
          <w:sz w:val="24"/>
          <w:szCs w:val="24"/>
        </w:rPr>
        <w:t xml:space="preserve"> it doesn’t matter if the tax is </w:t>
      </w:r>
      <w:r w:rsidR="00284000">
        <w:rPr>
          <w:rFonts w:ascii="Times New Roman" w:hAnsi="Times New Roman" w:cs="Times New Roman"/>
          <w:sz w:val="24"/>
          <w:szCs w:val="24"/>
        </w:rPr>
        <w:t>imposed</w:t>
      </w:r>
      <w:r w:rsidR="0053435F">
        <w:rPr>
          <w:rFonts w:ascii="Times New Roman" w:hAnsi="Times New Roman" w:cs="Times New Roman"/>
          <w:sz w:val="24"/>
          <w:szCs w:val="24"/>
        </w:rPr>
        <w:t xml:space="preserve"> on buyers or sellers</w:t>
      </w:r>
      <w:r w:rsidR="00284000">
        <w:rPr>
          <w:rFonts w:ascii="Times New Roman" w:hAnsi="Times New Roman" w:cs="Times New Roman"/>
          <w:sz w:val="24"/>
          <w:szCs w:val="24"/>
        </w:rPr>
        <w:t xml:space="preserve"> – the effects on equilibrium price and quantity, and tax incidence are the same</w:t>
      </w:r>
      <w:r w:rsidR="0053435F">
        <w:rPr>
          <w:rFonts w:ascii="Times New Roman" w:hAnsi="Times New Roman" w:cs="Times New Roman"/>
          <w:sz w:val="24"/>
          <w:szCs w:val="24"/>
        </w:rPr>
        <w:t>.  Rather,</w:t>
      </w:r>
      <w:r>
        <w:rPr>
          <w:rFonts w:ascii="Times New Roman" w:hAnsi="Times New Roman" w:cs="Times New Roman"/>
          <w:sz w:val="24"/>
          <w:szCs w:val="24"/>
        </w:rPr>
        <w:t xml:space="preserve"> w</w:t>
      </w:r>
      <w:r w:rsidR="007B3150">
        <w:rPr>
          <w:rFonts w:ascii="Times New Roman" w:hAnsi="Times New Roman" w:cs="Times New Roman"/>
          <w:sz w:val="24"/>
          <w:szCs w:val="24"/>
        </w:rPr>
        <w:t xml:space="preserve">hatever side of the market is more inelastic bears the larger burden.  </w:t>
      </w:r>
      <w:r w:rsidR="00241050">
        <w:rPr>
          <w:rFonts w:ascii="Times New Roman" w:hAnsi="Times New Roman" w:cs="Times New Roman"/>
          <w:sz w:val="24"/>
          <w:szCs w:val="24"/>
        </w:rPr>
        <w:t xml:space="preserve">For example, if the supply curve is relatively more inelastic </w:t>
      </w:r>
      <w:r>
        <w:rPr>
          <w:rFonts w:ascii="Times New Roman" w:hAnsi="Times New Roman" w:cs="Times New Roman"/>
          <w:sz w:val="24"/>
          <w:szCs w:val="24"/>
        </w:rPr>
        <w:t xml:space="preserve">(it does not have to be inelastic) </w:t>
      </w:r>
      <w:r w:rsidR="00241050">
        <w:rPr>
          <w:rFonts w:ascii="Times New Roman" w:hAnsi="Times New Roman" w:cs="Times New Roman"/>
          <w:sz w:val="24"/>
          <w:szCs w:val="24"/>
        </w:rPr>
        <w:t xml:space="preserve">than the demand curve, sellers will bear a larger burden of the tax.  </w:t>
      </w:r>
      <w:r w:rsidR="000C2CB3">
        <w:rPr>
          <w:rFonts w:ascii="Times New Roman" w:hAnsi="Times New Roman" w:cs="Times New Roman"/>
          <w:sz w:val="24"/>
          <w:szCs w:val="24"/>
        </w:rPr>
        <w:t>Alternatively, t</w:t>
      </w:r>
      <w:r>
        <w:rPr>
          <w:rFonts w:ascii="Times New Roman" w:hAnsi="Times New Roman" w:cs="Times New Roman"/>
          <w:sz w:val="24"/>
          <w:szCs w:val="24"/>
        </w:rPr>
        <w:t xml:space="preserve">he opposite is true if the demand curve is more inelastic (it does not have to be inelastic) </w:t>
      </w:r>
      <w:r w:rsidR="00284000">
        <w:rPr>
          <w:rFonts w:ascii="Times New Roman" w:hAnsi="Times New Roman" w:cs="Times New Roman"/>
          <w:sz w:val="24"/>
          <w:szCs w:val="24"/>
        </w:rPr>
        <w:t xml:space="preserve">relative to </w:t>
      </w:r>
      <w:r>
        <w:rPr>
          <w:rFonts w:ascii="Times New Roman" w:hAnsi="Times New Roman" w:cs="Times New Roman"/>
          <w:sz w:val="24"/>
          <w:szCs w:val="24"/>
        </w:rPr>
        <w:t>the supply curve.  (2 points)</w:t>
      </w:r>
    </w:p>
    <w:p w:rsidR="00447846" w:rsidRDefault="0053435F" w:rsidP="0024522A">
      <w:pPr>
        <w:spacing w:after="240" w:line="240" w:lineRule="auto"/>
        <w:ind w:left="360"/>
        <w:rPr>
          <w:rFonts w:ascii="Times New Roman" w:hAnsi="Times New Roman" w:cs="Times New Roman"/>
          <w:sz w:val="24"/>
          <w:szCs w:val="24"/>
        </w:rPr>
      </w:pPr>
      <w:r>
        <w:rPr>
          <w:rFonts w:ascii="Times New Roman" w:hAnsi="Times New Roman" w:cs="Times New Roman"/>
          <w:sz w:val="24"/>
          <w:szCs w:val="24"/>
        </w:rPr>
        <w:t>The</w:t>
      </w:r>
      <w:r w:rsidR="004924EC">
        <w:rPr>
          <w:rFonts w:ascii="Times New Roman" w:hAnsi="Times New Roman" w:cs="Times New Roman"/>
          <w:sz w:val="24"/>
          <w:szCs w:val="24"/>
        </w:rPr>
        <w:t xml:space="preserve"> following diagram</w:t>
      </w:r>
      <w:r>
        <w:rPr>
          <w:rFonts w:ascii="Times New Roman" w:hAnsi="Times New Roman" w:cs="Times New Roman"/>
          <w:sz w:val="24"/>
          <w:szCs w:val="24"/>
        </w:rPr>
        <w:t xml:space="preserve"> illustrates the first of the two cases</w:t>
      </w:r>
      <w:r w:rsidR="005D383A">
        <w:rPr>
          <w:rFonts w:ascii="Times New Roman" w:hAnsi="Times New Roman" w:cs="Times New Roman"/>
          <w:sz w:val="24"/>
          <w:szCs w:val="24"/>
        </w:rPr>
        <w:t xml:space="preserve"> – supply is relatively more inelastic than demand</w:t>
      </w:r>
      <w:r w:rsidR="004924EC">
        <w:rPr>
          <w:rFonts w:ascii="Times New Roman" w:hAnsi="Times New Roman" w:cs="Times New Roman"/>
          <w:sz w:val="24"/>
          <w:szCs w:val="24"/>
        </w:rPr>
        <w:t xml:space="preserve">.  </w:t>
      </w:r>
      <w:r w:rsidR="004E06FB">
        <w:rPr>
          <w:rFonts w:ascii="Times New Roman" w:hAnsi="Times New Roman" w:cs="Times New Roman"/>
          <w:sz w:val="24"/>
          <w:szCs w:val="24"/>
        </w:rPr>
        <w:t xml:space="preserve">The initial equilibrium is at point A with equilibrium price </w:t>
      </w:r>
      <m:oMath>
        <m:sSup>
          <m:sSupPr>
            <m:ctrlPr>
              <w:rPr>
                <w:rFonts w:ascii="Cambria Math" w:hAnsi="Cambria Math" w:cs="Times New Roman"/>
                <w:i/>
                <w:sz w:val="24"/>
                <w:szCs w:val="24"/>
              </w:rPr>
            </m:ctrlPr>
          </m:sSupPr>
          <m:e>
            <m:r>
              <w:rPr>
                <w:rFonts w:ascii="Cambria Math" w:hAnsi="Cambria Math" w:cs="Times New Roman"/>
                <w:sz w:val="24"/>
                <w:szCs w:val="24"/>
              </w:rPr>
              <m:t>P</m:t>
            </m:r>
          </m:e>
          <m:sup>
            <m:r>
              <w:rPr>
                <w:rFonts w:ascii="Cambria Math" w:hAnsi="Cambria Math" w:cs="Times New Roman"/>
                <w:sz w:val="24"/>
                <w:szCs w:val="24"/>
              </w:rPr>
              <m:t>*</m:t>
            </m:r>
          </m:sup>
        </m:sSup>
      </m:oMath>
      <w:r w:rsidR="004E06FB">
        <w:rPr>
          <w:rFonts w:ascii="Times New Roman" w:eastAsiaTheme="minorEastAsia" w:hAnsi="Times New Roman" w:cs="Times New Roman"/>
          <w:sz w:val="24"/>
          <w:szCs w:val="24"/>
        </w:rPr>
        <w:t xml:space="preserve"> and equilibrium quantity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Q</m:t>
            </m:r>
          </m:e>
          <m:sup>
            <m:r>
              <w:rPr>
                <w:rFonts w:ascii="Cambria Math" w:eastAsiaTheme="minorEastAsia" w:hAnsi="Cambria Math" w:cs="Times New Roman"/>
                <w:sz w:val="24"/>
                <w:szCs w:val="24"/>
              </w:rPr>
              <m:t>*</m:t>
            </m:r>
          </m:sup>
        </m:sSup>
      </m:oMath>
      <w:r w:rsidR="004E06FB">
        <w:rPr>
          <w:rFonts w:ascii="Times New Roman" w:eastAsiaTheme="minorEastAsia" w:hAnsi="Times New Roman" w:cs="Times New Roman"/>
          <w:sz w:val="24"/>
          <w:szCs w:val="24"/>
        </w:rPr>
        <w:t xml:space="preserve">.  A tax imposes a wedge between the price sellers receive and buyers pay.  The price buyers pay rises to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m:t>
            </m:r>
          </m:e>
          <m:sup>
            <m:r>
              <w:rPr>
                <w:rFonts w:ascii="Cambria Math" w:eastAsiaTheme="minorEastAsia" w:hAnsi="Cambria Math" w:cs="Times New Roman"/>
                <w:sz w:val="24"/>
                <w:szCs w:val="24"/>
              </w:rPr>
              <m:t>B</m:t>
            </m:r>
          </m:sup>
        </m:sSup>
      </m:oMath>
      <w:r w:rsidR="004E06FB">
        <w:rPr>
          <w:rFonts w:ascii="Times New Roman" w:eastAsiaTheme="minorEastAsia" w:hAnsi="Times New Roman" w:cs="Times New Roman"/>
          <w:sz w:val="24"/>
          <w:szCs w:val="24"/>
        </w:rPr>
        <w:t xml:space="preserve"> and the sellers receive falls to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m:t>
            </m:r>
          </m:e>
          <m:sup>
            <m:r>
              <w:rPr>
                <w:rFonts w:ascii="Cambria Math" w:eastAsiaTheme="minorEastAsia" w:hAnsi="Cambria Math" w:cs="Times New Roman"/>
                <w:sz w:val="24"/>
                <w:szCs w:val="24"/>
              </w:rPr>
              <m:t>S</m:t>
            </m:r>
          </m:sup>
        </m:sSup>
      </m:oMath>
      <w:r w:rsidR="004E06FB">
        <w:rPr>
          <w:rFonts w:ascii="Times New Roman" w:eastAsiaTheme="minorEastAsia" w:hAnsi="Times New Roman" w:cs="Times New Roman"/>
          <w:sz w:val="24"/>
          <w:szCs w:val="24"/>
        </w:rPr>
        <w:t xml:space="preserve">.  Because the price for buyers has risen, the amount they demand falls, and equilibrium quantity in the presence of the tax falls to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T</m:t>
            </m:r>
          </m:sub>
        </m:sSub>
      </m:oMath>
      <w:r w:rsidR="004E06FB">
        <w:rPr>
          <w:rFonts w:ascii="Times New Roman" w:eastAsiaTheme="minorEastAsia" w:hAnsi="Times New Roman" w:cs="Times New Roman"/>
          <w:sz w:val="24"/>
          <w:szCs w:val="24"/>
        </w:rPr>
        <w:t xml:space="preserve">.  </w:t>
      </w:r>
      <w:r w:rsidR="005D383A">
        <w:rPr>
          <w:rFonts w:ascii="Times New Roman" w:hAnsi="Times New Roman" w:cs="Times New Roman"/>
          <w:sz w:val="24"/>
          <w:szCs w:val="24"/>
        </w:rPr>
        <w:t>Since</w:t>
      </w:r>
      <w:r w:rsidR="004924EC">
        <w:rPr>
          <w:rFonts w:ascii="Times New Roman" w:hAnsi="Times New Roman" w:cs="Times New Roman"/>
          <w:sz w:val="24"/>
          <w:szCs w:val="24"/>
        </w:rPr>
        <w:t xml:space="preserve"> supply is relatively more inelastic than demand</w:t>
      </w:r>
      <w:r w:rsidR="005D383A">
        <w:rPr>
          <w:rFonts w:ascii="Times New Roman" w:hAnsi="Times New Roman" w:cs="Times New Roman"/>
          <w:sz w:val="24"/>
          <w:szCs w:val="24"/>
        </w:rPr>
        <w:t xml:space="preserve">, </w:t>
      </w:r>
      <w:r w:rsidR="004924EC">
        <w:rPr>
          <w:rFonts w:ascii="Times New Roman" w:hAnsi="Times New Roman" w:cs="Times New Roman"/>
          <w:sz w:val="24"/>
          <w:szCs w:val="24"/>
        </w:rPr>
        <w:t xml:space="preserve">the tax burden on sellers is larger – the price they receive for their output falls by more than the increase in </w:t>
      </w:r>
      <w:r w:rsidR="005D383A">
        <w:rPr>
          <w:rFonts w:ascii="Times New Roman" w:hAnsi="Times New Roman" w:cs="Times New Roman"/>
          <w:sz w:val="24"/>
          <w:szCs w:val="24"/>
        </w:rPr>
        <w:t xml:space="preserve">the </w:t>
      </w:r>
      <w:r w:rsidR="004924EC">
        <w:rPr>
          <w:rFonts w:ascii="Times New Roman" w:hAnsi="Times New Roman" w:cs="Times New Roman"/>
          <w:sz w:val="24"/>
          <w:szCs w:val="24"/>
        </w:rPr>
        <w:t>price that buyers pay.</w:t>
      </w:r>
      <w:r w:rsidR="004E06FB">
        <w:rPr>
          <w:rFonts w:ascii="Times New Roman" w:hAnsi="Times New Roman" w:cs="Times New Roman"/>
          <w:sz w:val="24"/>
          <w:szCs w:val="24"/>
        </w:rPr>
        <w:t xml:space="preserve">  </w:t>
      </w:r>
      <w:r w:rsidR="005D383A">
        <w:rPr>
          <w:rFonts w:ascii="Times New Roman" w:hAnsi="Times New Roman" w:cs="Times New Roman"/>
          <w:sz w:val="24"/>
          <w:szCs w:val="24"/>
        </w:rPr>
        <w:t xml:space="preserve">Over time, if the supply curve becomes more elastic relative to the demand curve, the burden of the tax will be shared more equally between buyers and sellers.  </w:t>
      </w:r>
      <w:r w:rsidR="004E06FB">
        <w:rPr>
          <w:rFonts w:ascii="Times New Roman" w:hAnsi="Times New Roman" w:cs="Times New Roman"/>
          <w:sz w:val="24"/>
          <w:szCs w:val="24"/>
        </w:rPr>
        <w:t>(2 points</w:t>
      </w:r>
      <w:r>
        <w:rPr>
          <w:rFonts w:ascii="Times New Roman" w:hAnsi="Times New Roman" w:cs="Times New Roman"/>
          <w:sz w:val="24"/>
          <w:szCs w:val="24"/>
        </w:rPr>
        <w:t>; a similar explanation could also be provided for the second of the two cases</w:t>
      </w:r>
      <w:r w:rsidR="004E06FB">
        <w:rPr>
          <w:rFonts w:ascii="Times New Roman" w:hAnsi="Times New Roman" w:cs="Times New Roman"/>
          <w:sz w:val="24"/>
          <w:szCs w:val="24"/>
        </w:rPr>
        <w:t>)</w:t>
      </w:r>
    </w:p>
    <w:p w:rsidR="004E06FB" w:rsidRPr="002E46E0" w:rsidRDefault="00DB356B" w:rsidP="0024522A">
      <w:pPr>
        <w:spacing w:after="240" w:line="240" w:lineRule="auto"/>
        <w:ind w:left="360"/>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E06FB" w:rsidRDefault="005D383A" w:rsidP="0024522A">
      <w:pPr>
        <w:spacing w:after="240" w:line="240" w:lineRule="auto"/>
        <w:ind w:left="360"/>
        <w:rPr>
          <w:rFonts w:ascii="Times New Roman" w:hAnsi="Times New Roman" w:cs="Times New Roman"/>
          <w:sz w:val="24"/>
          <w:szCs w:val="24"/>
        </w:rPr>
      </w:pPr>
      <w:r>
        <w:rPr>
          <w:rFonts w:ascii="Times New Roman" w:hAnsi="Times New Roman" w:cs="Times New Roman"/>
          <w:sz w:val="24"/>
          <w:szCs w:val="24"/>
        </w:rPr>
        <w:t>(3 points for the diagram)</w:t>
      </w:r>
    </w:p>
    <w:p w:rsidR="0053435F" w:rsidRPr="002E46E0" w:rsidRDefault="0053435F" w:rsidP="0053435F">
      <w:pPr>
        <w:ind w:left="360"/>
        <w:rPr>
          <w:rFonts w:ascii="Times New Roman" w:hAnsi="Times New Roman" w:cs="Times New Roman"/>
          <w:sz w:val="24"/>
          <w:szCs w:val="24"/>
        </w:rPr>
      </w:pPr>
    </w:p>
    <w:sectPr w:rsidR="0053435F" w:rsidRPr="002E46E0" w:rsidSect="00900975">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0B8" w:rsidRDefault="00B370B8" w:rsidP="0024522A">
      <w:pPr>
        <w:spacing w:after="0" w:line="240" w:lineRule="auto"/>
      </w:pPr>
      <w:r>
        <w:separator/>
      </w:r>
    </w:p>
  </w:endnote>
  <w:endnote w:type="continuationSeparator" w:id="0">
    <w:p w:rsidR="00B370B8" w:rsidRDefault="00B370B8" w:rsidP="002452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71268"/>
      <w:docPartObj>
        <w:docPartGallery w:val="Page Numbers (Bottom of Page)"/>
        <w:docPartUnique/>
      </w:docPartObj>
    </w:sdtPr>
    <w:sdtContent>
      <w:p w:rsidR="0024522A" w:rsidRDefault="006A13C7">
        <w:pPr>
          <w:pStyle w:val="Footer"/>
          <w:jc w:val="right"/>
        </w:pPr>
        <w:fldSimple w:instr=" PAGE   \* MERGEFORMAT ">
          <w:r w:rsidR="000A2673">
            <w:rPr>
              <w:noProof/>
            </w:rPr>
            <w:t>1</w:t>
          </w:r>
        </w:fldSimple>
      </w:p>
    </w:sdtContent>
  </w:sdt>
  <w:p w:rsidR="0024522A" w:rsidRDefault="002452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0B8" w:rsidRDefault="00B370B8" w:rsidP="0024522A">
      <w:pPr>
        <w:spacing w:after="0" w:line="240" w:lineRule="auto"/>
      </w:pPr>
      <w:r>
        <w:separator/>
      </w:r>
    </w:p>
  </w:footnote>
  <w:footnote w:type="continuationSeparator" w:id="0">
    <w:p w:rsidR="00B370B8" w:rsidRDefault="00B370B8" w:rsidP="002452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8609A4"/>
    <w:multiLevelType w:val="hybridMultilevel"/>
    <w:tmpl w:val="C1D459E4"/>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124555D"/>
    <w:multiLevelType w:val="hybridMultilevel"/>
    <w:tmpl w:val="4B36AC1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796B59EF"/>
    <w:multiLevelType w:val="hybridMultilevel"/>
    <w:tmpl w:val="6DFE2CA4"/>
    <w:lvl w:ilvl="0" w:tplc="2A6CD084">
      <w:start w:val="1"/>
      <w:numFmt w:val="decimal"/>
      <w:lvlText w:val="%1."/>
      <w:lvlJc w:val="left"/>
      <w:pPr>
        <w:ind w:left="720" w:hanging="360"/>
      </w:pPr>
      <w:rPr>
        <w:rFonts w:hint="default"/>
      </w:rPr>
    </w:lvl>
    <w:lvl w:ilvl="1" w:tplc="1B8E835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F320722"/>
    <w:multiLevelType w:val="hybridMultilevel"/>
    <w:tmpl w:val="E6D41534"/>
    <w:lvl w:ilvl="0" w:tplc="E1F6265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FE460A"/>
    <w:rsid w:val="000A2673"/>
    <w:rsid w:val="000C2CB3"/>
    <w:rsid w:val="000C5122"/>
    <w:rsid w:val="0014153E"/>
    <w:rsid w:val="00212E91"/>
    <w:rsid w:val="00224716"/>
    <w:rsid w:val="00241050"/>
    <w:rsid w:val="0024522A"/>
    <w:rsid w:val="002544FC"/>
    <w:rsid w:val="00284000"/>
    <w:rsid w:val="002E46E0"/>
    <w:rsid w:val="00447846"/>
    <w:rsid w:val="004924EC"/>
    <w:rsid w:val="004E06FB"/>
    <w:rsid w:val="0053435F"/>
    <w:rsid w:val="00546709"/>
    <w:rsid w:val="005B104F"/>
    <w:rsid w:val="005D383A"/>
    <w:rsid w:val="00676692"/>
    <w:rsid w:val="006A13C7"/>
    <w:rsid w:val="007B3150"/>
    <w:rsid w:val="008844C2"/>
    <w:rsid w:val="008844FB"/>
    <w:rsid w:val="008D2A85"/>
    <w:rsid w:val="00900975"/>
    <w:rsid w:val="0090710D"/>
    <w:rsid w:val="00A06820"/>
    <w:rsid w:val="00B370B8"/>
    <w:rsid w:val="00DB356B"/>
    <w:rsid w:val="00EA5344"/>
    <w:rsid w:val="00F87928"/>
    <w:rsid w:val="00FD0A27"/>
    <w:rsid w:val="00FE460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9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46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6E0"/>
    <w:pPr>
      <w:ind w:left="720"/>
      <w:contextualSpacing/>
    </w:pPr>
  </w:style>
  <w:style w:type="character" w:styleId="PlaceholderText">
    <w:name w:val="Placeholder Text"/>
    <w:basedOn w:val="DefaultParagraphFont"/>
    <w:uiPriority w:val="99"/>
    <w:semiHidden/>
    <w:rsid w:val="004924EC"/>
    <w:rPr>
      <w:color w:val="808080"/>
    </w:rPr>
  </w:style>
  <w:style w:type="paragraph" w:styleId="BalloonText">
    <w:name w:val="Balloon Text"/>
    <w:basedOn w:val="Normal"/>
    <w:link w:val="BalloonTextChar"/>
    <w:uiPriority w:val="99"/>
    <w:semiHidden/>
    <w:unhideWhenUsed/>
    <w:rsid w:val="00492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4EC"/>
    <w:rPr>
      <w:rFonts w:ascii="Tahoma" w:hAnsi="Tahoma" w:cs="Tahoma"/>
      <w:sz w:val="16"/>
      <w:szCs w:val="16"/>
    </w:rPr>
  </w:style>
  <w:style w:type="paragraph" w:styleId="Header">
    <w:name w:val="header"/>
    <w:basedOn w:val="Normal"/>
    <w:link w:val="HeaderChar"/>
    <w:uiPriority w:val="99"/>
    <w:semiHidden/>
    <w:unhideWhenUsed/>
    <w:rsid w:val="002452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522A"/>
  </w:style>
  <w:style w:type="paragraph" w:styleId="Footer">
    <w:name w:val="footer"/>
    <w:basedOn w:val="Normal"/>
    <w:link w:val="FooterChar"/>
    <w:uiPriority w:val="99"/>
    <w:unhideWhenUsed/>
    <w:rsid w:val="00245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2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autoTitleDeleted val="1"/>
    <c:plotArea>
      <c:layout>
        <c:manualLayout>
          <c:layoutTarget val="inner"/>
          <c:xMode val="edge"/>
          <c:yMode val="edge"/>
          <c:x val="0"/>
          <c:y val="0"/>
          <c:w val="1"/>
          <c:h val="1"/>
        </c:manualLayout>
      </c:layout>
      <c:lineChart>
        <c:grouping val="standard"/>
        <c:ser>
          <c:idx val="0"/>
          <c:order val="0"/>
          <c:tx>
            <c:strRef>
              <c:f>Sheet1!$B$1</c:f>
              <c:strCache>
                <c:ptCount val="1"/>
              </c:strCache>
            </c:strRef>
          </c:tx>
          <c:marker>
            <c:symbol val="none"/>
          </c:marker>
          <c:cat>
            <c:numRef>
              <c:f>Sheet1!$A$2:$A$5</c:f>
              <c:numCache>
                <c:formatCode>General</c:formatCode>
                <c:ptCount val="4"/>
              </c:numCache>
            </c:numRef>
          </c:cat>
          <c:val>
            <c:numRef>
              <c:f>Sheet1!$B$2:$B$5</c:f>
              <c:numCache>
                <c:formatCode>General</c:formatCode>
                <c:ptCount val="4"/>
              </c:numCache>
            </c:numRef>
          </c:val>
        </c:ser>
        <c:ser>
          <c:idx val="1"/>
          <c:order val="1"/>
          <c:tx>
            <c:strRef>
              <c:f>Sheet1!$C$1</c:f>
              <c:strCache>
                <c:ptCount val="1"/>
              </c:strCache>
            </c:strRef>
          </c:tx>
          <c:marker>
            <c:symbol val="none"/>
          </c:marker>
          <c:cat>
            <c:numRef>
              <c:f>Sheet1!$A$2:$A$5</c:f>
              <c:numCache>
                <c:formatCode>General</c:formatCode>
                <c:ptCount val="4"/>
              </c:numCache>
            </c:numRef>
          </c:cat>
          <c:val>
            <c:numRef>
              <c:f>Sheet1!$C$2:$C$5</c:f>
              <c:numCache>
                <c:formatCode>General</c:formatCode>
                <c:ptCount val="4"/>
              </c:numCache>
            </c:numRef>
          </c:val>
        </c:ser>
        <c:ser>
          <c:idx val="2"/>
          <c:order val="2"/>
          <c:tx>
            <c:strRef>
              <c:f>Sheet1!$D$1</c:f>
              <c:strCache>
                <c:ptCount val="1"/>
              </c:strCache>
            </c:strRef>
          </c:tx>
          <c:marker>
            <c:symbol val="none"/>
          </c:marker>
          <c:cat>
            <c:numRef>
              <c:f>Sheet1!$A$2:$A$5</c:f>
              <c:numCache>
                <c:formatCode>General</c:formatCode>
                <c:ptCount val="4"/>
              </c:numCache>
            </c:numRef>
          </c:cat>
          <c:val>
            <c:numRef>
              <c:f>Sheet1!$D$2:$D$5</c:f>
              <c:numCache>
                <c:formatCode>General</c:formatCode>
                <c:ptCount val="4"/>
              </c:numCache>
            </c:numRef>
          </c:val>
        </c:ser>
        <c:dLbls>
          <c:showVal val="1"/>
        </c:dLbls>
        <c:marker val="1"/>
        <c:axId val="77987200"/>
        <c:axId val="83387520"/>
      </c:lineChart>
      <c:catAx>
        <c:axId val="77987200"/>
        <c:scaling>
          <c:orientation val="minMax"/>
        </c:scaling>
        <c:delete val="1"/>
        <c:axPos val="b"/>
        <c:numFmt formatCode="General" sourceLinked="1"/>
        <c:majorTickMark val="none"/>
        <c:tickLblPos val="none"/>
        <c:crossAx val="83387520"/>
        <c:crosses val="autoZero"/>
        <c:auto val="1"/>
        <c:lblAlgn val="ctr"/>
        <c:lblOffset val="100"/>
      </c:catAx>
      <c:valAx>
        <c:axId val="83387520"/>
        <c:scaling>
          <c:orientation val="minMax"/>
        </c:scaling>
        <c:delete val="1"/>
        <c:axPos val="l"/>
        <c:numFmt formatCode="General" sourceLinked="1"/>
        <c:majorTickMark val="none"/>
        <c:tickLblPos val="none"/>
        <c:crossAx val="77987200"/>
        <c:crosses val="autoZero"/>
        <c:crossBetween val="between"/>
      </c:valAx>
      <c:spPr>
        <a:noFill/>
        <a:ln w="25400">
          <a:noFill/>
        </a:ln>
      </c:spPr>
    </c:plotArea>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0.09201</cdr:x>
      <cdr:y>0.91071</cdr:y>
    </cdr:from>
    <cdr:to>
      <cdr:x>0.88021</cdr:x>
      <cdr:y>0.91964</cdr:y>
    </cdr:to>
    <cdr:sp macro="" textlink="">
      <cdr:nvSpPr>
        <cdr:cNvPr id="3" name="Straight Arrow Connector 2"/>
        <cdr:cNvSpPr/>
      </cdr:nvSpPr>
      <cdr:spPr>
        <a:xfrm xmlns:a="http://schemas.openxmlformats.org/drawingml/2006/main">
          <a:off x="504825" y="2914650"/>
          <a:ext cx="4324350" cy="2857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0.90278</cdr:x>
      <cdr:y>0.87202</cdr:y>
    </cdr:from>
    <cdr:to>
      <cdr:x>0.96528</cdr:x>
      <cdr:y>0.97917</cdr:y>
    </cdr:to>
    <cdr:sp macro="" textlink="">
      <cdr:nvSpPr>
        <cdr:cNvPr id="4" name="TextBox 3"/>
        <cdr:cNvSpPr txBox="1"/>
      </cdr:nvSpPr>
      <cdr:spPr>
        <a:xfrm xmlns:a="http://schemas.openxmlformats.org/drawingml/2006/main">
          <a:off x="4953000" y="2790825"/>
          <a:ext cx="3429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Q</a:t>
          </a:r>
        </a:p>
      </cdr:txBody>
    </cdr:sp>
  </cdr:relSizeAnchor>
  <cdr:relSizeAnchor xmlns:cdr="http://schemas.openxmlformats.org/drawingml/2006/chartDrawing">
    <cdr:from>
      <cdr:x>0.08854</cdr:x>
      <cdr:y>0.08036</cdr:y>
    </cdr:from>
    <cdr:to>
      <cdr:x>0.09375</cdr:x>
      <cdr:y>0.90476</cdr:y>
    </cdr:to>
    <cdr:sp macro="" textlink="">
      <cdr:nvSpPr>
        <cdr:cNvPr id="6" name="Straight Arrow Connector 5"/>
        <cdr:cNvSpPr/>
      </cdr:nvSpPr>
      <cdr:spPr>
        <a:xfrm xmlns:a="http://schemas.openxmlformats.org/drawingml/2006/main" flipV="1">
          <a:off x="485775" y="257175"/>
          <a:ext cx="28575" cy="26384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0.01215</cdr:x>
      <cdr:y>0.02679</cdr:y>
    </cdr:from>
    <cdr:to>
      <cdr:x>0.06944</cdr:x>
      <cdr:y>0.11607</cdr:y>
    </cdr:to>
    <cdr:sp macro="" textlink="">
      <cdr:nvSpPr>
        <cdr:cNvPr id="7" name="TextBox 6"/>
        <cdr:cNvSpPr txBox="1"/>
      </cdr:nvSpPr>
      <cdr:spPr>
        <a:xfrm xmlns:a="http://schemas.openxmlformats.org/drawingml/2006/main">
          <a:off x="66675" y="85725"/>
          <a:ext cx="314325" cy="2857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a:t>
          </a:r>
        </a:p>
      </cdr:txBody>
    </cdr:sp>
  </cdr:relSizeAnchor>
  <cdr:relSizeAnchor xmlns:cdr="http://schemas.openxmlformats.org/drawingml/2006/chartDrawing">
    <cdr:from>
      <cdr:x>0.32986</cdr:x>
      <cdr:y>0.15179</cdr:y>
    </cdr:from>
    <cdr:to>
      <cdr:x>0.62326</cdr:x>
      <cdr:y>0.77976</cdr:y>
    </cdr:to>
    <cdr:sp macro="" textlink="">
      <cdr:nvSpPr>
        <cdr:cNvPr id="9" name="Straight Connector 8"/>
        <cdr:cNvSpPr/>
      </cdr:nvSpPr>
      <cdr:spPr>
        <a:xfrm xmlns:a="http://schemas.openxmlformats.org/drawingml/2006/main" flipV="1">
          <a:off x="1809750" y="485775"/>
          <a:ext cx="1609725" cy="20097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0.23438</cdr:x>
      <cdr:y>0.21726</cdr:y>
    </cdr:from>
    <cdr:to>
      <cdr:x>0.78993</cdr:x>
      <cdr:y>0.59226</cdr:y>
    </cdr:to>
    <cdr:sp macro="" textlink="">
      <cdr:nvSpPr>
        <cdr:cNvPr id="11" name="Straight Connector 10"/>
        <cdr:cNvSpPr/>
      </cdr:nvSpPr>
      <cdr:spPr>
        <a:xfrm xmlns:a="http://schemas.openxmlformats.org/drawingml/2006/main">
          <a:off x="1285875" y="695325"/>
          <a:ext cx="3048000" cy="12001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0.63715</cdr:x>
      <cdr:y>0.08631</cdr:y>
    </cdr:from>
    <cdr:to>
      <cdr:x>0.71354</cdr:x>
      <cdr:y>0.20238</cdr:y>
    </cdr:to>
    <cdr:sp macro="" textlink="">
      <cdr:nvSpPr>
        <cdr:cNvPr id="12" name="TextBox 11"/>
        <cdr:cNvSpPr txBox="1"/>
      </cdr:nvSpPr>
      <cdr:spPr>
        <a:xfrm xmlns:a="http://schemas.openxmlformats.org/drawingml/2006/main">
          <a:off x="3495675" y="276225"/>
          <a:ext cx="419100" cy="3714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S</a:t>
          </a:r>
        </a:p>
      </cdr:txBody>
    </cdr:sp>
  </cdr:relSizeAnchor>
  <cdr:relSizeAnchor xmlns:cdr="http://schemas.openxmlformats.org/drawingml/2006/chartDrawing">
    <cdr:from>
      <cdr:x>0.81771</cdr:x>
      <cdr:y>0.53274</cdr:y>
    </cdr:from>
    <cdr:to>
      <cdr:x>0.87153</cdr:x>
      <cdr:y>0.63393</cdr:y>
    </cdr:to>
    <cdr:sp macro="" textlink="">
      <cdr:nvSpPr>
        <cdr:cNvPr id="13" name="TextBox 12"/>
        <cdr:cNvSpPr txBox="1"/>
      </cdr:nvSpPr>
      <cdr:spPr>
        <a:xfrm xmlns:a="http://schemas.openxmlformats.org/drawingml/2006/main">
          <a:off x="4486275" y="1704975"/>
          <a:ext cx="295275" cy="3238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D</a:t>
          </a:r>
        </a:p>
      </cdr:txBody>
    </cdr:sp>
  </cdr:relSizeAnchor>
  <cdr:relSizeAnchor xmlns:cdr="http://schemas.openxmlformats.org/drawingml/2006/chartDrawing">
    <cdr:from>
      <cdr:x>0.4184</cdr:x>
      <cdr:y>0.34524</cdr:y>
    </cdr:from>
    <cdr:to>
      <cdr:x>0.4184</cdr:x>
      <cdr:y>0.59226</cdr:y>
    </cdr:to>
    <cdr:sp macro="" textlink="">
      <cdr:nvSpPr>
        <cdr:cNvPr id="15" name="Straight Connector 14"/>
        <cdr:cNvSpPr/>
      </cdr:nvSpPr>
      <cdr:spPr>
        <a:xfrm xmlns:a="http://schemas.openxmlformats.org/drawingml/2006/main">
          <a:off x="2295525" y="1104900"/>
          <a:ext cx="0" cy="7905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0.4184</cdr:x>
      <cdr:y>0.59821</cdr:y>
    </cdr:from>
    <cdr:to>
      <cdr:x>0.42014</cdr:x>
      <cdr:y>0.91071</cdr:y>
    </cdr:to>
    <cdr:sp macro="" textlink="">
      <cdr:nvSpPr>
        <cdr:cNvPr id="17" name="Straight Connector 16"/>
        <cdr:cNvSpPr/>
      </cdr:nvSpPr>
      <cdr:spPr>
        <a:xfrm xmlns:a="http://schemas.openxmlformats.org/drawingml/2006/main">
          <a:off x="2295525" y="1914525"/>
          <a:ext cx="9525" cy="1000125"/>
        </a:xfrm>
        <a:prstGeom xmlns:a="http://schemas.openxmlformats.org/drawingml/2006/main" prst="line">
          <a:avLst/>
        </a:prstGeom>
        <a:ln xmlns:a="http://schemas.openxmlformats.org/drawingml/2006/main">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0.09028</cdr:x>
      <cdr:y>0.58929</cdr:y>
    </cdr:from>
    <cdr:to>
      <cdr:x>0.41667</cdr:x>
      <cdr:y>0.59524</cdr:y>
    </cdr:to>
    <cdr:sp macro="" textlink="">
      <cdr:nvSpPr>
        <cdr:cNvPr id="19" name="Straight Connector 18"/>
        <cdr:cNvSpPr/>
      </cdr:nvSpPr>
      <cdr:spPr>
        <a:xfrm xmlns:a="http://schemas.openxmlformats.org/drawingml/2006/main" flipH="1" flipV="1">
          <a:off x="495300" y="1885950"/>
          <a:ext cx="1790700" cy="19050"/>
        </a:xfrm>
        <a:prstGeom xmlns:a="http://schemas.openxmlformats.org/drawingml/2006/main" prst="line">
          <a:avLst/>
        </a:prstGeom>
        <a:ln xmlns:a="http://schemas.openxmlformats.org/drawingml/2006/main">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0.09201</cdr:x>
      <cdr:y>0.33036</cdr:y>
    </cdr:from>
    <cdr:to>
      <cdr:x>0.4184</cdr:x>
      <cdr:y>0.34524</cdr:y>
    </cdr:to>
    <cdr:sp macro="" textlink="">
      <cdr:nvSpPr>
        <cdr:cNvPr id="21" name="Straight Connector 20"/>
        <cdr:cNvSpPr/>
      </cdr:nvSpPr>
      <cdr:spPr>
        <a:xfrm xmlns:a="http://schemas.openxmlformats.org/drawingml/2006/main" flipH="1" flipV="1">
          <a:off x="504825" y="1057275"/>
          <a:ext cx="1790700" cy="47625"/>
        </a:xfrm>
        <a:prstGeom xmlns:a="http://schemas.openxmlformats.org/drawingml/2006/main" prst="line">
          <a:avLst/>
        </a:prstGeom>
        <a:ln xmlns:a="http://schemas.openxmlformats.org/drawingml/2006/main">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0.09201</cdr:x>
      <cdr:y>0.3869</cdr:y>
    </cdr:from>
    <cdr:to>
      <cdr:x>0.50521</cdr:x>
      <cdr:y>0.40179</cdr:y>
    </cdr:to>
    <cdr:sp macro="" textlink="">
      <cdr:nvSpPr>
        <cdr:cNvPr id="23" name="Straight Connector 22"/>
        <cdr:cNvSpPr/>
      </cdr:nvSpPr>
      <cdr:spPr>
        <a:xfrm xmlns:a="http://schemas.openxmlformats.org/drawingml/2006/main" flipH="1" flipV="1">
          <a:off x="504825" y="1238250"/>
          <a:ext cx="2266950" cy="476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0.50521</cdr:x>
      <cdr:y>0.40774</cdr:y>
    </cdr:from>
    <cdr:to>
      <cdr:x>0.50868</cdr:x>
      <cdr:y>0.91369</cdr:y>
    </cdr:to>
    <cdr:sp macro="" textlink="">
      <cdr:nvSpPr>
        <cdr:cNvPr id="25" name="Straight Connector 24"/>
        <cdr:cNvSpPr/>
      </cdr:nvSpPr>
      <cdr:spPr>
        <a:xfrm xmlns:a="http://schemas.openxmlformats.org/drawingml/2006/main">
          <a:off x="2771775" y="1304925"/>
          <a:ext cx="19050" cy="16192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0.01563</cdr:x>
      <cdr:y>0.29762</cdr:y>
    </cdr:from>
    <cdr:to>
      <cdr:x>0.07639</cdr:x>
      <cdr:y>0.375</cdr:y>
    </cdr:to>
    <cdr:sp macro="" textlink="">
      <cdr:nvSpPr>
        <cdr:cNvPr id="26" name="TextBox 25"/>
        <cdr:cNvSpPr txBox="1"/>
      </cdr:nvSpPr>
      <cdr:spPr>
        <a:xfrm xmlns:a="http://schemas.openxmlformats.org/drawingml/2006/main">
          <a:off x="85725" y="952500"/>
          <a:ext cx="33337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a:t>
          </a:r>
          <a:r>
            <a:rPr lang="en-CA" sz="1100" baseline="30000"/>
            <a:t>B</a:t>
          </a:r>
          <a:endParaRPr lang="en-CA" sz="1100"/>
        </a:p>
      </cdr:txBody>
    </cdr:sp>
  </cdr:relSizeAnchor>
  <cdr:relSizeAnchor xmlns:cdr="http://schemas.openxmlformats.org/drawingml/2006/chartDrawing">
    <cdr:from>
      <cdr:x>0.01563</cdr:x>
      <cdr:y>0.39286</cdr:y>
    </cdr:from>
    <cdr:to>
      <cdr:x>0.08507</cdr:x>
      <cdr:y>0.46429</cdr:y>
    </cdr:to>
    <cdr:sp macro="" textlink="">
      <cdr:nvSpPr>
        <cdr:cNvPr id="27" name="TextBox 26"/>
        <cdr:cNvSpPr txBox="1"/>
      </cdr:nvSpPr>
      <cdr:spPr>
        <a:xfrm xmlns:a="http://schemas.openxmlformats.org/drawingml/2006/main">
          <a:off x="85725" y="1257300"/>
          <a:ext cx="3810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a:t>
          </a:r>
        </a:p>
      </cdr:txBody>
    </cdr:sp>
  </cdr:relSizeAnchor>
  <cdr:relSizeAnchor xmlns:cdr="http://schemas.openxmlformats.org/drawingml/2006/chartDrawing">
    <cdr:from>
      <cdr:x>0.02778</cdr:x>
      <cdr:y>0.56845</cdr:y>
    </cdr:from>
    <cdr:to>
      <cdr:x>0.08507</cdr:x>
      <cdr:y>0.65476</cdr:y>
    </cdr:to>
    <cdr:sp macro="" textlink="">
      <cdr:nvSpPr>
        <cdr:cNvPr id="28" name="TextBox 27"/>
        <cdr:cNvSpPr txBox="1"/>
      </cdr:nvSpPr>
      <cdr:spPr>
        <a:xfrm xmlns:a="http://schemas.openxmlformats.org/drawingml/2006/main">
          <a:off x="152400" y="1819275"/>
          <a:ext cx="314325"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P</a:t>
          </a:r>
          <a:r>
            <a:rPr lang="en-CA" sz="1100" baseline="30000"/>
            <a:t>S</a:t>
          </a:r>
          <a:endParaRPr lang="en-CA" sz="1100"/>
        </a:p>
      </cdr:txBody>
    </cdr:sp>
  </cdr:relSizeAnchor>
  <cdr:relSizeAnchor xmlns:cdr="http://schemas.openxmlformats.org/drawingml/2006/chartDrawing">
    <cdr:from>
      <cdr:x>0.48264</cdr:x>
      <cdr:y>0.91369</cdr:y>
    </cdr:from>
    <cdr:to>
      <cdr:x>0.53993</cdr:x>
      <cdr:y>1</cdr:y>
    </cdr:to>
    <cdr:sp macro="" textlink="">
      <cdr:nvSpPr>
        <cdr:cNvPr id="29" name="TextBox 28"/>
        <cdr:cNvSpPr txBox="1"/>
      </cdr:nvSpPr>
      <cdr:spPr>
        <a:xfrm xmlns:a="http://schemas.openxmlformats.org/drawingml/2006/main">
          <a:off x="2647950" y="2924175"/>
          <a:ext cx="314325"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Q</a:t>
          </a:r>
        </a:p>
      </cdr:txBody>
    </cdr:sp>
  </cdr:relSizeAnchor>
  <cdr:relSizeAnchor xmlns:cdr="http://schemas.openxmlformats.org/drawingml/2006/chartDrawing">
    <cdr:from>
      <cdr:x>0.38715</cdr:x>
      <cdr:y>0.91369</cdr:y>
    </cdr:from>
    <cdr:to>
      <cdr:x>0.46007</cdr:x>
      <cdr:y>1</cdr:y>
    </cdr:to>
    <cdr:sp macro="" textlink="">
      <cdr:nvSpPr>
        <cdr:cNvPr id="30" name="TextBox 29"/>
        <cdr:cNvSpPr txBox="1"/>
      </cdr:nvSpPr>
      <cdr:spPr>
        <a:xfrm xmlns:a="http://schemas.openxmlformats.org/drawingml/2006/main">
          <a:off x="2124075" y="2924175"/>
          <a:ext cx="400050"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Q</a:t>
          </a:r>
          <a:r>
            <a:rPr lang="en-CA" sz="1100" baseline="-25000"/>
            <a:t>T</a:t>
          </a:r>
          <a:endParaRPr lang="en-CA" sz="1100"/>
        </a:p>
      </cdr:txBody>
    </cdr:sp>
  </cdr:relSizeAnchor>
  <cdr:relSizeAnchor xmlns:cdr="http://schemas.openxmlformats.org/drawingml/2006/chartDrawing">
    <cdr:from>
      <cdr:x>0.38368</cdr:x>
      <cdr:y>0.36012</cdr:y>
    </cdr:from>
    <cdr:to>
      <cdr:x>0.40937</cdr:x>
      <cdr:y>0.58333</cdr:y>
    </cdr:to>
    <cdr:sp macro="" textlink="">
      <cdr:nvSpPr>
        <cdr:cNvPr id="31" name="Left Brace 30"/>
        <cdr:cNvSpPr/>
      </cdr:nvSpPr>
      <cdr:spPr>
        <a:xfrm xmlns:a="http://schemas.openxmlformats.org/drawingml/2006/main">
          <a:off x="2105025" y="1152525"/>
          <a:ext cx="140969" cy="714375"/>
        </a:xfrm>
        <a:prstGeom xmlns:a="http://schemas.openxmlformats.org/drawingml/2006/main" prst="leftBrac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0.22569</cdr:x>
      <cdr:y>0.43155</cdr:y>
    </cdr:from>
    <cdr:to>
      <cdr:x>0.37674</cdr:x>
      <cdr:y>0.51488</cdr:y>
    </cdr:to>
    <cdr:sp macro="" textlink="">
      <cdr:nvSpPr>
        <cdr:cNvPr id="32" name="TextBox 31"/>
        <cdr:cNvSpPr txBox="1"/>
      </cdr:nvSpPr>
      <cdr:spPr>
        <a:xfrm xmlns:a="http://schemas.openxmlformats.org/drawingml/2006/main">
          <a:off x="1238250" y="1381125"/>
          <a:ext cx="8286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Tax Wedge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Lenjosek</cp:lastModifiedBy>
  <cp:revision>17</cp:revision>
  <dcterms:created xsi:type="dcterms:W3CDTF">2013-10-11T22:23:00Z</dcterms:created>
  <dcterms:modified xsi:type="dcterms:W3CDTF">2013-10-12T01:07:00Z</dcterms:modified>
</cp:coreProperties>
</file>