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0BA" w:rsidRPr="003860BA" w:rsidRDefault="003860BA" w:rsidP="003109D3">
      <w:pPr>
        <w:pStyle w:val="NoSpacing"/>
      </w:pPr>
      <w:r w:rsidRPr="003860BA">
        <w:t>Leçon 10 – Chapitre 15: Les impacts des politiques monétaire et budgétaire sur la demande a</w:t>
      </w:r>
      <w:r>
        <w:t>g</w:t>
      </w:r>
      <w:r w:rsidRPr="003860BA">
        <w:t>régée</w:t>
      </w:r>
    </w:p>
    <w:p w:rsidR="003860BA" w:rsidRDefault="003860BA">
      <w:pPr>
        <w:rPr>
          <w:rFonts w:ascii="Arial" w:hAnsi="Arial" w:cs="Arial"/>
          <w:sz w:val="24"/>
          <w:szCs w:val="24"/>
        </w:rPr>
      </w:pPr>
      <w:r>
        <w:rPr>
          <w:rFonts w:ascii="Arial" w:hAnsi="Arial" w:cs="Arial"/>
          <w:sz w:val="24"/>
          <w:szCs w:val="24"/>
        </w:rPr>
        <w:t xml:space="preserve">Imagine que vous êtes le gouverneur de la Banque du Canada et que vous êtes responsable de la politique monétaire. Vous observez que l’économie ralentit et le chômage augmente – comment devrait la Banque du Canada réagir? Si vous êtes le ministre des Finances, quoi faire? Ces deux personnes doivent-ils coordonner leurs actions? Pour répondre à ces questions il faudra évaluer les effets </w:t>
      </w:r>
      <w:r w:rsidR="00551B17">
        <w:rPr>
          <w:rFonts w:ascii="Arial" w:hAnsi="Arial" w:cs="Arial"/>
          <w:sz w:val="24"/>
          <w:szCs w:val="24"/>
        </w:rPr>
        <w:t xml:space="preserve">des politiques monétaire et budgétaire sur l’économie. </w:t>
      </w:r>
      <w:proofErr w:type="spellStart"/>
      <w:r w:rsidR="00551B17">
        <w:rPr>
          <w:rFonts w:ascii="Arial" w:hAnsi="Arial" w:cs="Arial"/>
          <w:sz w:val="24"/>
          <w:szCs w:val="24"/>
        </w:rPr>
        <w:t>Thats</w:t>
      </w:r>
      <w:proofErr w:type="spellEnd"/>
      <w:r w:rsidR="00551B17">
        <w:rPr>
          <w:rFonts w:ascii="Arial" w:hAnsi="Arial" w:cs="Arial"/>
          <w:sz w:val="24"/>
          <w:szCs w:val="24"/>
        </w:rPr>
        <w:t xml:space="preserve"> </w:t>
      </w:r>
      <w:proofErr w:type="spellStart"/>
      <w:r w:rsidR="00551B17">
        <w:rPr>
          <w:rFonts w:ascii="Arial" w:hAnsi="Arial" w:cs="Arial"/>
          <w:sz w:val="24"/>
          <w:szCs w:val="24"/>
        </w:rPr>
        <w:t>what</w:t>
      </w:r>
      <w:proofErr w:type="spellEnd"/>
      <w:r w:rsidR="00551B17">
        <w:rPr>
          <w:rFonts w:ascii="Arial" w:hAnsi="Arial" w:cs="Arial"/>
          <w:sz w:val="24"/>
          <w:szCs w:val="24"/>
        </w:rPr>
        <w:t xml:space="preserve"> </w:t>
      </w:r>
      <w:proofErr w:type="spellStart"/>
      <w:r w:rsidR="00551B17">
        <w:rPr>
          <w:rFonts w:ascii="Arial" w:hAnsi="Arial" w:cs="Arial"/>
          <w:sz w:val="24"/>
          <w:szCs w:val="24"/>
        </w:rPr>
        <w:t>this</w:t>
      </w:r>
      <w:proofErr w:type="spellEnd"/>
      <w:r w:rsidR="00551B17">
        <w:rPr>
          <w:rFonts w:ascii="Arial" w:hAnsi="Arial" w:cs="Arial"/>
          <w:sz w:val="24"/>
          <w:szCs w:val="24"/>
        </w:rPr>
        <w:t xml:space="preserve"> </w:t>
      </w:r>
      <w:proofErr w:type="spellStart"/>
      <w:r w:rsidR="00551B17">
        <w:rPr>
          <w:rFonts w:ascii="Arial" w:hAnsi="Arial" w:cs="Arial"/>
          <w:sz w:val="24"/>
          <w:szCs w:val="24"/>
        </w:rPr>
        <w:t>chapter</w:t>
      </w:r>
      <w:proofErr w:type="spellEnd"/>
      <w:r w:rsidR="00551B17">
        <w:rPr>
          <w:rFonts w:ascii="Arial" w:hAnsi="Arial" w:cs="Arial"/>
          <w:sz w:val="24"/>
          <w:szCs w:val="24"/>
        </w:rPr>
        <w:t xml:space="preserve"> </w:t>
      </w:r>
      <w:proofErr w:type="spellStart"/>
      <w:r w:rsidR="00551B17">
        <w:rPr>
          <w:rFonts w:ascii="Arial" w:hAnsi="Arial" w:cs="Arial"/>
          <w:sz w:val="24"/>
          <w:szCs w:val="24"/>
        </w:rPr>
        <w:t>is</w:t>
      </w:r>
      <w:proofErr w:type="spellEnd"/>
      <w:r w:rsidR="00551B17">
        <w:rPr>
          <w:rFonts w:ascii="Arial" w:hAnsi="Arial" w:cs="Arial"/>
          <w:sz w:val="24"/>
          <w:szCs w:val="24"/>
        </w:rPr>
        <w:t xml:space="preserve"> about </w:t>
      </w:r>
      <w:r w:rsidR="00551B17" w:rsidRPr="00551B17">
        <w:rPr>
          <w:rFonts w:ascii="Arial" w:hAnsi="Arial" w:cs="Arial"/>
          <w:sz w:val="24"/>
          <w:szCs w:val="24"/>
        </w:rPr>
        <w:sym w:font="Wingdings" w:char="F04A"/>
      </w:r>
      <w:r w:rsidR="00551B17">
        <w:rPr>
          <w:rFonts w:ascii="Arial" w:hAnsi="Arial" w:cs="Arial"/>
          <w:sz w:val="24"/>
          <w:szCs w:val="24"/>
        </w:rPr>
        <w:t xml:space="preserve"> </w:t>
      </w:r>
    </w:p>
    <w:p w:rsidR="00551B17" w:rsidRDefault="00551B17">
      <w:pPr>
        <w:rPr>
          <w:rFonts w:ascii="Arial" w:hAnsi="Arial" w:cs="Arial"/>
          <w:b/>
          <w:color w:val="FF0000"/>
          <w:sz w:val="24"/>
          <w:szCs w:val="24"/>
        </w:rPr>
      </w:pPr>
      <w:r>
        <w:rPr>
          <w:rFonts w:ascii="Arial" w:hAnsi="Arial" w:cs="Arial"/>
          <w:b/>
          <w:color w:val="FF0000"/>
          <w:sz w:val="24"/>
          <w:szCs w:val="24"/>
        </w:rPr>
        <w:t>Ce qu’il faut connaitre :</w:t>
      </w:r>
    </w:p>
    <w:p w:rsidR="00551B17" w:rsidRDefault="00551B17">
      <w:pPr>
        <w:rPr>
          <w:rFonts w:ascii="Arial" w:hAnsi="Arial" w:cs="Arial"/>
          <w:b/>
          <w:sz w:val="24"/>
          <w:szCs w:val="24"/>
        </w:rPr>
      </w:pPr>
      <w:r>
        <w:rPr>
          <w:rFonts w:ascii="Arial" w:hAnsi="Arial" w:cs="Arial"/>
          <w:b/>
          <w:sz w:val="24"/>
          <w:szCs w:val="24"/>
        </w:rPr>
        <w:t xml:space="preserve">Décrire la théorie de la préférence pour la liquidité en tant qu’explication du taux d’intérêt </w:t>
      </w:r>
      <w:r w:rsidR="000D3A35">
        <w:rPr>
          <w:rFonts w:ascii="Arial" w:hAnsi="Arial" w:cs="Arial"/>
          <w:b/>
          <w:sz w:val="24"/>
          <w:szCs w:val="24"/>
        </w:rPr>
        <w:t>à court terme :</w:t>
      </w:r>
    </w:p>
    <w:p w:rsidR="000D3A35" w:rsidRDefault="000D3A35">
      <w:pPr>
        <w:rPr>
          <w:rFonts w:ascii="Arial" w:hAnsi="Arial" w:cs="Arial"/>
          <w:sz w:val="24"/>
          <w:szCs w:val="24"/>
        </w:rPr>
      </w:pPr>
      <w:r>
        <w:rPr>
          <w:rFonts w:ascii="Arial" w:hAnsi="Arial" w:cs="Arial"/>
          <w:sz w:val="24"/>
          <w:szCs w:val="24"/>
        </w:rPr>
        <w:t xml:space="preserve">Sert à expliquer la détermination du taux d’intérêt. Cette théorie est une application de la loi de l’offre et de la demande. Le taux </w:t>
      </w:r>
      <w:r w:rsidR="00134D11">
        <w:rPr>
          <w:rFonts w:ascii="Arial" w:hAnsi="Arial" w:cs="Arial"/>
          <w:sz w:val="24"/>
          <w:szCs w:val="24"/>
        </w:rPr>
        <w:t>d’intérêt s’ajuste pour permettre l’équilibre entre l’offre et la demande de monnaie. Comme nous avons vu au chapitre 11, il existe 2 taux d’intérêts (Réel et Nominal). On utilise les deux dans cette théorie par exemple, si l’intérêt nominal augme</w:t>
      </w:r>
      <w:bookmarkStart w:id="0" w:name="_GoBack"/>
      <w:bookmarkEnd w:id="0"/>
      <w:r w:rsidR="00134D11">
        <w:rPr>
          <w:rFonts w:ascii="Arial" w:hAnsi="Arial" w:cs="Arial"/>
          <w:sz w:val="24"/>
          <w:szCs w:val="24"/>
        </w:rPr>
        <w:t>nte ou diminue, l’intérêt réel anticipé fait la même chose. Pour comprendre la théorie de la préférence pour la liquidité, il faut examiner l’offre et la demande de la monnaie et leur relation avec le taux d’intérêt :</w:t>
      </w:r>
    </w:p>
    <w:p w:rsidR="00134D11" w:rsidRDefault="00134D11" w:rsidP="00AC38F8">
      <w:pPr>
        <w:pStyle w:val="ListParagraph"/>
        <w:numPr>
          <w:ilvl w:val="0"/>
          <w:numId w:val="1"/>
        </w:numPr>
        <w:spacing w:line="240" w:lineRule="auto"/>
        <w:rPr>
          <w:rFonts w:ascii="Arial" w:hAnsi="Arial" w:cs="Arial"/>
          <w:sz w:val="24"/>
          <w:szCs w:val="24"/>
        </w:rPr>
      </w:pPr>
      <w:r>
        <w:rPr>
          <w:rFonts w:ascii="Arial" w:hAnsi="Arial" w:cs="Arial"/>
          <w:sz w:val="24"/>
          <w:szCs w:val="24"/>
        </w:rPr>
        <w:t xml:space="preserve">L’offre de la monnaie </w:t>
      </w:r>
      <w:r w:rsidR="00D02A08">
        <w:rPr>
          <w:rFonts w:ascii="Arial" w:hAnsi="Arial" w:cs="Arial"/>
          <w:sz w:val="24"/>
          <w:szCs w:val="24"/>
        </w:rPr>
        <w:t>= synonyme de « stock de monnaie »</w:t>
      </w:r>
    </w:p>
    <w:p w:rsidR="00825D25" w:rsidRPr="00AC38F8" w:rsidRDefault="00825D25" w:rsidP="00AC38F8">
      <w:pPr>
        <w:pStyle w:val="ListParagraph"/>
        <w:numPr>
          <w:ilvl w:val="0"/>
          <w:numId w:val="1"/>
        </w:numPr>
        <w:spacing w:line="240" w:lineRule="auto"/>
        <w:rPr>
          <w:rFonts w:ascii="Arial" w:hAnsi="Arial" w:cs="Arial"/>
          <w:sz w:val="24"/>
          <w:szCs w:val="24"/>
        </w:rPr>
      </w:pPr>
      <w:r>
        <w:rPr>
          <w:rFonts w:ascii="Arial" w:hAnsi="Arial" w:cs="Arial"/>
          <w:sz w:val="24"/>
          <w:szCs w:val="24"/>
        </w:rPr>
        <w:t xml:space="preserve">Pour modifier l’offre de monnaie il faut modifier son taux d’escompte et son taux directeur (le taux d’escompte correspond au taux d’intérêt – des prêts de la banque centrale aux banques commerciales). </w:t>
      </w:r>
    </w:p>
    <w:p w:rsidR="00795980" w:rsidRDefault="00795980" w:rsidP="00617079">
      <w:pPr>
        <w:pStyle w:val="ListParagraph"/>
        <w:numPr>
          <w:ilvl w:val="0"/>
          <w:numId w:val="1"/>
        </w:numPr>
        <w:spacing w:after="0" w:line="240" w:lineRule="auto"/>
        <w:rPr>
          <w:rFonts w:ascii="Arial" w:hAnsi="Arial" w:cs="Arial"/>
          <w:sz w:val="24"/>
          <w:szCs w:val="24"/>
        </w:rPr>
      </w:pPr>
      <w:r>
        <w:rPr>
          <w:rFonts w:ascii="Arial" w:hAnsi="Arial" w:cs="Arial"/>
          <w:sz w:val="24"/>
          <w:szCs w:val="24"/>
        </w:rPr>
        <w:t>La monnaie est le plus liquide.</w:t>
      </w:r>
    </w:p>
    <w:p w:rsidR="00617079" w:rsidRPr="00617079" w:rsidRDefault="00617079" w:rsidP="00617079">
      <w:pPr>
        <w:spacing w:after="0" w:line="240" w:lineRule="auto"/>
        <w:rPr>
          <w:rFonts w:ascii="Arial" w:hAnsi="Arial" w:cs="Arial"/>
          <w:sz w:val="24"/>
          <w:szCs w:val="24"/>
        </w:rPr>
      </w:pPr>
      <w:r>
        <w:rPr>
          <w:rFonts w:ascii="Arial" w:hAnsi="Arial" w:cs="Arial"/>
          <w:noProof/>
          <w:sz w:val="24"/>
          <w:szCs w:val="24"/>
          <w:lang w:val="en-CA" w:eastAsia="en-CA"/>
        </w:rPr>
        <w:drawing>
          <wp:inline distT="0" distB="0" distL="0" distR="0">
            <wp:extent cx="4860262" cy="31895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4726" cy="3192443"/>
                    </a:xfrm>
                    <a:prstGeom prst="rect">
                      <a:avLst/>
                    </a:prstGeom>
                    <a:noFill/>
                    <a:ln>
                      <a:noFill/>
                    </a:ln>
                  </pic:spPr>
                </pic:pic>
              </a:graphicData>
            </a:graphic>
          </wp:inline>
        </w:drawing>
      </w:r>
    </w:p>
    <w:p w:rsidR="00795980" w:rsidRPr="00617079" w:rsidRDefault="00795980" w:rsidP="00617079">
      <w:pPr>
        <w:pStyle w:val="ListParagraph"/>
        <w:numPr>
          <w:ilvl w:val="0"/>
          <w:numId w:val="1"/>
        </w:numPr>
        <w:spacing w:after="0" w:line="240" w:lineRule="auto"/>
        <w:rPr>
          <w:rFonts w:ascii="Arial" w:hAnsi="Arial" w:cs="Arial"/>
          <w:sz w:val="24"/>
          <w:szCs w:val="24"/>
        </w:rPr>
      </w:pPr>
      <w:r>
        <w:rPr>
          <w:rFonts w:ascii="Arial" w:hAnsi="Arial" w:cs="Arial"/>
          <w:sz w:val="24"/>
          <w:szCs w:val="24"/>
        </w:rPr>
        <w:t>Le taux d’intérêt est un facteur important de la quantité de monnaie demandée.</w:t>
      </w:r>
    </w:p>
    <w:p w:rsidR="00795980" w:rsidRPr="00617079" w:rsidRDefault="00795980" w:rsidP="00617079">
      <w:pPr>
        <w:pStyle w:val="ListParagraph"/>
        <w:numPr>
          <w:ilvl w:val="0"/>
          <w:numId w:val="1"/>
        </w:numPr>
        <w:spacing w:after="0" w:line="240" w:lineRule="auto"/>
        <w:rPr>
          <w:rFonts w:ascii="Arial" w:hAnsi="Arial" w:cs="Arial"/>
          <w:sz w:val="24"/>
          <w:szCs w:val="24"/>
        </w:rPr>
      </w:pPr>
      <w:r>
        <w:rPr>
          <w:rFonts w:ascii="Arial" w:hAnsi="Arial" w:cs="Arial"/>
          <w:sz w:val="24"/>
          <w:szCs w:val="24"/>
        </w:rPr>
        <w:lastRenderedPageBreak/>
        <w:t xml:space="preserve">Le taux d’intérêt correspond au coût de renonciation de la détention </w:t>
      </w:r>
      <w:r w:rsidR="00AC38F8">
        <w:rPr>
          <w:rFonts w:ascii="Arial" w:hAnsi="Arial" w:cs="Arial"/>
          <w:sz w:val="24"/>
          <w:szCs w:val="24"/>
        </w:rPr>
        <w:t>de la</w:t>
      </w:r>
      <w:r>
        <w:rPr>
          <w:rFonts w:ascii="Arial" w:hAnsi="Arial" w:cs="Arial"/>
          <w:sz w:val="24"/>
          <w:szCs w:val="24"/>
        </w:rPr>
        <w:t xml:space="preserve"> monnaie.</w:t>
      </w:r>
    </w:p>
    <w:p w:rsidR="00AC38F8" w:rsidRPr="00617079" w:rsidRDefault="00795980" w:rsidP="00617079">
      <w:pPr>
        <w:pStyle w:val="ListParagraph"/>
        <w:numPr>
          <w:ilvl w:val="0"/>
          <w:numId w:val="1"/>
        </w:numPr>
        <w:spacing w:after="0" w:line="240" w:lineRule="auto"/>
        <w:rPr>
          <w:rFonts w:ascii="Arial" w:hAnsi="Arial" w:cs="Arial"/>
          <w:sz w:val="24"/>
          <w:szCs w:val="24"/>
        </w:rPr>
      </w:pPr>
      <w:r>
        <w:rPr>
          <w:rFonts w:ascii="Arial" w:hAnsi="Arial" w:cs="Arial"/>
          <w:sz w:val="24"/>
          <w:szCs w:val="24"/>
        </w:rPr>
        <w:t>La pente de la demande de monnaie est négative.</w:t>
      </w:r>
    </w:p>
    <w:p w:rsidR="00AC38F8" w:rsidRDefault="00AC38F8" w:rsidP="00AC38F8">
      <w:pPr>
        <w:pStyle w:val="ListParagraph"/>
        <w:numPr>
          <w:ilvl w:val="0"/>
          <w:numId w:val="1"/>
        </w:numPr>
        <w:spacing w:after="0" w:line="240" w:lineRule="auto"/>
        <w:rPr>
          <w:rFonts w:ascii="Arial" w:hAnsi="Arial" w:cs="Arial"/>
          <w:sz w:val="24"/>
          <w:szCs w:val="24"/>
        </w:rPr>
      </w:pPr>
      <w:r>
        <w:rPr>
          <w:rFonts w:ascii="Arial" w:hAnsi="Arial" w:cs="Arial"/>
          <w:sz w:val="24"/>
          <w:szCs w:val="24"/>
        </w:rPr>
        <w:t>La quantité de la demande de la monnaie dépend aussi des achats de biens et de services. Si la Q ou le P augmentent, les agents économiques doivent détenir plus de monnaie pour compléter leurs transactions.</w:t>
      </w:r>
    </w:p>
    <w:p w:rsidR="00617079" w:rsidRDefault="00617079" w:rsidP="00AC38F8">
      <w:pPr>
        <w:pStyle w:val="ListParagraph"/>
        <w:numPr>
          <w:ilvl w:val="0"/>
          <w:numId w:val="1"/>
        </w:numPr>
        <w:spacing w:after="0" w:line="240" w:lineRule="auto"/>
        <w:rPr>
          <w:rFonts w:ascii="Arial" w:hAnsi="Arial" w:cs="Arial"/>
          <w:sz w:val="24"/>
          <w:szCs w:val="24"/>
        </w:rPr>
      </w:pPr>
      <w:r>
        <w:rPr>
          <w:rFonts w:ascii="Arial" w:hAnsi="Arial" w:cs="Arial"/>
          <w:sz w:val="24"/>
          <w:szCs w:val="24"/>
        </w:rPr>
        <w:t>Le taux d’intérêt représente le coût d’opportunité de détention de a monnaie</w:t>
      </w:r>
    </w:p>
    <w:p w:rsidR="00AC38F8" w:rsidRDefault="00617079" w:rsidP="00AC38F8">
      <w:pPr>
        <w:spacing w:after="0" w:line="240" w:lineRule="auto"/>
        <w:rPr>
          <w:rFonts w:ascii="Arial" w:hAnsi="Arial" w:cs="Arial"/>
          <w:sz w:val="24"/>
          <w:szCs w:val="24"/>
        </w:rPr>
      </w:pPr>
      <w:r>
        <w:rPr>
          <w:rFonts w:ascii="Arial" w:hAnsi="Arial" w:cs="Arial"/>
          <w:noProof/>
          <w:sz w:val="24"/>
          <w:szCs w:val="24"/>
          <w:lang w:val="en-CA" w:eastAsia="en-CA"/>
        </w:rPr>
        <w:drawing>
          <wp:inline distT="0" distB="0" distL="0" distR="0">
            <wp:extent cx="4046846" cy="28629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70504" cy="2879680"/>
                    </a:xfrm>
                    <a:prstGeom prst="rect">
                      <a:avLst/>
                    </a:prstGeom>
                    <a:noFill/>
                    <a:ln>
                      <a:noFill/>
                    </a:ln>
                  </pic:spPr>
                </pic:pic>
              </a:graphicData>
            </a:graphic>
          </wp:inline>
        </w:drawing>
      </w:r>
    </w:p>
    <w:p w:rsidR="006C5547" w:rsidRDefault="006C5547" w:rsidP="00AC38F8">
      <w:pPr>
        <w:spacing w:after="0" w:line="240" w:lineRule="auto"/>
        <w:rPr>
          <w:rFonts w:ascii="Arial" w:hAnsi="Arial" w:cs="Arial"/>
          <w:sz w:val="24"/>
          <w:szCs w:val="24"/>
        </w:rPr>
      </w:pPr>
    </w:p>
    <w:p w:rsidR="006C5547" w:rsidRDefault="006C5547" w:rsidP="006C5547">
      <w:pPr>
        <w:pStyle w:val="ListParagraph"/>
        <w:numPr>
          <w:ilvl w:val="0"/>
          <w:numId w:val="2"/>
        </w:numPr>
        <w:spacing w:after="0" w:line="240" w:lineRule="auto"/>
        <w:rPr>
          <w:rFonts w:ascii="Arial" w:hAnsi="Arial" w:cs="Arial"/>
          <w:sz w:val="24"/>
          <w:szCs w:val="24"/>
        </w:rPr>
      </w:pPr>
      <w:r>
        <w:rPr>
          <w:rFonts w:ascii="Arial" w:hAnsi="Arial" w:cs="Arial"/>
          <w:sz w:val="24"/>
          <w:szCs w:val="24"/>
        </w:rPr>
        <w:t>Il existe un taux d’intérêt d’équilibre qui assure l’égalité entre l’offre et la demande de monnaie.</w:t>
      </w:r>
    </w:p>
    <w:p w:rsidR="006C5547" w:rsidRPr="006C5547" w:rsidRDefault="006C5547" w:rsidP="006C5547">
      <w:pPr>
        <w:spacing w:after="0" w:line="240" w:lineRule="auto"/>
        <w:ind w:left="360"/>
        <w:rPr>
          <w:rFonts w:ascii="Arial" w:hAnsi="Arial" w:cs="Arial"/>
          <w:sz w:val="24"/>
          <w:szCs w:val="24"/>
        </w:rPr>
      </w:pPr>
      <w:r>
        <w:rPr>
          <w:rFonts w:ascii="Arial" w:hAnsi="Arial" w:cs="Arial"/>
          <w:noProof/>
          <w:sz w:val="24"/>
          <w:szCs w:val="24"/>
          <w:lang w:val="en-CA" w:eastAsia="en-CA"/>
        </w:rPr>
        <w:drawing>
          <wp:inline distT="0" distB="0" distL="0" distR="0">
            <wp:extent cx="3914383" cy="29935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6726" cy="3025953"/>
                    </a:xfrm>
                    <a:prstGeom prst="rect">
                      <a:avLst/>
                    </a:prstGeom>
                    <a:noFill/>
                    <a:ln>
                      <a:noFill/>
                    </a:ln>
                  </pic:spPr>
                </pic:pic>
              </a:graphicData>
            </a:graphic>
          </wp:inline>
        </w:drawing>
      </w:r>
    </w:p>
    <w:p w:rsidR="00617079" w:rsidRDefault="00617079" w:rsidP="00AC38F8">
      <w:pPr>
        <w:spacing w:after="0" w:line="240" w:lineRule="auto"/>
        <w:rPr>
          <w:rFonts w:ascii="Arial" w:hAnsi="Arial" w:cs="Arial"/>
          <w:sz w:val="24"/>
          <w:szCs w:val="24"/>
        </w:rPr>
      </w:pPr>
    </w:p>
    <w:p w:rsidR="006C5547" w:rsidRDefault="006C5547" w:rsidP="00AC38F8">
      <w:pPr>
        <w:spacing w:after="0" w:line="240" w:lineRule="auto"/>
        <w:rPr>
          <w:rFonts w:ascii="Arial" w:hAnsi="Arial" w:cs="Arial"/>
          <w:b/>
          <w:sz w:val="24"/>
          <w:szCs w:val="24"/>
        </w:rPr>
      </w:pPr>
    </w:p>
    <w:p w:rsidR="006C5547" w:rsidRDefault="006C5547" w:rsidP="00AC38F8">
      <w:pPr>
        <w:spacing w:after="0" w:line="240" w:lineRule="auto"/>
        <w:rPr>
          <w:rFonts w:ascii="Arial" w:hAnsi="Arial" w:cs="Arial"/>
          <w:b/>
          <w:sz w:val="24"/>
          <w:szCs w:val="24"/>
        </w:rPr>
      </w:pPr>
      <w:r>
        <w:rPr>
          <w:rFonts w:ascii="Arial" w:hAnsi="Arial" w:cs="Arial"/>
          <w:b/>
          <w:noProof/>
          <w:sz w:val="24"/>
          <w:szCs w:val="24"/>
          <w:lang w:val="en-CA" w:eastAsia="en-CA"/>
        </w:rPr>
        <w:lastRenderedPageBreak/>
        <w:drawing>
          <wp:inline distT="0" distB="0" distL="0" distR="0">
            <wp:extent cx="5290185" cy="240601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0185" cy="2406015"/>
                    </a:xfrm>
                    <a:prstGeom prst="rect">
                      <a:avLst/>
                    </a:prstGeom>
                    <a:noFill/>
                    <a:ln>
                      <a:noFill/>
                    </a:ln>
                  </pic:spPr>
                </pic:pic>
              </a:graphicData>
            </a:graphic>
          </wp:inline>
        </w:drawing>
      </w:r>
    </w:p>
    <w:p w:rsidR="006C5547" w:rsidRDefault="006C5547" w:rsidP="00AC38F8">
      <w:pPr>
        <w:spacing w:after="0" w:line="240" w:lineRule="auto"/>
        <w:rPr>
          <w:rFonts w:ascii="Arial" w:hAnsi="Arial" w:cs="Arial"/>
          <w:b/>
          <w:sz w:val="24"/>
          <w:szCs w:val="24"/>
        </w:rPr>
      </w:pPr>
      <w:r>
        <w:rPr>
          <w:rFonts w:ascii="Arial" w:hAnsi="Arial" w:cs="Arial"/>
          <w:b/>
          <w:noProof/>
          <w:sz w:val="24"/>
          <w:szCs w:val="24"/>
          <w:lang w:val="en-CA" w:eastAsia="en-CA"/>
        </w:rPr>
        <w:drawing>
          <wp:inline distT="0" distB="0" distL="0" distR="0">
            <wp:extent cx="4038600" cy="8489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8600" cy="848995"/>
                    </a:xfrm>
                    <a:prstGeom prst="rect">
                      <a:avLst/>
                    </a:prstGeom>
                    <a:noFill/>
                    <a:ln>
                      <a:noFill/>
                    </a:ln>
                  </pic:spPr>
                </pic:pic>
              </a:graphicData>
            </a:graphic>
          </wp:inline>
        </w:drawing>
      </w:r>
    </w:p>
    <w:p w:rsidR="006C5547" w:rsidRDefault="0002795F" w:rsidP="00AC38F8">
      <w:pPr>
        <w:spacing w:after="0" w:line="240" w:lineRule="auto"/>
        <w:rPr>
          <w:rFonts w:ascii="Arial" w:hAnsi="Arial" w:cs="Arial"/>
          <w:b/>
          <w:sz w:val="24"/>
          <w:szCs w:val="24"/>
        </w:rPr>
      </w:pPr>
      <w:r>
        <w:rPr>
          <w:rFonts w:ascii="Arial" w:hAnsi="Arial" w:cs="Arial"/>
          <w:b/>
          <w:noProof/>
          <w:sz w:val="24"/>
          <w:szCs w:val="24"/>
          <w:lang w:val="en-CA" w:eastAsia="en-CA"/>
        </w:rPr>
        <w:drawing>
          <wp:inline distT="0" distB="0" distL="0" distR="0">
            <wp:extent cx="4713514" cy="34109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4347" cy="3426054"/>
                    </a:xfrm>
                    <a:prstGeom prst="rect">
                      <a:avLst/>
                    </a:prstGeom>
                    <a:noFill/>
                    <a:ln>
                      <a:noFill/>
                    </a:ln>
                  </pic:spPr>
                </pic:pic>
              </a:graphicData>
            </a:graphic>
          </wp:inline>
        </w:drawing>
      </w:r>
    </w:p>
    <w:p w:rsidR="0002795F" w:rsidRDefault="0002795F" w:rsidP="00AC38F8">
      <w:pPr>
        <w:spacing w:after="0" w:line="240" w:lineRule="auto"/>
        <w:rPr>
          <w:rFonts w:ascii="Arial" w:hAnsi="Arial" w:cs="Arial"/>
          <w:b/>
          <w:sz w:val="24"/>
          <w:szCs w:val="24"/>
        </w:rPr>
      </w:pPr>
      <w:r>
        <w:rPr>
          <w:rFonts w:ascii="Arial" w:hAnsi="Arial" w:cs="Arial"/>
          <w:b/>
          <w:noProof/>
          <w:sz w:val="24"/>
          <w:szCs w:val="24"/>
          <w:lang w:val="en-CA" w:eastAsia="en-CA"/>
        </w:rPr>
        <w:lastRenderedPageBreak/>
        <w:drawing>
          <wp:inline distT="0" distB="0" distL="0" distR="0">
            <wp:extent cx="5039120" cy="315685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2363" cy="3171418"/>
                    </a:xfrm>
                    <a:prstGeom prst="rect">
                      <a:avLst/>
                    </a:prstGeom>
                    <a:noFill/>
                    <a:ln>
                      <a:noFill/>
                    </a:ln>
                  </pic:spPr>
                </pic:pic>
              </a:graphicData>
            </a:graphic>
          </wp:inline>
        </w:drawing>
      </w:r>
    </w:p>
    <w:p w:rsidR="0002795F" w:rsidRDefault="000D3C51" w:rsidP="00AC38F8">
      <w:pPr>
        <w:spacing w:after="0" w:line="240" w:lineRule="auto"/>
        <w:rPr>
          <w:rFonts w:ascii="Arial" w:hAnsi="Arial" w:cs="Arial"/>
          <w:b/>
          <w:sz w:val="24"/>
          <w:szCs w:val="24"/>
        </w:rPr>
      </w:pPr>
      <w:r>
        <w:rPr>
          <w:rFonts w:ascii="Arial" w:hAnsi="Arial" w:cs="Arial"/>
          <w:b/>
          <w:noProof/>
          <w:sz w:val="24"/>
          <w:szCs w:val="24"/>
          <w:lang w:val="en-CA" w:eastAsia="en-CA"/>
        </w:rPr>
        <w:drawing>
          <wp:inline distT="0" distB="0" distL="0" distR="0">
            <wp:extent cx="5079167" cy="3701143"/>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3350" cy="3711478"/>
                    </a:xfrm>
                    <a:prstGeom prst="rect">
                      <a:avLst/>
                    </a:prstGeom>
                    <a:noFill/>
                    <a:ln>
                      <a:noFill/>
                    </a:ln>
                  </pic:spPr>
                </pic:pic>
              </a:graphicData>
            </a:graphic>
          </wp:inline>
        </w:drawing>
      </w:r>
    </w:p>
    <w:p w:rsidR="000D3C51" w:rsidRDefault="000D3C51" w:rsidP="00AC38F8">
      <w:pPr>
        <w:spacing w:after="0" w:line="240" w:lineRule="auto"/>
        <w:rPr>
          <w:rFonts w:ascii="Arial" w:hAnsi="Arial" w:cs="Arial"/>
          <w:b/>
          <w:sz w:val="24"/>
          <w:szCs w:val="24"/>
        </w:rPr>
      </w:pPr>
      <w:r>
        <w:rPr>
          <w:rFonts w:ascii="Arial" w:hAnsi="Arial" w:cs="Arial"/>
          <w:b/>
          <w:noProof/>
          <w:sz w:val="24"/>
          <w:szCs w:val="24"/>
          <w:lang w:val="en-CA" w:eastAsia="en-CA"/>
        </w:rPr>
        <w:lastRenderedPageBreak/>
        <w:drawing>
          <wp:inline distT="0" distB="0" distL="0" distR="0">
            <wp:extent cx="5018314" cy="3329494"/>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7710" cy="3342363"/>
                    </a:xfrm>
                    <a:prstGeom prst="rect">
                      <a:avLst/>
                    </a:prstGeom>
                    <a:noFill/>
                    <a:ln>
                      <a:noFill/>
                    </a:ln>
                  </pic:spPr>
                </pic:pic>
              </a:graphicData>
            </a:graphic>
          </wp:inline>
        </w:drawing>
      </w:r>
    </w:p>
    <w:p w:rsidR="000D3C51" w:rsidRDefault="000D3C51" w:rsidP="00AC38F8">
      <w:pPr>
        <w:spacing w:after="0" w:line="240" w:lineRule="auto"/>
        <w:rPr>
          <w:rFonts w:ascii="Arial" w:hAnsi="Arial" w:cs="Arial"/>
          <w:b/>
          <w:sz w:val="24"/>
          <w:szCs w:val="24"/>
        </w:rPr>
      </w:pPr>
    </w:p>
    <w:p w:rsidR="00AC38F8" w:rsidRDefault="00AC38F8" w:rsidP="00AC38F8">
      <w:pPr>
        <w:spacing w:after="0" w:line="240" w:lineRule="auto"/>
        <w:rPr>
          <w:rFonts w:ascii="Arial" w:hAnsi="Arial" w:cs="Arial"/>
          <w:b/>
          <w:sz w:val="24"/>
          <w:szCs w:val="24"/>
        </w:rPr>
      </w:pPr>
      <w:r>
        <w:rPr>
          <w:rFonts w:ascii="Arial" w:hAnsi="Arial" w:cs="Arial"/>
          <w:b/>
          <w:sz w:val="24"/>
          <w:szCs w:val="24"/>
        </w:rPr>
        <w:t>Analyser les effets de la politique monétaire sur les taux d’intérêt et sur la deman</w:t>
      </w:r>
      <w:r w:rsidR="00B2169F">
        <w:rPr>
          <w:rFonts w:ascii="Arial" w:hAnsi="Arial" w:cs="Arial"/>
          <w:b/>
          <w:sz w:val="24"/>
          <w:szCs w:val="24"/>
        </w:rPr>
        <w:t>de agrégée dans des économies ouvertes et fermés</w:t>
      </w:r>
    </w:p>
    <w:p w:rsidR="00AC38F8" w:rsidRPr="00AC38F8" w:rsidRDefault="00AC38F8" w:rsidP="00AC38F8">
      <w:pPr>
        <w:spacing w:after="0" w:line="240" w:lineRule="auto"/>
        <w:rPr>
          <w:rFonts w:ascii="Arial" w:hAnsi="Arial" w:cs="Arial"/>
          <w:sz w:val="24"/>
          <w:szCs w:val="24"/>
        </w:rPr>
      </w:pPr>
    </w:p>
    <w:p w:rsidR="001423B1" w:rsidRDefault="000D3C51" w:rsidP="00AC38F8">
      <w:pPr>
        <w:spacing w:after="0" w:line="240" w:lineRule="auto"/>
        <w:rPr>
          <w:rFonts w:ascii="Arial" w:hAnsi="Arial" w:cs="Arial"/>
          <w:sz w:val="24"/>
          <w:szCs w:val="24"/>
        </w:rPr>
      </w:pPr>
      <w:r>
        <w:rPr>
          <w:rFonts w:ascii="Arial" w:hAnsi="Arial" w:cs="Arial"/>
          <w:b/>
          <w:sz w:val="24"/>
          <w:szCs w:val="24"/>
        </w:rPr>
        <w:t xml:space="preserve">Économie ouverte : </w:t>
      </w:r>
      <w:r w:rsidR="001423B1">
        <w:rPr>
          <w:rFonts w:ascii="Arial" w:hAnsi="Arial" w:cs="Arial"/>
          <w:sz w:val="24"/>
          <w:szCs w:val="24"/>
        </w:rPr>
        <w:t xml:space="preserve">Le </w:t>
      </w:r>
      <w:r>
        <w:rPr>
          <w:rFonts w:ascii="Arial" w:hAnsi="Arial" w:cs="Arial"/>
          <w:sz w:val="24"/>
          <w:szCs w:val="24"/>
        </w:rPr>
        <w:t>Canada est une petite économie ouverte avec mobilité parfaite des capitaux. Le</w:t>
      </w:r>
      <w:r w:rsidR="001423B1">
        <w:rPr>
          <w:rFonts w:ascii="Arial" w:hAnsi="Arial" w:cs="Arial"/>
          <w:sz w:val="24"/>
          <w:szCs w:val="24"/>
        </w:rPr>
        <w:t>s variations du</w:t>
      </w:r>
      <w:r>
        <w:rPr>
          <w:rFonts w:ascii="Arial" w:hAnsi="Arial" w:cs="Arial"/>
          <w:sz w:val="24"/>
          <w:szCs w:val="24"/>
        </w:rPr>
        <w:t xml:space="preserve"> taux d’intérêt canadien doit suivre le taux d’</w:t>
      </w:r>
      <w:r w:rsidR="001423B1">
        <w:rPr>
          <w:rFonts w:ascii="Arial" w:hAnsi="Arial" w:cs="Arial"/>
          <w:sz w:val="24"/>
          <w:szCs w:val="24"/>
        </w:rPr>
        <w:t>intérêt mondial</w:t>
      </w:r>
      <w:r>
        <w:rPr>
          <w:rFonts w:ascii="Arial" w:hAnsi="Arial" w:cs="Arial"/>
          <w:sz w:val="24"/>
          <w:szCs w:val="24"/>
        </w:rPr>
        <w:t>.</w:t>
      </w:r>
      <w:r w:rsidR="001423B1">
        <w:rPr>
          <w:rFonts w:ascii="Arial" w:hAnsi="Arial" w:cs="Arial"/>
          <w:sz w:val="24"/>
          <w:szCs w:val="24"/>
        </w:rPr>
        <w:t xml:space="preserve"> Elle peut différer de celui mondial seulement d’une valeur correspondant aux différences dans le traitement fiscal du capital financier et dans les risques de non-remboursement. Le taux d’intérêt canadien peut s’ajuster pour être égale à celui mondial. </w:t>
      </w:r>
    </w:p>
    <w:p w:rsidR="00B802BE" w:rsidRDefault="001423B1" w:rsidP="00AC38F8">
      <w:pPr>
        <w:spacing w:after="0" w:line="240" w:lineRule="auto"/>
        <w:rPr>
          <w:rFonts w:ascii="Arial" w:hAnsi="Arial" w:cs="Arial"/>
          <w:sz w:val="24"/>
          <w:szCs w:val="24"/>
        </w:rPr>
      </w:pPr>
      <w:r>
        <w:rPr>
          <w:rFonts w:ascii="Arial" w:hAnsi="Arial" w:cs="Arial"/>
          <w:sz w:val="24"/>
          <w:szCs w:val="24"/>
        </w:rPr>
        <w:t xml:space="preserve">Effets sur la demande agrégée : </w:t>
      </w:r>
    </w:p>
    <w:p w:rsidR="00B802BE" w:rsidRDefault="00B802BE" w:rsidP="00AC38F8">
      <w:pPr>
        <w:spacing w:after="0" w:line="240" w:lineRule="auto"/>
        <w:rPr>
          <w:rFonts w:ascii="Arial" w:hAnsi="Arial" w:cs="Arial"/>
          <w:sz w:val="24"/>
          <w:szCs w:val="24"/>
        </w:rPr>
      </w:pPr>
      <w:r>
        <w:rPr>
          <w:rFonts w:ascii="Arial" w:hAnsi="Arial" w:cs="Arial"/>
          <w:sz w:val="24"/>
          <w:szCs w:val="24"/>
        </w:rPr>
        <w:t>Le taux d’intérêt a un grand effet sur la demande parce que :</w:t>
      </w:r>
    </w:p>
    <w:p w:rsidR="00584664" w:rsidRDefault="00B802BE" w:rsidP="00AC38F8">
      <w:pPr>
        <w:spacing w:after="0" w:line="240" w:lineRule="auto"/>
        <w:rPr>
          <w:rFonts w:ascii="Arial" w:hAnsi="Arial" w:cs="Arial"/>
          <w:sz w:val="24"/>
          <w:szCs w:val="24"/>
        </w:rPr>
      </w:pPr>
      <w:r>
        <w:rPr>
          <w:rFonts w:ascii="Arial" w:hAnsi="Arial" w:cs="Arial"/>
          <w:sz w:val="24"/>
          <w:szCs w:val="24"/>
        </w:rPr>
        <w:t xml:space="preserve">Quand le taux d’intérêt canadien devient inférieur au taux d’intérêt </w:t>
      </w:r>
      <w:r w:rsidR="00584664">
        <w:rPr>
          <w:rFonts w:ascii="Arial" w:hAnsi="Arial" w:cs="Arial"/>
          <w:sz w:val="24"/>
          <w:szCs w:val="24"/>
        </w:rPr>
        <w:t xml:space="preserve">mondial, les canadiens se détournent des actifs canadiens offrant au taux d’intérêt r, au profit des actifs étrangers et de leur taux d’intérêt mondial plus élevés. Les canadiens et les étrangers vendent donc leurs actifs canadiens et achètent des actifs étrangers.  </w:t>
      </w:r>
    </w:p>
    <w:p w:rsidR="00B802BE" w:rsidRPr="00584664" w:rsidRDefault="00584664" w:rsidP="00AC38F8">
      <w:pPr>
        <w:spacing w:after="0" w:line="240" w:lineRule="auto"/>
        <w:rPr>
          <w:rFonts w:ascii="Arial" w:hAnsi="Arial" w:cs="Arial"/>
          <w:color w:val="FF0000"/>
          <w:sz w:val="24"/>
          <w:szCs w:val="24"/>
          <w:lang w:val="en-CA"/>
        </w:rPr>
      </w:pPr>
      <w:r w:rsidRPr="00584664">
        <w:rPr>
          <w:rFonts w:ascii="Arial" w:hAnsi="Arial" w:cs="Arial"/>
          <w:color w:val="FF0000"/>
          <w:sz w:val="24"/>
          <w:szCs w:val="24"/>
          <w:lang w:val="en-CA"/>
        </w:rPr>
        <w:t>Check out t</w:t>
      </w:r>
      <w:r w:rsidR="00B802BE" w:rsidRPr="00584664">
        <w:rPr>
          <w:rFonts w:ascii="Arial" w:hAnsi="Arial" w:cs="Arial"/>
          <w:color w:val="FF0000"/>
          <w:sz w:val="24"/>
          <w:szCs w:val="24"/>
          <w:lang w:val="en-CA"/>
        </w:rPr>
        <w:t xml:space="preserve">he graph in the </w:t>
      </w:r>
      <w:proofErr w:type="spellStart"/>
      <w:proofErr w:type="gramStart"/>
      <w:r w:rsidR="00B802BE" w:rsidRPr="00584664">
        <w:rPr>
          <w:rFonts w:ascii="Arial" w:hAnsi="Arial" w:cs="Arial"/>
          <w:color w:val="FF0000"/>
          <w:sz w:val="24"/>
          <w:szCs w:val="24"/>
          <w:lang w:val="en-CA"/>
        </w:rPr>
        <w:t>manuel</w:t>
      </w:r>
      <w:proofErr w:type="spellEnd"/>
      <w:proofErr w:type="gramEnd"/>
      <w:r w:rsidR="00B802BE" w:rsidRPr="00584664">
        <w:rPr>
          <w:rFonts w:ascii="Arial" w:hAnsi="Arial" w:cs="Arial"/>
          <w:color w:val="FF0000"/>
          <w:sz w:val="24"/>
          <w:szCs w:val="24"/>
          <w:lang w:val="en-CA"/>
        </w:rPr>
        <w:t xml:space="preserve"> p.387!!!!</w:t>
      </w:r>
    </w:p>
    <w:p w:rsidR="00B802BE" w:rsidRPr="00584664" w:rsidRDefault="00B802BE" w:rsidP="00AC38F8">
      <w:pPr>
        <w:spacing w:after="0" w:line="240" w:lineRule="auto"/>
        <w:rPr>
          <w:rFonts w:ascii="Arial" w:hAnsi="Arial" w:cs="Arial"/>
          <w:sz w:val="24"/>
          <w:szCs w:val="24"/>
          <w:lang w:val="en-CA"/>
        </w:rPr>
      </w:pPr>
    </w:p>
    <w:p w:rsidR="00AC38F8" w:rsidRDefault="00B802BE" w:rsidP="00AC38F8">
      <w:pPr>
        <w:spacing w:after="0" w:line="240" w:lineRule="auto"/>
        <w:rPr>
          <w:rFonts w:ascii="Arial" w:hAnsi="Arial" w:cs="Arial"/>
          <w:color w:val="FF0000"/>
          <w:sz w:val="24"/>
          <w:szCs w:val="24"/>
        </w:rPr>
      </w:pPr>
      <w:r w:rsidRPr="00B802BE">
        <w:rPr>
          <w:rFonts w:ascii="Arial" w:hAnsi="Arial" w:cs="Arial"/>
          <w:sz w:val="24"/>
          <w:szCs w:val="24"/>
        </w:rPr>
        <w:t>*Jusqu’à maintenant il n’</w:t>
      </w:r>
      <w:r>
        <w:rPr>
          <w:rFonts w:ascii="Arial" w:hAnsi="Arial" w:cs="Arial"/>
          <w:sz w:val="24"/>
          <w:szCs w:val="24"/>
        </w:rPr>
        <w:t>y a p</w:t>
      </w:r>
      <w:r w:rsidRPr="00B802BE">
        <w:rPr>
          <w:rFonts w:ascii="Arial" w:hAnsi="Arial" w:cs="Arial"/>
          <w:sz w:val="24"/>
          <w:szCs w:val="24"/>
        </w:rPr>
        <w:t xml:space="preserve">as de </w:t>
      </w:r>
      <w:proofErr w:type="spellStart"/>
      <w:r w:rsidRPr="00B802BE">
        <w:rPr>
          <w:rFonts w:ascii="Arial" w:hAnsi="Arial" w:cs="Arial"/>
          <w:sz w:val="24"/>
          <w:szCs w:val="24"/>
        </w:rPr>
        <w:t>difference</w:t>
      </w:r>
      <w:proofErr w:type="spellEnd"/>
      <w:r w:rsidRPr="00B802BE">
        <w:rPr>
          <w:rFonts w:ascii="Arial" w:hAnsi="Arial" w:cs="Arial"/>
          <w:sz w:val="24"/>
          <w:szCs w:val="24"/>
        </w:rPr>
        <w:t xml:space="preserve"> entre l’économie fermé et l’économie ouverte* </w:t>
      </w:r>
      <w:r>
        <w:rPr>
          <w:rFonts w:ascii="Arial" w:hAnsi="Arial" w:cs="Arial"/>
          <w:sz w:val="24"/>
          <w:szCs w:val="24"/>
        </w:rPr>
        <w:t>… une injection monétaire dans une économie fermée produit aussi un mouvement de A vers B sur les graphiques</w:t>
      </w:r>
      <w:r w:rsidR="00B2169F">
        <w:rPr>
          <w:rFonts w:ascii="Arial" w:hAnsi="Arial" w:cs="Arial"/>
          <w:sz w:val="24"/>
          <w:szCs w:val="24"/>
        </w:rPr>
        <w:t>.</w:t>
      </w:r>
      <w:r>
        <w:rPr>
          <w:rFonts w:ascii="Arial" w:hAnsi="Arial" w:cs="Arial"/>
          <w:sz w:val="24"/>
          <w:szCs w:val="24"/>
        </w:rPr>
        <w:t xml:space="preserve"> </w:t>
      </w:r>
      <w:r w:rsidRPr="00B2169F">
        <w:rPr>
          <w:rFonts w:ascii="Arial" w:hAnsi="Arial" w:cs="Arial"/>
          <w:color w:val="FF0000"/>
          <w:sz w:val="24"/>
          <w:szCs w:val="24"/>
        </w:rPr>
        <w:t>(P.387)</w:t>
      </w:r>
      <w:r w:rsidR="001423B1" w:rsidRPr="00B2169F">
        <w:rPr>
          <w:rFonts w:ascii="Arial" w:hAnsi="Arial" w:cs="Arial"/>
          <w:color w:val="FF0000"/>
          <w:sz w:val="24"/>
          <w:szCs w:val="24"/>
        </w:rPr>
        <w:t xml:space="preserve">  </w:t>
      </w:r>
      <w:r w:rsidR="000D3C51" w:rsidRPr="00B2169F">
        <w:rPr>
          <w:rFonts w:ascii="Arial" w:hAnsi="Arial" w:cs="Arial"/>
          <w:color w:val="FF0000"/>
          <w:sz w:val="24"/>
          <w:szCs w:val="24"/>
        </w:rPr>
        <w:t xml:space="preserve"> </w:t>
      </w:r>
    </w:p>
    <w:p w:rsidR="00B2169F" w:rsidRDefault="00B2169F" w:rsidP="00AC38F8">
      <w:pPr>
        <w:spacing w:after="0" w:line="240" w:lineRule="auto"/>
        <w:rPr>
          <w:rFonts w:ascii="Arial" w:hAnsi="Arial" w:cs="Arial"/>
          <w:color w:val="FF0000"/>
          <w:sz w:val="24"/>
          <w:szCs w:val="24"/>
        </w:rPr>
      </w:pPr>
    </w:p>
    <w:p w:rsidR="00237928" w:rsidRDefault="00237928" w:rsidP="00AC38F8">
      <w:pPr>
        <w:spacing w:after="0" w:line="240" w:lineRule="auto"/>
        <w:rPr>
          <w:rFonts w:ascii="Arial" w:hAnsi="Arial" w:cs="Arial"/>
          <w:b/>
          <w:sz w:val="24"/>
          <w:szCs w:val="24"/>
        </w:rPr>
      </w:pPr>
    </w:p>
    <w:p w:rsidR="00237928" w:rsidRDefault="00237928" w:rsidP="00AC38F8">
      <w:pPr>
        <w:spacing w:after="0" w:line="240" w:lineRule="auto"/>
        <w:rPr>
          <w:rFonts w:ascii="Arial" w:hAnsi="Arial" w:cs="Arial"/>
          <w:b/>
          <w:sz w:val="24"/>
          <w:szCs w:val="24"/>
        </w:rPr>
      </w:pPr>
    </w:p>
    <w:p w:rsidR="00237928" w:rsidRDefault="00237928" w:rsidP="00AC38F8">
      <w:pPr>
        <w:spacing w:after="0" w:line="240" w:lineRule="auto"/>
        <w:rPr>
          <w:rFonts w:ascii="Arial" w:hAnsi="Arial" w:cs="Arial"/>
          <w:b/>
          <w:sz w:val="24"/>
          <w:szCs w:val="24"/>
        </w:rPr>
      </w:pPr>
    </w:p>
    <w:p w:rsidR="00237928" w:rsidRDefault="00237928" w:rsidP="00AC38F8">
      <w:pPr>
        <w:spacing w:after="0" w:line="240" w:lineRule="auto"/>
        <w:rPr>
          <w:rFonts w:ascii="Arial" w:hAnsi="Arial" w:cs="Arial"/>
          <w:b/>
          <w:sz w:val="24"/>
          <w:szCs w:val="24"/>
        </w:rPr>
      </w:pPr>
    </w:p>
    <w:p w:rsidR="00B2169F" w:rsidRDefault="00B2169F" w:rsidP="00AC38F8">
      <w:pPr>
        <w:spacing w:after="0" w:line="240" w:lineRule="auto"/>
        <w:rPr>
          <w:rFonts w:ascii="Arial" w:hAnsi="Arial" w:cs="Arial"/>
          <w:b/>
          <w:sz w:val="24"/>
          <w:szCs w:val="24"/>
        </w:rPr>
      </w:pPr>
      <w:r>
        <w:rPr>
          <w:rFonts w:ascii="Arial" w:hAnsi="Arial" w:cs="Arial"/>
          <w:b/>
          <w:sz w:val="24"/>
          <w:szCs w:val="24"/>
        </w:rPr>
        <w:lastRenderedPageBreak/>
        <w:t>Analyser les effets de la politique budgétaire sur les taux d’intérêt et sur la demande agrégée dans des économies ouvertes et fermées</w:t>
      </w:r>
    </w:p>
    <w:p w:rsidR="00B2169F" w:rsidRDefault="00B2169F" w:rsidP="00AC38F8">
      <w:pPr>
        <w:spacing w:after="0" w:line="240" w:lineRule="auto"/>
        <w:rPr>
          <w:rFonts w:ascii="Arial" w:hAnsi="Arial" w:cs="Arial"/>
          <w:b/>
          <w:sz w:val="24"/>
          <w:szCs w:val="24"/>
        </w:rPr>
      </w:pPr>
    </w:p>
    <w:p w:rsidR="00237928" w:rsidRDefault="00237928" w:rsidP="00AC38F8">
      <w:pPr>
        <w:spacing w:after="0" w:line="240" w:lineRule="auto"/>
        <w:rPr>
          <w:rFonts w:ascii="Arial" w:hAnsi="Arial" w:cs="Arial"/>
          <w:b/>
          <w:sz w:val="24"/>
          <w:szCs w:val="24"/>
        </w:rPr>
      </w:pPr>
      <w:r>
        <w:rPr>
          <w:rFonts w:ascii="Arial" w:hAnsi="Arial" w:cs="Arial"/>
          <w:b/>
          <w:noProof/>
          <w:sz w:val="24"/>
          <w:szCs w:val="24"/>
          <w:lang w:val="en-CA" w:eastAsia="en-CA"/>
        </w:rPr>
        <w:drawing>
          <wp:inline distT="0" distB="0" distL="0" distR="0">
            <wp:extent cx="4609213" cy="3145971"/>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4509" cy="3149586"/>
                    </a:xfrm>
                    <a:prstGeom prst="rect">
                      <a:avLst/>
                    </a:prstGeom>
                    <a:noFill/>
                    <a:ln>
                      <a:noFill/>
                    </a:ln>
                  </pic:spPr>
                </pic:pic>
              </a:graphicData>
            </a:graphic>
          </wp:inline>
        </w:drawing>
      </w:r>
    </w:p>
    <w:p w:rsidR="00B2169F" w:rsidRDefault="00B2169F" w:rsidP="00AC38F8">
      <w:pPr>
        <w:spacing w:after="0" w:line="240" w:lineRule="auto"/>
        <w:rPr>
          <w:rFonts w:ascii="Arial" w:hAnsi="Arial" w:cs="Arial"/>
          <w:sz w:val="24"/>
          <w:szCs w:val="24"/>
        </w:rPr>
      </w:pPr>
      <w:r>
        <w:rPr>
          <w:rFonts w:ascii="Arial" w:hAnsi="Arial" w:cs="Arial"/>
          <w:sz w:val="24"/>
          <w:szCs w:val="24"/>
        </w:rPr>
        <w:t xml:space="preserve">Le gouvernement peut influencer l’économie non seulement grâce à sa politique monétaire mais également par le biais de sa politique budgétaire – c’est-à-dire au moyen de ses décisions concernant le niveau général des dépenses publiques ou des dépôts. </w:t>
      </w:r>
      <w:r w:rsidR="007B56B4">
        <w:rPr>
          <w:rFonts w:ascii="Arial" w:hAnsi="Arial" w:cs="Arial"/>
          <w:sz w:val="24"/>
          <w:szCs w:val="24"/>
        </w:rPr>
        <w:t xml:space="preserve"> </w:t>
      </w:r>
    </w:p>
    <w:p w:rsidR="007B56B4" w:rsidRDefault="007B56B4" w:rsidP="007B56B4">
      <w:pPr>
        <w:pStyle w:val="ListParagraph"/>
        <w:numPr>
          <w:ilvl w:val="0"/>
          <w:numId w:val="2"/>
        </w:numPr>
        <w:spacing w:after="0" w:line="240" w:lineRule="auto"/>
        <w:rPr>
          <w:rFonts w:ascii="Arial" w:hAnsi="Arial" w:cs="Arial"/>
          <w:sz w:val="24"/>
          <w:szCs w:val="24"/>
        </w:rPr>
      </w:pPr>
      <w:r>
        <w:rPr>
          <w:rFonts w:ascii="Arial" w:hAnsi="Arial" w:cs="Arial"/>
          <w:sz w:val="24"/>
          <w:szCs w:val="24"/>
        </w:rPr>
        <w:t xml:space="preserve">Les variations des dépenses publiques : </w:t>
      </w:r>
    </w:p>
    <w:p w:rsidR="007B56B4" w:rsidRPr="007B56B4" w:rsidRDefault="007B56B4" w:rsidP="007B56B4">
      <w:pPr>
        <w:spacing w:after="0" w:line="240" w:lineRule="auto"/>
        <w:ind w:left="360"/>
        <w:rPr>
          <w:rFonts w:ascii="Arial" w:hAnsi="Arial" w:cs="Arial"/>
          <w:sz w:val="24"/>
          <w:szCs w:val="24"/>
        </w:rPr>
      </w:pPr>
      <w:r>
        <w:rPr>
          <w:rFonts w:ascii="Arial" w:hAnsi="Arial" w:cs="Arial"/>
          <w:sz w:val="24"/>
          <w:szCs w:val="24"/>
        </w:rPr>
        <w:t xml:space="preserve">L’effet sur la demande agrégée : </w:t>
      </w:r>
    </w:p>
    <w:p w:rsidR="007B56B4" w:rsidRDefault="007B56B4" w:rsidP="000F67CD">
      <w:pPr>
        <w:pStyle w:val="ListParagraph"/>
        <w:numPr>
          <w:ilvl w:val="1"/>
          <w:numId w:val="2"/>
        </w:numPr>
        <w:spacing w:after="0" w:line="240" w:lineRule="auto"/>
        <w:rPr>
          <w:rFonts w:ascii="Arial" w:hAnsi="Arial" w:cs="Arial"/>
          <w:sz w:val="24"/>
          <w:szCs w:val="24"/>
        </w:rPr>
      </w:pPr>
      <w:r>
        <w:rPr>
          <w:rFonts w:ascii="Arial" w:hAnsi="Arial" w:cs="Arial"/>
          <w:sz w:val="24"/>
          <w:szCs w:val="24"/>
        </w:rPr>
        <w:t>L’effet multiplicateur :</w:t>
      </w:r>
      <w:r w:rsidR="000F67CD">
        <w:rPr>
          <w:rFonts w:ascii="Arial" w:hAnsi="Arial" w:cs="Arial"/>
          <w:sz w:val="24"/>
          <w:szCs w:val="24"/>
        </w:rPr>
        <w:t xml:space="preserve"> Augmentation de la demande agrégée et augmentation </w:t>
      </w:r>
      <w:r w:rsidR="001351CF">
        <w:rPr>
          <w:rFonts w:ascii="Arial" w:hAnsi="Arial" w:cs="Arial"/>
          <w:sz w:val="24"/>
          <w:szCs w:val="24"/>
        </w:rPr>
        <w:t>du revenu.</w:t>
      </w:r>
    </w:p>
    <w:p w:rsidR="001351CF" w:rsidRDefault="000F67CD" w:rsidP="001351CF">
      <w:pPr>
        <w:pStyle w:val="ListParagraph"/>
        <w:numPr>
          <w:ilvl w:val="1"/>
          <w:numId w:val="2"/>
        </w:numPr>
        <w:spacing w:after="0" w:line="240" w:lineRule="auto"/>
        <w:rPr>
          <w:rFonts w:ascii="Arial" w:hAnsi="Arial" w:cs="Arial"/>
          <w:sz w:val="24"/>
          <w:szCs w:val="24"/>
        </w:rPr>
      </w:pPr>
      <w:r>
        <w:rPr>
          <w:rFonts w:ascii="Arial" w:hAnsi="Arial" w:cs="Arial"/>
          <w:sz w:val="24"/>
          <w:szCs w:val="24"/>
        </w:rPr>
        <w:t xml:space="preserve">Effet d’éviction : </w:t>
      </w:r>
      <w:r w:rsidR="001351CF">
        <w:rPr>
          <w:rFonts w:ascii="Arial" w:hAnsi="Arial" w:cs="Arial"/>
          <w:sz w:val="24"/>
          <w:szCs w:val="24"/>
        </w:rPr>
        <w:t>Fait augmenter l’intérêt et réduit la demande agrégée.</w:t>
      </w:r>
    </w:p>
    <w:p w:rsidR="001351CF" w:rsidRDefault="001351CF" w:rsidP="001351CF">
      <w:pPr>
        <w:spacing w:after="0" w:line="240" w:lineRule="auto"/>
        <w:ind w:left="720"/>
        <w:rPr>
          <w:rFonts w:ascii="Arial" w:hAnsi="Arial" w:cs="Arial"/>
          <w:sz w:val="24"/>
          <w:szCs w:val="24"/>
        </w:rPr>
      </w:pPr>
      <w:r>
        <w:rPr>
          <w:rFonts w:ascii="Arial" w:hAnsi="Arial" w:cs="Arial"/>
          <w:sz w:val="24"/>
          <w:szCs w:val="24"/>
        </w:rPr>
        <w:t>C’est quoi?</w:t>
      </w:r>
    </w:p>
    <w:p w:rsidR="001351CF" w:rsidRDefault="001351CF" w:rsidP="001351CF">
      <w:pPr>
        <w:spacing w:after="0" w:line="240" w:lineRule="auto"/>
        <w:ind w:left="720"/>
        <w:rPr>
          <w:rFonts w:ascii="Arial" w:hAnsi="Arial" w:cs="Arial"/>
          <w:sz w:val="24"/>
          <w:szCs w:val="24"/>
        </w:rPr>
      </w:pPr>
      <w:r>
        <w:rPr>
          <w:rFonts w:ascii="Arial" w:hAnsi="Arial" w:cs="Arial"/>
          <w:sz w:val="24"/>
          <w:szCs w:val="24"/>
        </w:rPr>
        <w:t xml:space="preserve">Effet multiplicateur : Peut générer une variation de la demande globale </w:t>
      </w:r>
      <w:r w:rsidRPr="001351CF">
        <w:rPr>
          <w:rFonts w:ascii="Arial" w:hAnsi="Arial" w:cs="Arial"/>
          <w:b/>
          <w:sz w:val="24"/>
          <w:szCs w:val="24"/>
        </w:rPr>
        <w:t>supérieure</w:t>
      </w:r>
      <w:r>
        <w:rPr>
          <w:rFonts w:ascii="Arial" w:hAnsi="Arial" w:cs="Arial"/>
          <w:sz w:val="24"/>
          <w:szCs w:val="24"/>
        </w:rPr>
        <w:t xml:space="preserve"> à 5 millions de dollars.</w:t>
      </w:r>
    </w:p>
    <w:p w:rsidR="001351CF" w:rsidRDefault="001351CF" w:rsidP="001351CF">
      <w:pPr>
        <w:spacing w:after="0" w:line="240" w:lineRule="auto"/>
        <w:ind w:left="720"/>
        <w:rPr>
          <w:rFonts w:ascii="Arial" w:hAnsi="Arial" w:cs="Arial"/>
          <w:sz w:val="24"/>
          <w:szCs w:val="24"/>
        </w:rPr>
      </w:pPr>
      <w:r>
        <w:rPr>
          <w:rFonts w:ascii="Arial" w:hAnsi="Arial" w:cs="Arial"/>
          <w:sz w:val="24"/>
          <w:szCs w:val="24"/>
        </w:rPr>
        <w:t xml:space="preserve">Effet d’éviction : Peut générer une variation de la demande globale </w:t>
      </w:r>
      <w:r w:rsidRPr="001351CF">
        <w:rPr>
          <w:rFonts w:ascii="Arial" w:hAnsi="Arial" w:cs="Arial"/>
          <w:b/>
          <w:sz w:val="24"/>
          <w:szCs w:val="24"/>
        </w:rPr>
        <w:t>inférieure</w:t>
      </w:r>
      <w:r>
        <w:rPr>
          <w:rFonts w:ascii="Arial" w:hAnsi="Arial" w:cs="Arial"/>
          <w:sz w:val="24"/>
          <w:szCs w:val="24"/>
        </w:rPr>
        <w:t xml:space="preserve"> à 5 millions de dollars.</w:t>
      </w:r>
    </w:p>
    <w:p w:rsidR="001351CF" w:rsidRDefault="001351CF" w:rsidP="001351CF">
      <w:pPr>
        <w:spacing w:after="0" w:line="240" w:lineRule="auto"/>
        <w:ind w:left="720"/>
        <w:rPr>
          <w:rFonts w:ascii="Arial" w:hAnsi="Arial" w:cs="Arial"/>
          <w:sz w:val="24"/>
          <w:szCs w:val="24"/>
        </w:rPr>
      </w:pPr>
      <w:r>
        <w:rPr>
          <w:rFonts w:ascii="Arial" w:hAnsi="Arial" w:cs="Arial"/>
          <w:noProof/>
          <w:sz w:val="24"/>
          <w:szCs w:val="24"/>
          <w:lang w:val="en-CA" w:eastAsia="en-CA"/>
        </w:rPr>
        <w:lastRenderedPageBreak/>
        <w:drawing>
          <wp:inline distT="0" distB="0" distL="0" distR="0">
            <wp:extent cx="4234815" cy="29610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34815" cy="2961005"/>
                    </a:xfrm>
                    <a:prstGeom prst="rect">
                      <a:avLst/>
                    </a:prstGeom>
                    <a:noFill/>
                    <a:ln>
                      <a:noFill/>
                    </a:ln>
                  </pic:spPr>
                </pic:pic>
              </a:graphicData>
            </a:graphic>
          </wp:inline>
        </w:drawing>
      </w:r>
    </w:p>
    <w:p w:rsidR="001351CF" w:rsidRDefault="001351CF" w:rsidP="001351CF">
      <w:pPr>
        <w:spacing w:after="0" w:line="240" w:lineRule="auto"/>
        <w:rPr>
          <w:rFonts w:ascii="Arial" w:hAnsi="Arial" w:cs="Arial"/>
          <w:sz w:val="24"/>
          <w:szCs w:val="24"/>
        </w:rPr>
      </w:pPr>
    </w:p>
    <w:p w:rsidR="001351CF" w:rsidRDefault="001351CF" w:rsidP="001351CF">
      <w:pPr>
        <w:spacing w:after="0" w:line="240" w:lineRule="auto"/>
        <w:rPr>
          <w:rFonts w:ascii="Arial" w:hAnsi="Arial" w:cs="Arial"/>
          <w:sz w:val="24"/>
          <w:szCs w:val="24"/>
        </w:rPr>
      </w:pPr>
      <w:r>
        <w:rPr>
          <w:rFonts w:ascii="Arial" w:hAnsi="Arial" w:cs="Arial"/>
          <w:sz w:val="24"/>
          <w:szCs w:val="24"/>
        </w:rPr>
        <w:t>Multiplicateur dépend de la Propension Marginale à Consommer des individus (</w:t>
      </w:r>
      <w:proofErr w:type="spellStart"/>
      <w:r>
        <w:rPr>
          <w:rFonts w:ascii="Arial" w:hAnsi="Arial" w:cs="Arial"/>
          <w:sz w:val="24"/>
          <w:szCs w:val="24"/>
        </w:rPr>
        <w:t>PmC</w:t>
      </w:r>
      <w:proofErr w:type="spellEnd"/>
      <w:r>
        <w:rPr>
          <w:rFonts w:ascii="Arial" w:hAnsi="Arial" w:cs="Arial"/>
          <w:sz w:val="24"/>
          <w:szCs w:val="24"/>
        </w:rPr>
        <w:t>). C’est la part du revenu supplémentaire que le public consomme.</w:t>
      </w:r>
    </w:p>
    <w:p w:rsidR="001351CF" w:rsidRDefault="001351CF" w:rsidP="001351CF">
      <w:pPr>
        <w:spacing w:after="0" w:line="240" w:lineRule="auto"/>
        <w:rPr>
          <w:rFonts w:ascii="Arial" w:hAnsi="Arial" w:cs="Arial"/>
          <w:sz w:val="24"/>
          <w:szCs w:val="24"/>
        </w:rPr>
      </w:pPr>
      <w:r>
        <w:rPr>
          <w:rFonts w:ascii="Arial" w:hAnsi="Arial" w:cs="Arial"/>
          <w:noProof/>
          <w:sz w:val="24"/>
          <w:szCs w:val="24"/>
          <w:lang w:val="en-CA" w:eastAsia="en-CA"/>
        </w:rPr>
        <w:drawing>
          <wp:inline distT="0" distB="0" distL="0" distR="0">
            <wp:extent cx="4855029" cy="2628802"/>
            <wp:effectExtent l="0" t="0" r="317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6991" cy="2629864"/>
                    </a:xfrm>
                    <a:prstGeom prst="rect">
                      <a:avLst/>
                    </a:prstGeom>
                    <a:noFill/>
                    <a:ln>
                      <a:noFill/>
                    </a:ln>
                  </pic:spPr>
                </pic:pic>
              </a:graphicData>
            </a:graphic>
          </wp:inline>
        </w:drawing>
      </w:r>
    </w:p>
    <w:p w:rsidR="001351CF" w:rsidRDefault="001351CF" w:rsidP="001351CF">
      <w:pPr>
        <w:spacing w:after="0" w:line="240" w:lineRule="auto"/>
        <w:rPr>
          <w:rFonts w:ascii="Arial" w:hAnsi="Arial" w:cs="Arial"/>
          <w:sz w:val="24"/>
          <w:szCs w:val="24"/>
        </w:rPr>
      </w:pPr>
      <w:r>
        <w:rPr>
          <w:rFonts w:ascii="Arial" w:hAnsi="Arial" w:cs="Arial"/>
          <w:noProof/>
          <w:sz w:val="24"/>
          <w:szCs w:val="24"/>
          <w:lang w:val="en-CA" w:eastAsia="en-CA"/>
        </w:rPr>
        <w:lastRenderedPageBreak/>
        <w:drawing>
          <wp:inline distT="0" distB="0" distL="0" distR="0">
            <wp:extent cx="4310743" cy="320853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7407" cy="3213492"/>
                    </a:xfrm>
                    <a:prstGeom prst="rect">
                      <a:avLst/>
                    </a:prstGeom>
                    <a:noFill/>
                    <a:ln>
                      <a:noFill/>
                    </a:ln>
                  </pic:spPr>
                </pic:pic>
              </a:graphicData>
            </a:graphic>
          </wp:inline>
        </w:drawing>
      </w:r>
    </w:p>
    <w:p w:rsidR="001351CF" w:rsidRDefault="001351CF" w:rsidP="001351CF">
      <w:pPr>
        <w:spacing w:after="0" w:line="240" w:lineRule="auto"/>
        <w:rPr>
          <w:rFonts w:ascii="Arial" w:hAnsi="Arial" w:cs="Arial"/>
          <w:sz w:val="24"/>
          <w:szCs w:val="24"/>
        </w:rPr>
      </w:pPr>
      <w:r>
        <w:rPr>
          <w:rFonts w:ascii="Arial" w:hAnsi="Arial" w:cs="Arial"/>
          <w:noProof/>
          <w:sz w:val="24"/>
          <w:szCs w:val="24"/>
          <w:lang w:val="en-CA" w:eastAsia="en-CA"/>
        </w:rPr>
        <w:drawing>
          <wp:inline distT="0" distB="0" distL="0" distR="0">
            <wp:extent cx="4942205" cy="33204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2205" cy="3320415"/>
                    </a:xfrm>
                    <a:prstGeom prst="rect">
                      <a:avLst/>
                    </a:prstGeom>
                    <a:noFill/>
                    <a:ln>
                      <a:noFill/>
                    </a:ln>
                  </pic:spPr>
                </pic:pic>
              </a:graphicData>
            </a:graphic>
          </wp:inline>
        </w:drawing>
      </w:r>
    </w:p>
    <w:p w:rsidR="001351CF" w:rsidRDefault="001351CF" w:rsidP="001351CF">
      <w:pPr>
        <w:jc w:val="right"/>
        <w:rPr>
          <w:rFonts w:ascii="Arial" w:hAnsi="Arial" w:cs="Arial"/>
          <w:sz w:val="24"/>
          <w:szCs w:val="24"/>
        </w:rPr>
      </w:pPr>
    </w:p>
    <w:p w:rsidR="001351CF" w:rsidRDefault="001351CF" w:rsidP="001351CF">
      <w:pPr>
        <w:rPr>
          <w:rFonts w:ascii="Arial" w:hAnsi="Arial" w:cs="Arial"/>
          <w:sz w:val="24"/>
          <w:szCs w:val="24"/>
        </w:rPr>
      </w:pPr>
      <w:r>
        <w:rPr>
          <w:rFonts w:ascii="Arial" w:hAnsi="Arial" w:cs="Arial"/>
          <w:noProof/>
          <w:sz w:val="24"/>
          <w:szCs w:val="24"/>
          <w:lang w:val="en-CA" w:eastAsia="en-CA"/>
        </w:rPr>
        <w:lastRenderedPageBreak/>
        <w:drawing>
          <wp:inline distT="0" distB="0" distL="0" distR="0">
            <wp:extent cx="5094605" cy="355981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94605" cy="3559810"/>
                    </a:xfrm>
                    <a:prstGeom prst="rect">
                      <a:avLst/>
                    </a:prstGeom>
                    <a:noFill/>
                    <a:ln>
                      <a:noFill/>
                    </a:ln>
                  </pic:spPr>
                </pic:pic>
              </a:graphicData>
            </a:graphic>
          </wp:inline>
        </w:drawing>
      </w:r>
    </w:p>
    <w:p w:rsidR="001351CF" w:rsidRDefault="001351CF" w:rsidP="001351CF">
      <w:pPr>
        <w:rPr>
          <w:rFonts w:ascii="Arial" w:hAnsi="Arial" w:cs="Arial"/>
          <w:b/>
          <w:sz w:val="24"/>
          <w:szCs w:val="24"/>
        </w:rPr>
      </w:pPr>
      <w:r>
        <w:rPr>
          <w:rFonts w:ascii="Arial" w:hAnsi="Arial" w:cs="Arial"/>
          <w:b/>
          <w:sz w:val="24"/>
          <w:szCs w:val="24"/>
        </w:rPr>
        <w:t>Les politiques de stabilisation :</w:t>
      </w:r>
    </w:p>
    <w:p w:rsidR="001351CF" w:rsidRDefault="001351CF" w:rsidP="001351CF">
      <w:pPr>
        <w:rPr>
          <w:rFonts w:ascii="Arial" w:hAnsi="Arial" w:cs="Arial"/>
          <w:b/>
          <w:sz w:val="24"/>
          <w:szCs w:val="24"/>
        </w:rPr>
      </w:pPr>
      <w:r>
        <w:rPr>
          <w:rFonts w:ascii="Arial" w:hAnsi="Arial" w:cs="Arial"/>
          <w:b/>
          <w:sz w:val="24"/>
          <w:szCs w:val="24"/>
        </w:rPr>
        <w:t>ARGUMENTS POUR :</w:t>
      </w:r>
    </w:p>
    <w:p w:rsidR="001351CF" w:rsidRDefault="001351CF" w:rsidP="001351CF">
      <w:pPr>
        <w:rPr>
          <w:rFonts w:ascii="Arial" w:hAnsi="Arial" w:cs="Arial"/>
          <w:b/>
          <w:sz w:val="24"/>
          <w:szCs w:val="24"/>
        </w:rPr>
      </w:pPr>
      <w:r>
        <w:rPr>
          <w:rFonts w:ascii="Arial" w:hAnsi="Arial" w:cs="Arial"/>
          <w:b/>
          <w:noProof/>
          <w:sz w:val="24"/>
          <w:szCs w:val="24"/>
          <w:lang w:val="en-CA" w:eastAsia="en-CA"/>
        </w:rPr>
        <w:drawing>
          <wp:inline distT="0" distB="0" distL="0" distR="0">
            <wp:extent cx="4920615" cy="27108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20615" cy="2710815"/>
                    </a:xfrm>
                    <a:prstGeom prst="rect">
                      <a:avLst/>
                    </a:prstGeom>
                    <a:noFill/>
                    <a:ln>
                      <a:noFill/>
                    </a:ln>
                  </pic:spPr>
                </pic:pic>
              </a:graphicData>
            </a:graphic>
          </wp:inline>
        </w:drawing>
      </w:r>
    </w:p>
    <w:p w:rsidR="001351CF" w:rsidRDefault="001351CF" w:rsidP="001351CF">
      <w:pPr>
        <w:rPr>
          <w:rFonts w:ascii="Arial" w:hAnsi="Arial" w:cs="Arial"/>
          <w:b/>
          <w:sz w:val="24"/>
          <w:szCs w:val="24"/>
        </w:rPr>
      </w:pPr>
    </w:p>
    <w:p w:rsidR="001351CF" w:rsidRDefault="001351CF" w:rsidP="001351CF">
      <w:pPr>
        <w:rPr>
          <w:rFonts w:ascii="Arial" w:hAnsi="Arial" w:cs="Arial"/>
          <w:b/>
          <w:sz w:val="24"/>
          <w:szCs w:val="24"/>
        </w:rPr>
      </w:pPr>
    </w:p>
    <w:p w:rsidR="001351CF" w:rsidRDefault="001351CF" w:rsidP="001351CF">
      <w:pPr>
        <w:rPr>
          <w:rFonts w:ascii="Arial" w:hAnsi="Arial" w:cs="Arial"/>
          <w:b/>
          <w:sz w:val="24"/>
          <w:szCs w:val="24"/>
        </w:rPr>
      </w:pPr>
    </w:p>
    <w:p w:rsidR="001351CF" w:rsidRDefault="001351CF" w:rsidP="001351CF">
      <w:pPr>
        <w:rPr>
          <w:rFonts w:ascii="Arial" w:hAnsi="Arial" w:cs="Arial"/>
          <w:b/>
          <w:sz w:val="24"/>
          <w:szCs w:val="24"/>
        </w:rPr>
      </w:pPr>
    </w:p>
    <w:p w:rsidR="001351CF" w:rsidRDefault="001351CF" w:rsidP="001351CF">
      <w:pPr>
        <w:rPr>
          <w:rFonts w:ascii="Arial" w:hAnsi="Arial" w:cs="Arial"/>
          <w:b/>
          <w:sz w:val="24"/>
          <w:szCs w:val="24"/>
        </w:rPr>
      </w:pPr>
      <w:r>
        <w:rPr>
          <w:rFonts w:ascii="Arial" w:hAnsi="Arial" w:cs="Arial"/>
          <w:b/>
          <w:sz w:val="24"/>
          <w:szCs w:val="24"/>
        </w:rPr>
        <w:lastRenderedPageBreak/>
        <w:t>ARGUMENTS CONTRE :</w:t>
      </w:r>
    </w:p>
    <w:p w:rsidR="001351CF" w:rsidRDefault="001351CF" w:rsidP="001351CF">
      <w:pPr>
        <w:rPr>
          <w:rFonts w:ascii="Arial" w:hAnsi="Arial" w:cs="Arial"/>
          <w:b/>
          <w:sz w:val="24"/>
          <w:szCs w:val="24"/>
        </w:rPr>
      </w:pPr>
      <w:r>
        <w:rPr>
          <w:rFonts w:ascii="Arial" w:hAnsi="Arial" w:cs="Arial"/>
          <w:b/>
          <w:noProof/>
          <w:sz w:val="24"/>
          <w:szCs w:val="24"/>
          <w:lang w:val="en-CA" w:eastAsia="en-CA"/>
        </w:rPr>
        <w:drawing>
          <wp:inline distT="0" distB="0" distL="0" distR="0">
            <wp:extent cx="4768215" cy="1905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8215" cy="1905000"/>
                    </a:xfrm>
                    <a:prstGeom prst="rect">
                      <a:avLst/>
                    </a:prstGeom>
                    <a:noFill/>
                    <a:ln>
                      <a:noFill/>
                    </a:ln>
                  </pic:spPr>
                </pic:pic>
              </a:graphicData>
            </a:graphic>
          </wp:inline>
        </w:drawing>
      </w:r>
    </w:p>
    <w:p w:rsidR="001351CF" w:rsidRDefault="001351CF" w:rsidP="001351CF">
      <w:pPr>
        <w:rPr>
          <w:rFonts w:ascii="Arial" w:hAnsi="Arial" w:cs="Arial"/>
          <w:b/>
          <w:sz w:val="24"/>
          <w:szCs w:val="24"/>
        </w:rPr>
      </w:pPr>
      <w:r>
        <w:rPr>
          <w:rFonts w:ascii="Arial" w:hAnsi="Arial" w:cs="Arial"/>
          <w:b/>
          <w:sz w:val="24"/>
          <w:szCs w:val="24"/>
        </w:rPr>
        <w:t>Les stabilisateurs automatiques :</w:t>
      </w:r>
    </w:p>
    <w:p w:rsidR="001351CF" w:rsidRDefault="00237928" w:rsidP="001351CF">
      <w:pPr>
        <w:rPr>
          <w:rFonts w:ascii="Arial" w:hAnsi="Arial" w:cs="Arial"/>
          <w:sz w:val="24"/>
          <w:szCs w:val="24"/>
        </w:rPr>
      </w:pPr>
      <w:r>
        <w:rPr>
          <w:rFonts w:ascii="Arial" w:hAnsi="Arial" w:cs="Arial"/>
          <w:sz w:val="24"/>
          <w:szCs w:val="24"/>
        </w:rPr>
        <w:t>Il y a des retards qui viennent avec les politiques de stabilisation donc les économistes veulent quelque chose pour éviter ces retards. La réponse : les stabilisateurs automatiques! Ils recouvrent les éléments de la politique budgétaire qui stimulent la demande globale lors des récessions sans que les responsables politiques n’aient à intervenir directement; mécanismes de l’économie qui réduisent les réactions du PIB à des chocs.</w:t>
      </w:r>
    </w:p>
    <w:p w:rsidR="00237928" w:rsidRDefault="00237928" w:rsidP="00237928">
      <w:pPr>
        <w:pStyle w:val="ListParagraph"/>
        <w:numPr>
          <w:ilvl w:val="0"/>
          <w:numId w:val="2"/>
        </w:numPr>
        <w:rPr>
          <w:rFonts w:ascii="Arial" w:hAnsi="Arial" w:cs="Arial"/>
          <w:sz w:val="24"/>
          <w:szCs w:val="24"/>
        </w:rPr>
      </w:pPr>
      <w:r>
        <w:rPr>
          <w:rFonts w:ascii="Arial" w:hAnsi="Arial" w:cs="Arial"/>
          <w:sz w:val="24"/>
          <w:szCs w:val="24"/>
        </w:rPr>
        <w:t>Le système fiscal : En période de récession les revenus baissent. Donc les recettes fiscales baissent aussi. Cette baisse stimule la demande globale et contribue à limiter l’ampleur des fluctuations économiques.</w:t>
      </w:r>
    </w:p>
    <w:p w:rsidR="00237928" w:rsidRPr="00237928" w:rsidRDefault="00237928" w:rsidP="00237928">
      <w:pPr>
        <w:pStyle w:val="ListParagraph"/>
        <w:numPr>
          <w:ilvl w:val="0"/>
          <w:numId w:val="2"/>
        </w:numPr>
        <w:rPr>
          <w:rFonts w:ascii="Arial" w:hAnsi="Arial" w:cs="Arial"/>
          <w:sz w:val="24"/>
          <w:szCs w:val="24"/>
        </w:rPr>
      </w:pPr>
      <w:r>
        <w:rPr>
          <w:rFonts w:ascii="Arial" w:hAnsi="Arial" w:cs="Arial"/>
          <w:sz w:val="24"/>
          <w:szCs w:val="24"/>
        </w:rPr>
        <w:t>Les dépenses publiques : En période de récession et de chômage, le # de bénéficiaires des allocations de chômage et de l’aide sociale augmente. Une augmentation des dépenses publiques en période de récession stimule la demande globale.</w:t>
      </w:r>
    </w:p>
    <w:sectPr w:rsidR="00237928" w:rsidRPr="002379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90CD8"/>
    <w:multiLevelType w:val="hybridMultilevel"/>
    <w:tmpl w:val="6C882C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D8629E9"/>
    <w:multiLevelType w:val="hybridMultilevel"/>
    <w:tmpl w:val="A9EAF9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0BA"/>
    <w:rsid w:val="0002795F"/>
    <w:rsid w:val="000D3A35"/>
    <w:rsid w:val="000D3C51"/>
    <w:rsid w:val="000F67CD"/>
    <w:rsid w:val="00134D11"/>
    <w:rsid w:val="001351CF"/>
    <w:rsid w:val="001423B1"/>
    <w:rsid w:val="00160268"/>
    <w:rsid w:val="00237928"/>
    <w:rsid w:val="003109D3"/>
    <w:rsid w:val="00347926"/>
    <w:rsid w:val="003860BA"/>
    <w:rsid w:val="005107CE"/>
    <w:rsid w:val="00551B17"/>
    <w:rsid w:val="00584664"/>
    <w:rsid w:val="00617079"/>
    <w:rsid w:val="006C5547"/>
    <w:rsid w:val="00795980"/>
    <w:rsid w:val="007B56B4"/>
    <w:rsid w:val="00825D25"/>
    <w:rsid w:val="009524C1"/>
    <w:rsid w:val="00AC38F8"/>
    <w:rsid w:val="00B2169F"/>
    <w:rsid w:val="00B802BE"/>
    <w:rsid w:val="00D02A08"/>
    <w:rsid w:val="00E36B6A"/>
    <w:rsid w:val="00EF18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18BA97-32DA-4066-94CC-7CC0CC6CF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D11"/>
    <w:pPr>
      <w:ind w:left="720"/>
      <w:contextualSpacing/>
    </w:pPr>
  </w:style>
  <w:style w:type="paragraph" w:styleId="NoSpacing">
    <w:name w:val="No Spacing"/>
    <w:uiPriority w:val="1"/>
    <w:qFormat/>
    <w:rsid w:val="003109D3"/>
    <w:pPr>
      <w:spacing w:after="0" w:line="240" w:lineRule="auto"/>
    </w:pPr>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B630F-88C8-4526-8C89-FCAF80895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10</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Diguer</dc:creator>
  <cp:keywords/>
  <dc:description/>
  <cp:lastModifiedBy>Alyssa Diguer</cp:lastModifiedBy>
  <cp:revision>3</cp:revision>
  <dcterms:created xsi:type="dcterms:W3CDTF">2014-04-10T21:41:00Z</dcterms:created>
  <dcterms:modified xsi:type="dcterms:W3CDTF">2014-04-14T03:20:00Z</dcterms:modified>
</cp:coreProperties>
</file>