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688DF2" w14:textId="77777777" w:rsidR="00D73577" w:rsidRPr="008537D6" w:rsidRDefault="008A4EFD" w:rsidP="00BD7DE2">
      <w:pPr>
        <w:jc w:val="center"/>
        <w:rPr>
          <w:rFonts w:ascii="Cambria" w:hAnsi="Cambria"/>
        </w:rPr>
      </w:pPr>
      <w:bookmarkStart w:id="0" w:name="_GoBack"/>
      <w:bookmarkEnd w:id="0"/>
      <w:r w:rsidRPr="008537D6">
        <w:rPr>
          <w:rFonts w:ascii="Cambria" w:hAnsi="Cambria"/>
          <w:b/>
          <w:u w:val="single"/>
        </w:rPr>
        <w:t>Lesson 6</w:t>
      </w:r>
      <w:r w:rsidR="00D73577" w:rsidRPr="008537D6">
        <w:rPr>
          <w:rFonts w:ascii="Cambria" w:hAnsi="Cambria"/>
          <w:b/>
          <w:u w:val="single"/>
        </w:rPr>
        <w:t xml:space="preserve">: The </w:t>
      </w:r>
      <w:r w:rsidRPr="008537D6">
        <w:rPr>
          <w:rFonts w:ascii="Cambria" w:hAnsi="Cambria"/>
          <w:b/>
          <w:u w:val="single"/>
        </w:rPr>
        <w:t>Tax</w:t>
      </w:r>
      <w:r w:rsidR="00D73577" w:rsidRPr="008537D6">
        <w:rPr>
          <w:rFonts w:ascii="Cambria" w:hAnsi="Cambria"/>
          <w:b/>
          <w:u w:val="single"/>
        </w:rPr>
        <w:t xml:space="preserve"> Environment</w:t>
      </w:r>
    </w:p>
    <w:p w14:paraId="551A51CF" w14:textId="77777777" w:rsidR="00D73577" w:rsidRPr="008537D6" w:rsidRDefault="00D73577" w:rsidP="00BD7DE2">
      <w:pPr>
        <w:jc w:val="center"/>
        <w:rPr>
          <w:rFonts w:ascii="Cambria" w:hAnsi="Cambria"/>
          <w:sz w:val="20"/>
          <w:szCs w:val="20"/>
        </w:rPr>
      </w:pPr>
    </w:p>
    <w:p w14:paraId="6DC14451" w14:textId="77777777" w:rsidR="00D73577" w:rsidRPr="008537D6" w:rsidRDefault="00D73577" w:rsidP="00BD7DE2">
      <w:pPr>
        <w:rPr>
          <w:rFonts w:ascii="Cambria" w:hAnsi="Cambria"/>
          <w:sz w:val="20"/>
          <w:szCs w:val="20"/>
        </w:rPr>
      </w:pPr>
      <w:r w:rsidRPr="008537D6">
        <w:rPr>
          <w:rFonts w:ascii="Cambria" w:hAnsi="Cambria"/>
          <w:b/>
          <w:sz w:val="20"/>
          <w:szCs w:val="20"/>
          <w:u w:val="single"/>
        </w:rPr>
        <w:t>Notes:</w:t>
      </w:r>
    </w:p>
    <w:p w14:paraId="2A66DAA0" w14:textId="77777777" w:rsidR="00D73577" w:rsidRPr="008537D6" w:rsidRDefault="00D73577" w:rsidP="00BD7DE2">
      <w:pPr>
        <w:rPr>
          <w:rFonts w:ascii="Cambria" w:hAnsi="Cambria"/>
          <w:sz w:val="20"/>
          <w:szCs w:val="20"/>
        </w:rPr>
      </w:pPr>
    </w:p>
    <w:p w14:paraId="46DE0810" w14:textId="77777777" w:rsidR="00D73577" w:rsidRPr="008537D6" w:rsidRDefault="00D73577" w:rsidP="00BD7DE2">
      <w:pPr>
        <w:widowControl w:val="0"/>
        <w:autoSpaceDE w:val="0"/>
        <w:autoSpaceDN w:val="0"/>
        <w:adjustRightInd w:val="0"/>
        <w:spacing w:after="100"/>
        <w:rPr>
          <w:rFonts w:ascii="Cambria" w:hAnsi="Cambria" w:cs="Verdana"/>
          <w:sz w:val="20"/>
          <w:szCs w:val="20"/>
        </w:rPr>
      </w:pPr>
      <w:r w:rsidRPr="008537D6">
        <w:rPr>
          <w:rFonts w:ascii="Cambria" w:hAnsi="Cambria" w:cs="Verdana"/>
          <w:b/>
          <w:bCs/>
          <w:sz w:val="20"/>
          <w:szCs w:val="20"/>
        </w:rPr>
        <w:t>After completing this lesson you will be able to:</w:t>
      </w:r>
    </w:p>
    <w:p w14:paraId="4EE822C8" w14:textId="77777777" w:rsidR="00D73577" w:rsidRPr="008537D6" w:rsidRDefault="008A4EFD" w:rsidP="00BD7DE2">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8537D6">
        <w:rPr>
          <w:rFonts w:ascii="Cambria" w:hAnsi="Cambria" w:cs="Verdana"/>
          <w:color w:val="2B2B2B"/>
          <w:sz w:val="20"/>
          <w:szCs w:val="20"/>
        </w:rPr>
        <w:t>Explain the government’s participation in real estate investments</w:t>
      </w:r>
    </w:p>
    <w:p w14:paraId="3A8B2BBF" w14:textId="77777777" w:rsidR="008A4EFD" w:rsidRPr="008537D6" w:rsidRDefault="008A4EFD" w:rsidP="00BD7DE2">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8537D6">
        <w:rPr>
          <w:rFonts w:ascii="Cambria" w:hAnsi="Cambria" w:cs="Verdana"/>
          <w:color w:val="2B2B2B"/>
          <w:sz w:val="20"/>
          <w:szCs w:val="20"/>
        </w:rPr>
        <w:t>State the implications of the latest tax reform</w:t>
      </w:r>
    </w:p>
    <w:p w14:paraId="081A171B" w14:textId="77777777" w:rsidR="008A4EFD" w:rsidRPr="008537D6" w:rsidRDefault="008A4EFD" w:rsidP="00BD7DE2">
      <w:pPr>
        <w:widowControl w:val="0"/>
        <w:numPr>
          <w:ilvl w:val="0"/>
          <w:numId w:val="1"/>
        </w:numPr>
        <w:tabs>
          <w:tab w:val="left" w:pos="220"/>
          <w:tab w:val="left" w:pos="720"/>
        </w:tabs>
        <w:autoSpaceDE w:val="0"/>
        <w:autoSpaceDN w:val="0"/>
        <w:adjustRightInd w:val="0"/>
        <w:ind w:hanging="720"/>
        <w:rPr>
          <w:rFonts w:ascii="Cambria" w:hAnsi="Cambria" w:cs="Verdana"/>
          <w:color w:val="2B2B2B"/>
          <w:sz w:val="20"/>
          <w:szCs w:val="20"/>
        </w:rPr>
      </w:pPr>
      <w:r w:rsidRPr="008537D6">
        <w:rPr>
          <w:rFonts w:ascii="Cambria" w:hAnsi="Cambria" w:cs="Verdana"/>
          <w:color w:val="2B2B2B"/>
          <w:sz w:val="20"/>
          <w:szCs w:val="20"/>
        </w:rPr>
        <w:t>Compare the Capital Cost Allowance under the old and new rules</w:t>
      </w:r>
    </w:p>
    <w:p w14:paraId="6BF51CAE" w14:textId="77777777" w:rsidR="00D73577" w:rsidRPr="008537D6" w:rsidRDefault="00D73577" w:rsidP="00BD7DE2">
      <w:pPr>
        <w:rPr>
          <w:rFonts w:ascii="Cambria" w:hAnsi="Cambria" w:cs="Verdana"/>
          <w:sz w:val="20"/>
          <w:szCs w:val="20"/>
        </w:rPr>
      </w:pPr>
    </w:p>
    <w:p w14:paraId="355A300E" w14:textId="77777777" w:rsidR="00D73577" w:rsidRPr="008537D6" w:rsidRDefault="00D73577" w:rsidP="00BD7DE2">
      <w:pPr>
        <w:rPr>
          <w:rFonts w:ascii="Cambria" w:hAnsi="Cambria"/>
          <w:sz w:val="20"/>
          <w:szCs w:val="20"/>
        </w:rPr>
      </w:pPr>
      <w:r w:rsidRPr="008537D6">
        <w:rPr>
          <w:rFonts w:ascii="Cambria" w:hAnsi="Cambria"/>
          <w:b/>
          <w:sz w:val="20"/>
          <w:szCs w:val="20"/>
          <w:u w:val="single"/>
        </w:rPr>
        <w:t xml:space="preserve">The </w:t>
      </w:r>
      <w:r w:rsidR="008A4EFD" w:rsidRPr="008537D6">
        <w:rPr>
          <w:rFonts w:ascii="Cambria" w:hAnsi="Cambria"/>
          <w:b/>
          <w:sz w:val="20"/>
          <w:szCs w:val="20"/>
          <w:u w:val="single"/>
        </w:rPr>
        <w:t xml:space="preserve">Tax </w:t>
      </w:r>
      <w:r w:rsidRPr="008537D6">
        <w:rPr>
          <w:rFonts w:ascii="Cambria" w:hAnsi="Cambria"/>
          <w:b/>
          <w:sz w:val="20"/>
          <w:szCs w:val="20"/>
          <w:u w:val="single"/>
        </w:rPr>
        <w:t>Environment</w:t>
      </w:r>
    </w:p>
    <w:p w14:paraId="5FF251D7" w14:textId="77777777" w:rsidR="00D73577" w:rsidRPr="008537D6" w:rsidRDefault="00D73577" w:rsidP="00BD7DE2">
      <w:pPr>
        <w:widowControl w:val="0"/>
        <w:autoSpaceDE w:val="0"/>
        <w:autoSpaceDN w:val="0"/>
        <w:adjustRightInd w:val="0"/>
        <w:rPr>
          <w:rFonts w:ascii="Cambria" w:hAnsi="Cambria" w:cs="Verdana"/>
          <w:sz w:val="20"/>
          <w:szCs w:val="20"/>
        </w:rPr>
      </w:pPr>
    </w:p>
    <w:p w14:paraId="6E3A8D41" w14:textId="77777777" w:rsidR="008A4EFD" w:rsidRPr="008537D6" w:rsidRDefault="00D73577" w:rsidP="00BD7DE2">
      <w:pPr>
        <w:widowControl w:val="0"/>
        <w:autoSpaceDE w:val="0"/>
        <w:autoSpaceDN w:val="0"/>
        <w:adjustRightInd w:val="0"/>
        <w:rPr>
          <w:rFonts w:ascii="Cambria" w:eastAsia="Times New Roman" w:hAnsi="Cambria" w:cs="Times New Roman"/>
          <w:color w:val="393939"/>
          <w:sz w:val="20"/>
          <w:szCs w:val="20"/>
        </w:rPr>
      </w:pPr>
      <w:r w:rsidRPr="008537D6">
        <w:rPr>
          <w:rFonts w:ascii="Cambria" w:hAnsi="Cambria"/>
          <w:b/>
          <w:sz w:val="20"/>
          <w:szCs w:val="20"/>
        </w:rPr>
        <w:t>Definition</w:t>
      </w:r>
      <w:r w:rsidRPr="008537D6">
        <w:rPr>
          <w:rFonts w:ascii="Cambria" w:hAnsi="Cambria"/>
          <w:sz w:val="20"/>
          <w:szCs w:val="20"/>
        </w:rPr>
        <w:t>:</w:t>
      </w:r>
      <w:r w:rsidR="008A4EFD" w:rsidRPr="008537D6">
        <w:rPr>
          <w:rFonts w:ascii="Cambria" w:hAnsi="Cambria"/>
          <w:sz w:val="20"/>
          <w:szCs w:val="20"/>
        </w:rPr>
        <w:t xml:space="preserve"> </w:t>
      </w:r>
      <w:r w:rsidR="008A4EFD" w:rsidRPr="008537D6">
        <w:rPr>
          <w:rFonts w:ascii="Cambria" w:hAnsi="Cambria"/>
          <w:color w:val="393939"/>
          <w:sz w:val="20"/>
          <w:szCs w:val="20"/>
        </w:rPr>
        <w:t>Governments on all levels (municipal, provincial and federal) tax the equity owner on income and capital gains. The taxes on income are for money made on rents received from tenants. The taxes on capital gains (wealth) are for gains for selling a property. In addition, certain municipal governments oblige equity owners to pay taxes. The buyer pays a "welcome tax" and the seller pays a "goodbye tax".</w:t>
      </w:r>
    </w:p>
    <w:p w14:paraId="5749E2E2" w14:textId="77777777" w:rsidR="008A4EFD" w:rsidRPr="008537D6" w:rsidRDefault="008A4EFD" w:rsidP="00BD7DE2">
      <w:pPr>
        <w:rPr>
          <w:rFonts w:ascii="Cambria" w:hAnsi="Cambria"/>
          <w:sz w:val="20"/>
          <w:szCs w:val="20"/>
        </w:rPr>
      </w:pPr>
    </w:p>
    <w:p w14:paraId="4891E413" w14:textId="77777777" w:rsidR="00D73577" w:rsidRPr="008537D6" w:rsidRDefault="008A4EFD" w:rsidP="00BD7DE2">
      <w:pPr>
        <w:rPr>
          <w:rFonts w:ascii="Cambria" w:hAnsi="Cambria"/>
          <w:b/>
          <w:sz w:val="20"/>
          <w:szCs w:val="20"/>
        </w:rPr>
      </w:pPr>
      <w:r w:rsidRPr="008537D6">
        <w:rPr>
          <w:rFonts w:ascii="Cambria" w:hAnsi="Cambria"/>
          <w:b/>
          <w:sz w:val="20"/>
          <w:szCs w:val="20"/>
        </w:rPr>
        <w:t xml:space="preserve">Canadian Taxation: Old and New Rules </w:t>
      </w:r>
    </w:p>
    <w:p w14:paraId="1FE77CEE" w14:textId="77777777" w:rsidR="008A4EFD" w:rsidRPr="008537D6" w:rsidRDefault="008A4EFD" w:rsidP="00BD7DE2">
      <w:pPr>
        <w:rPr>
          <w:rFonts w:ascii="Cambria" w:hAnsi="Cambria"/>
          <w:color w:val="393939"/>
          <w:sz w:val="20"/>
          <w:szCs w:val="20"/>
        </w:rPr>
      </w:pPr>
    </w:p>
    <w:p w14:paraId="0EB069A4" w14:textId="77777777" w:rsidR="00D73577" w:rsidRPr="008537D6" w:rsidRDefault="008A4EFD" w:rsidP="00BD7DE2">
      <w:pPr>
        <w:rPr>
          <w:rFonts w:ascii="Cambria" w:hAnsi="Cambria"/>
          <w:color w:val="393939"/>
          <w:sz w:val="20"/>
          <w:szCs w:val="20"/>
        </w:rPr>
      </w:pPr>
      <w:r w:rsidRPr="008537D6">
        <w:rPr>
          <w:rFonts w:ascii="Cambria" w:hAnsi="Cambria"/>
          <w:color w:val="393939"/>
          <w:sz w:val="20"/>
          <w:szCs w:val="20"/>
        </w:rPr>
        <w:t>Few industries will be as severely affected by tax reform as the real estate development industry. The rationale behind the proposed changes is spelled out very clearly in the government’s Tax Reform papers in the following comments:</w:t>
      </w:r>
    </w:p>
    <w:p w14:paraId="20D16E61" w14:textId="77777777" w:rsidR="008A4EFD" w:rsidRPr="008537D6" w:rsidRDefault="008A4EFD" w:rsidP="00BD7DE2">
      <w:pPr>
        <w:rPr>
          <w:rFonts w:ascii="Cambria" w:hAnsi="Cambria"/>
          <w:color w:val="393939"/>
          <w:sz w:val="20"/>
          <w:szCs w:val="20"/>
        </w:rPr>
      </w:pPr>
      <w:r w:rsidRPr="008537D6">
        <w:rPr>
          <w:rFonts w:ascii="Cambria" w:hAnsi="Cambria"/>
          <w:color w:val="393939"/>
          <w:sz w:val="20"/>
          <w:szCs w:val="20"/>
        </w:rPr>
        <w:t>“The nature of real estate is such that it can be largely debt-financed. In addition, vacant land is often held for several years before it is sold, and real estate property may take long to construct. As a result, the carrying cost of unused land and soft costs attributable to building construction often represent a significant portion of the cost of the property while the related income is not earned for several years. The effect of this mismatching of revenues and costs is to permit these costs to shelter other income from tax.”</w:t>
      </w:r>
    </w:p>
    <w:p w14:paraId="1D8442C0" w14:textId="77777777" w:rsidR="000A035D" w:rsidRPr="008537D6" w:rsidRDefault="000A035D" w:rsidP="00BD7DE2">
      <w:pPr>
        <w:rPr>
          <w:rFonts w:ascii="Cambria" w:hAnsi="Cambria"/>
          <w:color w:val="393939"/>
          <w:sz w:val="20"/>
          <w:szCs w:val="20"/>
        </w:rPr>
      </w:pPr>
    </w:p>
    <w:p w14:paraId="76018C79" w14:textId="77777777" w:rsidR="000A035D" w:rsidRPr="008537D6" w:rsidRDefault="000A035D" w:rsidP="00BD7DE2">
      <w:pPr>
        <w:rPr>
          <w:rFonts w:ascii="Cambria" w:hAnsi="Cambria"/>
          <w:color w:val="393939"/>
          <w:sz w:val="20"/>
          <w:szCs w:val="20"/>
        </w:rPr>
      </w:pPr>
      <w:r w:rsidRPr="008537D6">
        <w:rPr>
          <w:rStyle w:val="Strong"/>
          <w:rFonts w:ascii="Cambria" w:hAnsi="Cambria"/>
          <w:color w:val="393939"/>
          <w:sz w:val="20"/>
          <w:szCs w:val="20"/>
        </w:rPr>
        <w:t>The new rules</w:t>
      </w:r>
      <w:r w:rsidRPr="008537D6">
        <w:rPr>
          <w:rStyle w:val="apple-converted-space"/>
          <w:rFonts w:ascii="Cambria" w:hAnsi="Cambria"/>
          <w:color w:val="393939"/>
          <w:sz w:val="20"/>
          <w:szCs w:val="20"/>
        </w:rPr>
        <w:t> </w:t>
      </w:r>
      <w:r w:rsidRPr="008537D6">
        <w:rPr>
          <w:rFonts w:ascii="Cambria" w:hAnsi="Cambria"/>
          <w:color w:val="393939"/>
          <w:sz w:val="20"/>
          <w:szCs w:val="20"/>
        </w:rPr>
        <w:t>apply to vacant land carrying charges and construction period soft costs incurred after December 31, 1987. In this lesson, we will look at some of the changes on and before December 31, 1987 and after December 31, 1987.</w:t>
      </w:r>
    </w:p>
    <w:p w14:paraId="3476FE29" w14:textId="77777777" w:rsidR="000A035D" w:rsidRPr="008537D6" w:rsidRDefault="000A035D" w:rsidP="00BD7DE2">
      <w:pPr>
        <w:rPr>
          <w:rFonts w:ascii="Cambria" w:hAnsi="Cambria"/>
          <w:color w:val="393939"/>
          <w:sz w:val="20"/>
          <w:szCs w:val="20"/>
        </w:rPr>
      </w:pPr>
      <w:r w:rsidRPr="008537D6">
        <w:rPr>
          <w:rFonts w:ascii="Cambria" w:hAnsi="Cambria"/>
          <w:color w:val="393939"/>
          <w:sz w:val="20"/>
          <w:szCs w:val="20"/>
        </w:rPr>
        <w:t>We will refer to the rules</w:t>
      </w:r>
      <w:r w:rsidRPr="008537D6">
        <w:rPr>
          <w:rStyle w:val="apple-converted-space"/>
          <w:rFonts w:ascii="Cambria" w:hAnsi="Cambria"/>
          <w:color w:val="393939"/>
          <w:sz w:val="20"/>
          <w:szCs w:val="20"/>
        </w:rPr>
        <w:t> </w:t>
      </w:r>
      <w:r w:rsidRPr="008537D6">
        <w:rPr>
          <w:rStyle w:val="Strong"/>
          <w:rFonts w:ascii="Cambria" w:hAnsi="Cambria"/>
          <w:color w:val="393939"/>
          <w:sz w:val="20"/>
          <w:szCs w:val="20"/>
        </w:rPr>
        <w:t>on or before December 31, 1987</w:t>
      </w:r>
      <w:r w:rsidRPr="008537D6">
        <w:rPr>
          <w:rStyle w:val="apple-converted-space"/>
          <w:rFonts w:ascii="Cambria" w:hAnsi="Cambria"/>
          <w:color w:val="393939"/>
          <w:sz w:val="20"/>
          <w:szCs w:val="20"/>
        </w:rPr>
        <w:t> </w:t>
      </w:r>
      <w:r w:rsidRPr="008537D6">
        <w:rPr>
          <w:rFonts w:ascii="Cambria" w:hAnsi="Cambria"/>
          <w:color w:val="393939"/>
          <w:sz w:val="20"/>
          <w:szCs w:val="20"/>
        </w:rPr>
        <w:t>as</w:t>
      </w:r>
      <w:r w:rsidRPr="008537D6">
        <w:rPr>
          <w:rStyle w:val="apple-converted-space"/>
          <w:rFonts w:ascii="Cambria" w:hAnsi="Cambria"/>
          <w:color w:val="393939"/>
          <w:sz w:val="20"/>
          <w:szCs w:val="20"/>
        </w:rPr>
        <w:t> </w:t>
      </w:r>
      <w:r w:rsidRPr="008537D6">
        <w:rPr>
          <w:rStyle w:val="Emphasis"/>
          <w:rFonts w:ascii="Cambria" w:hAnsi="Cambria"/>
          <w:color w:val="393939"/>
          <w:sz w:val="20"/>
          <w:szCs w:val="20"/>
        </w:rPr>
        <w:t>the old rules</w:t>
      </w:r>
      <w:r w:rsidRPr="008537D6">
        <w:rPr>
          <w:rStyle w:val="apple-converted-space"/>
          <w:rFonts w:ascii="Cambria" w:hAnsi="Cambria"/>
          <w:color w:val="393939"/>
          <w:sz w:val="20"/>
          <w:szCs w:val="20"/>
        </w:rPr>
        <w:t> </w:t>
      </w:r>
      <w:r w:rsidRPr="008537D6">
        <w:rPr>
          <w:rFonts w:ascii="Cambria" w:hAnsi="Cambria"/>
          <w:color w:val="393939"/>
          <w:sz w:val="20"/>
          <w:szCs w:val="20"/>
        </w:rPr>
        <w:t>and</w:t>
      </w:r>
      <w:r w:rsidRPr="008537D6">
        <w:rPr>
          <w:rStyle w:val="apple-converted-space"/>
          <w:rFonts w:ascii="Cambria" w:hAnsi="Cambria"/>
          <w:color w:val="393939"/>
          <w:sz w:val="20"/>
          <w:szCs w:val="20"/>
        </w:rPr>
        <w:t> </w:t>
      </w:r>
      <w:r w:rsidRPr="008537D6">
        <w:rPr>
          <w:rStyle w:val="Strong"/>
          <w:rFonts w:ascii="Cambria" w:hAnsi="Cambria"/>
          <w:color w:val="393939"/>
          <w:sz w:val="20"/>
          <w:szCs w:val="20"/>
        </w:rPr>
        <w:t>after December 31, 1987</w:t>
      </w:r>
      <w:r w:rsidRPr="008537D6">
        <w:rPr>
          <w:rStyle w:val="apple-converted-space"/>
          <w:rFonts w:ascii="Cambria" w:hAnsi="Cambria"/>
          <w:color w:val="393939"/>
          <w:sz w:val="20"/>
          <w:szCs w:val="20"/>
        </w:rPr>
        <w:t> </w:t>
      </w:r>
      <w:r w:rsidRPr="008537D6">
        <w:rPr>
          <w:rFonts w:ascii="Cambria" w:hAnsi="Cambria"/>
          <w:color w:val="393939"/>
          <w:sz w:val="20"/>
          <w:szCs w:val="20"/>
        </w:rPr>
        <w:t>as</w:t>
      </w:r>
      <w:r w:rsidRPr="008537D6">
        <w:rPr>
          <w:rStyle w:val="apple-converted-space"/>
          <w:rFonts w:ascii="Cambria" w:hAnsi="Cambria"/>
          <w:color w:val="393939"/>
          <w:sz w:val="20"/>
          <w:szCs w:val="20"/>
        </w:rPr>
        <w:t> </w:t>
      </w:r>
      <w:r w:rsidRPr="008537D6">
        <w:rPr>
          <w:rStyle w:val="Emphasis"/>
          <w:rFonts w:ascii="Cambria" w:hAnsi="Cambria"/>
          <w:color w:val="393939"/>
          <w:sz w:val="20"/>
          <w:szCs w:val="20"/>
        </w:rPr>
        <w:t>the new rules.</w:t>
      </w:r>
    </w:p>
    <w:p w14:paraId="54013CA4" w14:textId="77777777" w:rsidR="000A035D" w:rsidRPr="008537D6" w:rsidRDefault="000A035D" w:rsidP="00BD7DE2">
      <w:pPr>
        <w:rPr>
          <w:rFonts w:ascii="Cambria" w:hAnsi="Cambria"/>
          <w:color w:val="393939"/>
          <w:sz w:val="20"/>
          <w:szCs w:val="20"/>
        </w:rPr>
      </w:pPr>
    </w:p>
    <w:p w14:paraId="4E803FEF" w14:textId="77777777" w:rsidR="008A4EFD" w:rsidRPr="008537D6" w:rsidRDefault="008A4EFD" w:rsidP="00BD7DE2">
      <w:pPr>
        <w:widowControl w:val="0"/>
        <w:autoSpaceDE w:val="0"/>
        <w:autoSpaceDN w:val="0"/>
        <w:adjustRightInd w:val="0"/>
        <w:spacing w:after="100"/>
        <w:rPr>
          <w:rFonts w:ascii="Cambria" w:hAnsi="Cambria" w:cs="Verdana"/>
          <w:b/>
          <w:bCs/>
          <w:sz w:val="20"/>
          <w:szCs w:val="20"/>
        </w:rPr>
      </w:pPr>
    </w:p>
    <w:tbl>
      <w:tblPr>
        <w:tblpPr w:leftFromText="180" w:rightFromText="180" w:vertAnchor="text" w:horzAnchor="page" w:tblpX="2071" w:tblpY="-328"/>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4461"/>
        <w:gridCol w:w="4449"/>
      </w:tblGrid>
      <w:tr w:rsidR="000A035D" w:rsidRPr="008537D6" w14:paraId="01AA3456" w14:textId="77777777" w:rsidTr="000A035D">
        <w:tc>
          <w:tcPr>
            <w:tcW w:w="4461"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921A44B" w14:textId="77777777" w:rsidR="000A035D" w:rsidRPr="008537D6" w:rsidRDefault="000A035D" w:rsidP="00BD7DE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On/before December 31, 1987</w:t>
            </w:r>
          </w:p>
        </w:tc>
        <w:tc>
          <w:tcPr>
            <w:tcW w:w="4449" w:type="dxa"/>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AA89D60" w14:textId="77777777" w:rsidR="000A035D" w:rsidRPr="008537D6" w:rsidRDefault="000A035D" w:rsidP="00BD7DE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After December 31, 1987</w:t>
            </w:r>
          </w:p>
        </w:tc>
      </w:tr>
      <w:tr w:rsidR="000A035D" w:rsidRPr="008537D6" w14:paraId="71A3ECBE" w14:textId="77777777" w:rsidTr="000A035D">
        <w:tc>
          <w:tcPr>
            <w:tcW w:w="4461"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9A66D27"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Class 3 CCA rate 5%</w:t>
            </w:r>
          </w:p>
        </w:tc>
        <w:tc>
          <w:tcPr>
            <w:tcW w:w="4449"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0B66DEE"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Class 3 CCA rate 4%</w:t>
            </w:r>
          </w:p>
        </w:tc>
      </w:tr>
      <w:tr w:rsidR="000A035D" w:rsidRPr="008537D6" w14:paraId="304C9ECC" w14:textId="77777777" w:rsidTr="000A035D">
        <w:tc>
          <w:tcPr>
            <w:tcW w:w="4461"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8BE3873"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Declining balance method</w:t>
            </w:r>
          </w:p>
        </w:tc>
        <w:tc>
          <w:tcPr>
            <w:tcW w:w="4449"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48869B8"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Declining balance method</w:t>
            </w:r>
          </w:p>
        </w:tc>
      </w:tr>
      <w:tr w:rsidR="000A035D" w:rsidRPr="008537D6" w14:paraId="7E717348" w14:textId="77777777" w:rsidTr="000A035D">
        <w:tc>
          <w:tcPr>
            <w:tcW w:w="4461"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674C1C5"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Full-Year Rule if Half Year does not apply</w:t>
            </w:r>
          </w:p>
        </w:tc>
        <w:tc>
          <w:tcPr>
            <w:tcW w:w="4449"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83A44E2"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Half-Year Rule</w:t>
            </w:r>
          </w:p>
        </w:tc>
      </w:tr>
      <w:tr w:rsidR="000A035D" w:rsidRPr="008537D6" w14:paraId="7192532D" w14:textId="77777777" w:rsidTr="000A035D">
        <w:tc>
          <w:tcPr>
            <w:tcW w:w="4461"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160818C"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Capital Gains 75% to 66.67%</w:t>
            </w:r>
          </w:p>
        </w:tc>
        <w:tc>
          <w:tcPr>
            <w:tcW w:w="4449"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E56C362"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Capital Gains 50%</w:t>
            </w:r>
          </w:p>
        </w:tc>
      </w:tr>
      <w:tr w:rsidR="000A035D" w:rsidRPr="008537D6" w14:paraId="6AC3D1C9" w14:textId="77777777" w:rsidTr="000A035D">
        <w:tc>
          <w:tcPr>
            <w:tcW w:w="4461"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58DD79E"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No put-in-use</w:t>
            </w:r>
          </w:p>
        </w:tc>
        <w:tc>
          <w:tcPr>
            <w:tcW w:w="4449" w:type="dxa"/>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957C05" w14:textId="77777777" w:rsidR="000A035D" w:rsidRPr="008537D6" w:rsidRDefault="000A035D" w:rsidP="00BD7DE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Put-in-use in effect</w:t>
            </w:r>
          </w:p>
        </w:tc>
      </w:tr>
    </w:tbl>
    <w:p w14:paraId="75540387" w14:textId="77777777" w:rsidR="000A035D" w:rsidRPr="008537D6" w:rsidRDefault="000A035D" w:rsidP="00BD7DE2">
      <w:pPr>
        <w:widowControl w:val="0"/>
        <w:autoSpaceDE w:val="0"/>
        <w:autoSpaceDN w:val="0"/>
        <w:adjustRightInd w:val="0"/>
        <w:rPr>
          <w:rFonts w:ascii="Cambria" w:hAnsi="Cambria" w:cs="Verdana"/>
          <w:b/>
          <w:bCs/>
          <w:sz w:val="20"/>
          <w:szCs w:val="20"/>
        </w:rPr>
      </w:pPr>
      <w:r w:rsidRPr="008537D6">
        <w:rPr>
          <w:rFonts w:ascii="Cambria" w:hAnsi="Cambria" w:cs="Verdana"/>
          <w:b/>
          <w:bCs/>
          <w:sz w:val="20"/>
          <w:szCs w:val="20"/>
        </w:rPr>
        <w:t>Capital Cost Allowance</w:t>
      </w:r>
    </w:p>
    <w:p w14:paraId="33184762" w14:textId="77777777" w:rsidR="000A035D" w:rsidRPr="008537D6" w:rsidRDefault="000A035D" w:rsidP="00BD7DE2">
      <w:pPr>
        <w:widowControl w:val="0"/>
        <w:autoSpaceDE w:val="0"/>
        <w:autoSpaceDN w:val="0"/>
        <w:adjustRightInd w:val="0"/>
        <w:rPr>
          <w:rFonts w:ascii="Cambria" w:hAnsi="Cambria" w:cs="Verdana"/>
          <w:b/>
          <w:bCs/>
          <w:sz w:val="20"/>
          <w:szCs w:val="20"/>
        </w:rPr>
      </w:pPr>
    </w:p>
    <w:p w14:paraId="45773F76" w14:textId="77777777" w:rsidR="000A035D" w:rsidRPr="008537D6" w:rsidRDefault="000A035D" w:rsidP="00BD7DE2">
      <w:pPr>
        <w:rPr>
          <w:rFonts w:ascii="Cambria" w:eastAsia="Times New Roman" w:hAnsi="Cambria" w:cs="Times New Roman"/>
          <w:sz w:val="20"/>
          <w:szCs w:val="20"/>
        </w:rPr>
      </w:pPr>
      <w:r w:rsidRPr="008537D6">
        <w:rPr>
          <w:rFonts w:ascii="Cambria" w:hAnsi="Cambria" w:cs="Verdana"/>
          <w:b/>
          <w:bCs/>
          <w:sz w:val="20"/>
          <w:szCs w:val="20"/>
        </w:rPr>
        <w:t xml:space="preserve">Definition: </w:t>
      </w:r>
      <w:r w:rsidRPr="008537D6">
        <w:rPr>
          <w:rFonts w:ascii="Cambria" w:eastAsia="Times New Roman" w:hAnsi="Cambria" w:cs="Times New Roman"/>
          <w:color w:val="393939"/>
          <w:sz w:val="20"/>
          <w:szCs w:val="20"/>
          <w:shd w:val="clear" w:color="auto" w:fill="FFFFFF"/>
        </w:rPr>
        <w:t>The </w:t>
      </w:r>
      <w:r w:rsidRPr="008537D6">
        <w:rPr>
          <w:rFonts w:ascii="Cambria" w:eastAsia="Times New Roman" w:hAnsi="Cambria" w:cs="Times New Roman"/>
          <w:b/>
          <w:bCs/>
          <w:color w:val="393939"/>
          <w:sz w:val="20"/>
          <w:szCs w:val="20"/>
          <w:shd w:val="clear" w:color="auto" w:fill="FFFFFF"/>
        </w:rPr>
        <w:t>Capital Cost Allowance</w:t>
      </w:r>
      <w:r w:rsidRPr="008537D6">
        <w:rPr>
          <w:rFonts w:ascii="Cambria" w:eastAsia="Times New Roman" w:hAnsi="Cambria" w:cs="Times New Roman"/>
          <w:color w:val="393939"/>
          <w:sz w:val="20"/>
          <w:szCs w:val="20"/>
          <w:shd w:val="clear" w:color="auto" w:fill="FFFFFF"/>
        </w:rPr>
        <w:t xml:space="preserve"> (CCA) is a depreciation method under Canadian tax </w:t>
      </w:r>
      <w:proofErr w:type="gramStart"/>
      <w:r w:rsidRPr="008537D6">
        <w:rPr>
          <w:rFonts w:ascii="Cambria" w:eastAsia="Times New Roman" w:hAnsi="Cambria" w:cs="Times New Roman"/>
          <w:color w:val="393939"/>
          <w:sz w:val="20"/>
          <w:szCs w:val="20"/>
          <w:shd w:val="clear" w:color="auto" w:fill="FFFFFF"/>
        </w:rPr>
        <w:t>law which</w:t>
      </w:r>
      <w:proofErr w:type="gramEnd"/>
      <w:r w:rsidRPr="008537D6">
        <w:rPr>
          <w:rFonts w:ascii="Cambria" w:eastAsia="Times New Roman" w:hAnsi="Cambria" w:cs="Times New Roman"/>
          <w:color w:val="393939"/>
          <w:sz w:val="20"/>
          <w:szCs w:val="20"/>
          <w:shd w:val="clear" w:color="auto" w:fill="FFFFFF"/>
        </w:rPr>
        <w:t xml:space="preserve"> allows for the accelerated write-off of property under various classifications.</w:t>
      </w:r>
    </w:p>
    <w:p w14:paraId="0ACA68F0" w14:textId="77777777" w:rsidR="000A035D" w:rsidRPr="008537D6" w:rsidRDefault="000A035D" w:rsidP="00BD7DE2">
      <w:pPr>
        <w:widowControl w:val="0"/>
        <w:autoSpaceDE w:val="0"/>
        <w:autoSpaceDN w:val="0"/>
        <w:adjustRightInd w:val="0"/>
        <w:spacing w:after="100"/>
        <w:rPr>
          <w:rFonts w:ascii="Cambria" w:hAnsi="Cambria" w:cs="Verdana"/>
          <w:b/>
          <w:bCs/>
          <w:sz w:val="20"/>
          <w:szCs w:val="20"/>
        </w:rPr>
      </w:pPr>
    </w:p>
    <w:p w14:paraId="12287537" w14:textId="77777777" w:rsidR="000A035D" w:rsidRPr="008537D6" w:rsidRDefault="000A035D" w:rsidP="00BD7DE2">
      <w:pPr>
        <w:widowControl w:val="0"/>
        <w:autoSpaceDE w:val="0"/>
        <w:autoSpaceDN w:val="0"/>
        <w:adjustRightInd w:val="0"/>
        <w:spacing w:after="100"/>
        <w:rPr>
          <w:rFonts w:ascii="Cambria" w:hAnsi="Cambria" w:cs="Verdana"/>
          <w:b/>
          <w:bCs/>
          <w:sz w:val="20"/>
          <w:szCs w:val="20"/>
        </w:rPr>
      </w:pPr>
    </w:p>
    <w:p w14:paraId="35257109" w14:textId="77777777" w:rsidR="000A035D" w:rsidRPr="008537D6" w:rsidRDefault="000A035D" w:rsidP="00BD7DE2">
      <w:pPr>
        <w:widowControl w:val="0"/>
        <w:autoSpaceDE w:val="0"/>
        <w:autoSpaceDN w:val="0"/>
        <w:adjustRightInd w:val="0"/>
        <w:spacing w:after="100"/>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lastRenderedPageBreak/>
        <w:t>The Capital Cost Allowance (CCA) rate applicable to buildings in Class 3 will be reduced from the current 5% to 4%on a declining balance basis, effective for acquisitions after 1987. </w:t>
      </w:r>
    </w:p>
    <w:p w14:paraId="786E26A1" w14:textId="77777777" w:rsidR="000A035D" w:rsidRPr="008537D6" w:rsidRDefault="000A035D" w:rsidP="00BD7DE2">
      <w:pPr>
        <w:widowControl w:val="0"/>
        <w:autoSpaceDE w:val="0"/>
        <w:autoSpaceDN w:val="0"/>
        <w:adjustRightInd w:val="0"/>
        <w:spacing w:after="100"/>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These rules will not apply to buildings acquired after December 31, 1987 and before 1990 pursuant to an obligation in writing from Revenue Canada where the property was under construction on June 18, 1987.</w:t>
      </w:r>
    </w:p>
    <w:p w14:paraId="34CCEFD1" w14:textId="77777777" w:rsidR="000A035D" w:rsidRPr="008537D6" w:rsidRDefault="000A035D" w:rsidP="00BD7DE2">
      <w:pPr>
        <w:widowControl w:val="0"/>
        <w:autoSpaceDE w:val="0"/>
        <w:autoSpaceDN w:val="0"/>
        <w:adjustRightInd w:val="0"/>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Special transitional rules will also apply to the cost of post – 1987 additions and alterations to a 5% rate building.</w:t>
      </w:r>
    </w:p>
    <w:p w14:paraId="3518EC2F" w14:textId="77777777" w:rsidR="000A035D" w:rsidRPr="008537D6" w:rsidRDefault="000A035D" w:rsidP="00BD7DE2">
      <w:pPr>
        <w:widowControl w:val="0"/>
        <w:autoSpaceDE w:val="0"/>
        <w:autoSpaceDN w:val="0"/>
        <w:adjustRightInd w:val="0"/>
        <w:rPr>
          <w:rFonts w:ascii="Cambria" w:hAnsi="Cambria" w:cs="Verdana"/>
          <w:sz w:val="20"/>
          <w:szCs w:val="20"/>
        </w:rPr>
      </w:pPr>
    </w:p>
    <w:p w14:paraId="182996F3" w14:textId="77777777" w:rsidR="000A035D" w:rsidRPr="008537D6" w:rsidRDefault="000A035D" w:rsidP="00BD7DE2">
      <w:pPr>
        <w:widowControl w:val="0"/>
        <w:autoSpaceDE w:val="0"/>
        <w:autoSpaceDN w:val="0"/>
        <w:adjustRightInd w:val="0"/>
        <w:rPr>
          <w:rFonts w:ascii="Cambria" w:hAnsi="Cambria" w:cs="Verdana"/>
          <w:b/>
          <w:sz w:val="20"/>
          <w:szCs w:val="20"/>
        </w:rPr>
      </w:pPr>
      <w:r w:rsidRPr="008537D6">
        <w:rPr>
          <w:rFonts w:ascii="Cambria" w:hAnsi="Cambria" w:cs="Verdana"/>
          <w:b/>
          <w:sz w:val="20"/>
          <w:szCs w:val="20"/>
        </w:rPr>
        <w:t>Put-In-Use:</w:t>
      </w:r>
    </w:p>
    <w:p w14:paraId="0E90B3E2" w14:textId="77777777" w:rsidR="000A035D" w:rsidRPr="008537D6" w:rsidRDefault="000A035D" w:rsidP="00BD7DE2">
      <w:pPr>
        <w:widowControl w:val="0"/>
        <w:autoSpaceDE w:val="0"/>
        <w:autoSpaceDN w:val="0"/>
        <w:adjustRightInd w:val="0"/>
        <w:rPr>
          <w:rFonts w:ascii="Cambria" w:hAnsi="Cambria" w:cs="Verdana"/>
          <w:b/>
          <w:sz w:val="20"/>
          <w:szCs w:val="20"/>
        </w:rPr>
      </w:pPr>
    </w:p>
    <w:p w14:paraId="6051A324" w14:textId="77777777" w:rsidR="000A035D" w:rsidRPr="008537D6" w:rsidRDefault="000A035D" w:rsidP="00BD7DE2">
      <w:pPr>
        <w:widowControl w:val="0"/>
        <w:autoSpaceDE w:val="0"/>
        <w:autoSpaceDN w:val="0"/>
        <w:adjustRightInd w:val="0"/>
        <w:spacing w:after="100"/>
        <w:rPr>
          <w:rFonts w:ascii="Cambria" w:hAnsi="Cambria" w:cs="Verdana"/>
          <w:sz w:val="20"/>
          <w:szCs w:val="20"/>
        </w:rPr>
      </w:pPr>
      <w:r w:rsidRPr="008537D6">
        <w:rPr>
          <w:rFonts w:ascii="Cambria" w:hAnsi="Cambria" w:cs="Verdana"/>
          <w:sz w:val="20"/>
          <w:szCs w:val="20"/>
        </w:rPr>
        <w:t xml:space="preserve">Put-in-use means that all costs are capitalized to year 0 when the building is constructed and ready to be occupied. </w:t>
      </w:r>
    </w:p>
    <w:p w14:paraId="36EC8534" w14:textId="77777777" w:rsidR="000A035D" w:rsidRPr="008537D6" w:rsidRDefault="000A035D" w:rsidP="00BD7DE2">
      <w:pPr>
        <w:widowControl w:val="0"/>
        <w:autoSpaceDE w:val="0"/>
        <w:autoSpaceDN w:val="0"/>
        <w:adjustRightInd w:val="0"/>
        <w:spacing w:after="100"/>
        <w:rPr>
          <w:rFonts w:ascii="Cambria" w:hAnsi="Cambria"/>
          <w:color w:val="393939"/>
          <w:sz w:val="20"/>
          <w:szCs w:val="20"/>
        </w:rPr>
      </w:pPr>
      <w:r w:rsidRPr="008537D6">
        <w:rPr>
          <w:rFonts w:ascii="Cambria" w:hAnsi="Cambria" w:cs="Verdana"/>
          <w:b/>
          <w:sz w:val="20"/>
          <w:szCs w:val="20"/>
        </w:rPr>
        <w:t xml:space="preserve">The new “put-in-use” </w:t>
      </w:r>
      <w:r w:rsidRPr="008537D6">
        <w:rPr>
          <w:rFonts w:ascii="Cambria" w:hAnsi="Cambria" w:cs="Verdana"/>
          <w:sz w:val="20"/>
          <w:szCs w:val="20"/>
        </w:rPr>
        <w:t xml:space="preserve">rule applies in order for the capital cost allowance on buildings not to be available until the first year the building is put in use </w:t>
      </w:r>
      <w:r w:rsidRPr="008537D6">
        <w:rPr>
          <w:rFonts w:ascii="Cambria" w:hAnsi="Cambria"/>
          <w:color w:val="393939"/>
          <w:sz w:val="20"/>
          <w:szCs w:val="20"/>
        </w:rPr>
        <w:t xml:space="preserve">(this is the year that the building is completed and thus ready for use). This proposal, coupled with the existing “half-year” </w:t>
      </w:r>
      <w:proofErr w:type="gramStart"/>
      <w:r w:rsidRPr="008537D6">
        <w:rPr>
          <w:rFonts w:ascii="Cambria" w:hAnsi="Cambria"/>
          <w:color w:val="393939"/>
          <w:sz w:val="20"/>
          <w:szCs w:val="20"/>
        </w:rPr>
        <w:t>rule which</w:t>
      </w:r>
      <w:proofErr w:type="gramEnd"/>
      <w:r w:rsidRPr="008537D6">
        <w:rPr>
          <w:rFonts w:ascii="Cambria" w:hAnsi="Cambria"/>
          <w:color w:val="393939"/>
          <w:sz w:val="20"/>
          <w:szCs w:val="20"/>
        </w:rPr>
        <w:t xml:space="preserve"> limits the CCA in the year of the acquisition of an asset to one-half of the normal CCA rate, will result in a significant slowing down in claims for capital cost allowance on buildings. </w:t>
      </w:r>
    </w:p>
    <w:p w14:paraId="2ABEEFA9" w14:textId="77777777" w:rsidR="000A035D" w:rsidRPr="008537D6" w:rsidRDefault="000A035D"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 xml:space="preserve">The increase in the proportion of capital gains (the difference between the selling price of the property and the initial cost of the property) to be included in the income will </w:t>
      </w:r>
      <w:proofErr w:type="spellStart"/>
      <w:r w:rsidRPr="008537D6">
        <w:rPr>
          <w:rFonts w:ascii="Cambria" w:hAnsi="Cambria"/>
          <w:color w:val="393939"/>
          <w:sz w:val="20"/>
          <w:szCs w:val="20"/>
        </w:rPr>
        <w:t>ompose</w:t>
      </w:r>
      <w:proofErr w:type="spellEnd"/>
      <w:r w:rsidRPr="008537D6">
        <w:rPr>
          <w:rFonts w:ascii="Cambria" w:hAnsi="Cambria"/>
          <w:color w:val="393939"/>
          <w:sz w:val="20"/>
          <w:szCs w:val="20"/>
        </w:rPr>
        <w:t xml:space="preserve"> an addition tax burden on companies disposing of investment properties. </w:t>
      </w:r>
    </w:p>
    <w:p w14:paraId="79FD0314" w14:textId="77777777" w:rsidR="000A035D" w:rsidRPr="008537D6" w:rsidRDefault="000A035D"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The following are important terms that you will find when calculating the CCA:</w:t>
      </w:r>
    </w:p>
    <w:p w14:paraId="7A6C0A8D"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r w:rsidRPr="008537D6">
        <w:rPr>
          <w:rFonts w:ascii="Cambria" w:hAnsi="Cambria"/>
          <w:b/>
          <w:color w:val="393939"/>
          <w:sz w:val="20"/>
          <w:szCs w:val="20"/>
        </w:rPr>
        <w:t xml:space="preserve">The full-Year Rule (FYR) </w:t>
      </w:r>
      <w:r w:rsidRPr="008537D6">
        <w:rPr>
          <w:rFonts w:ascii="Cambria" w:hAnsi="Cambria"/>
          <w:color w:val="393939"/>
          <w:sz w:val="20"/>
          <w:szCs w:val="20"/>
        </w:rPr>
        <w:t>applies when 100% of the CCA rate is taken in year 1.</w:t>
      </w:r>
    </w:p>
    <w:p w14:paraId="1DDDBFD5"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r w:rsidRPr="008537D6">
        <w:rPr>
          <w:rFonts w:ascii="Cambria" w:hAnsi="Cambria"/>
          <w:b/>
          <w:color w:val="393939"/>
          <w:sz w:val="20"/>
          <w:szCs w:val="20"/>
        </w:rPr>
        <w:t>The Half-Year-Rule (HYR)</w:t>
      </w:r>
      <w:r w:rsidRPr="008537D6">
        <w:rPr>
          <w:rFonts w:ascii="Cambria" w:hAnsi="Cambria"/>
          <w:color w:val="393939"/>
          <w:sz w:val="20"/>
          <w:szCs w:val="20"/>
        </w:rPr>
        <w:t xml:space="preserve"> applies when 50% of the CCA rate is taken in year 1.</w:t>
      </w:r>
    </w:p>
    <w:p w14:paraId="5F15048D"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r w:rsidRPr="008537D6">
        <w:rPr>
          <w:rFonts w:ascii="Cambria" w:hAnsi="Cambria"/>
          <w:b/>
          <w:color w:val="393939"/>
          <w:sz w:val="20"/>
          <w:szCs w:val="20"/>
        </w:rPr>
        <w:t xml:space="preserve">The Beginning </w:t>
      </w:r>
      <w:proofErr w:type="spellStart"/>
      <w:r w:rsidRPr="008537D6">
        <w:rPr>
          <w:rFonts w:ascii="Cambria" w:hAnsi="Cambria"/>
          <w:b/>
          <w:color w:val="393939"/>
          <w:sz w:val="20"/>
          <w:szCs w:val="20"/>
        </w:rPr>
        <w:t>Undepreciated</w:t>
      </w:r>
      <w:proofErr w:type="spellEnd"/>
      <w:r w:rsidRPr="008537D6">
        <w:rPr>
          <w:rFonts w:ascii="Cambria" w:hAnsi="Cambria"/>
          <w:b/>
          <w:color w:val="393939"/>
          <w:sz w:val="20"/>
          <w:szCs w:val="20"/>
        </w:rPr>
        <w:t xml:space="preserve"> Capital Cost (BUCC)</w:t>
      </w:r>
      <w:r w:rsidRPr="008537D6">
        <w:rPr>
          <w:rFonts w:ascii="Cambria" w:hAnsi="Cambria"/>
          <w:color w:val="393939"/>
          <w:sz w:val="20"/>
          <w:szCs w:val="20"/>
        </w:rPr>
        <w:t xml:space="preserve"> is the amount prior to CCA being taken.</w:t>
      </w:r>
    </w:p>
    <w:p w14:paraId="445C7B93"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r w:rsidRPr="008537D6">
        <w:rPr>
          <w:rFonts w:ascii="Cambria" w:hAnsi="Cambria"/>
          <w:b/>
          <w:color w:val="393939"/>
          <w:sz w:val="20"/>
          <w:szCs w:val="20"/>
        </w:rPr>
        <w:t xml:space="preserve">The Ending </w:t>
      </w:r>
      <w:proofErr w:type="spellStart"/>
      <w:r w:rsidRPr="008537D6">
        <w:rPr>
          <w:rFonts w:ascii="Cambria" w:hAnsi="Cambria"/>
          <w:b/>
          <w:color w:val="393939"/>
          <w:sz w:val="20"/>
          <w:szCs w:val="20"/>
        </w:rPr>
        <w:t>Undepreciated</w:t>
      </w:r>
      <w:proofErr w:type="spellEnd"/>
      <w:r w:rsidRPr="008537D6">
        <w:rPr>
          <w:rFonts w:ascii="Cambria" w:hAnsi="Cambria"/>
          <w:b/>
          <w:color w:val="393939"/>
          <w:sz w:val="20"/>
          <w:szCs w:val="20"/>
        </w:rPr>
        <w:t xml:space="preserve"> Capital Cost (EUCC)</w:t>
      </w:r>
      <w:r w:rsidRPr="008537D6">
        <w:rPr>
          <w:rFonts w:ascii="Cambria" w:hAnsi="Cambria"/>
          <w:color w:val="393939"/>
          <w:sz w:val="20"/>
          <w:szCs w:val="20"/>
        </w:rPr>
        <w:t xml:space="preserve"> is the amount after CCA is taken. </w:t>
      </w:r>
    </w:p>
    <w:p w14:paraId="2AFD94E3"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p>
    <w:p w14:paraId="5D45A42D" w14:textId="77777777" w:rsidR="00D46F33" w:rsidRPr="008537D6" w:rsidRDefault="00BD7DE2" w:rsidP="00D46F33">
      <w:pPr>
        <w:widowControl w:val="0"/>
        <w:autoSpaceDE w:val="0"/>
        <w:autoSpaceDN w:val="0"/>
        <w:adjustRightInd w:val="0"/>
        <w:spacing w:after="120"/>
        <w:rPr>
          <w:rFonts w:ascii="Cambria" w:hAnsi="Cambria"/>
          <w:b/>
          <w:color w:val="393939"/>
          <w:sz w:val="20"/>
          <w:szCs w:val="20"/>
        </w:rPr>
      </w:pPr>
      <w:r w:rsidRPr="008537D6">
        <w:rPr>
          <w:rFonts w:ascii="Cambria" w:hAnsi="Cambria"/>
          <w:b/>
          <w:color w:val="393939"/>
          <w:sz w:val="20"/>
          <w:szCs w:val="20"/>
        </w:rPr>
        <w:t>Example 1</w:t>
      </w:r>
    </w:p>
    <w:p w14:paraId="53B838C6" w14:textId="77777777" w:rsidR="00D46F33" w:rsidRPr="008537D6" w:rsidRDefault="00D46F33"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Assume that construction of a building costing</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$20,000,000</w:t>
      </w:r>
      <w:r w:rsidRPr="008537D6">
        <w:rPr>
          <w:rStyle w:val="apple-converted-space"/>
          <w:rFonts w:ascii="Cambria" w:hAnsi="Cambria"/>
          <w:color w:val="393939"/>
          <w:sz w:val="20"/>
          <w:szCs w:val="20"/>
        </w:rPr>
        <w:t> </w:t>
      </w:r>
      <w:r w:rsidRPr="008537D6">
        <w:rPr>
          <w:rFonts w:ascii="Cambria" w:hAnsi="Cambria"/>
          <w:color w:val="393939"/>
          <w:sz w:val="20"/>
          <w:szCs w:val="20"/>
        </w:rPr>
        <w:t>had been started under the existing rules in 1989 and the building is completed and occupied in 1990. Assume also that</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$14,000,000</w:t>
      </w:r>
      <w:r w:rsidRPr="008537D6">
        <w:rPr>
          <w:rStyle w:val="apple-converted-space"/>
          <w:rFonts w:ascii="Cambria" w:hAnsi="Cambria"/>
          <w:color w:val="393939"/>
          <w:sz w:val="20"/>
          <w:szCs w:val="20"/>
        </w:rPr>
        <w:t> </w:t>
      </w:r>
      <w:r w:rsidRPr="008537D6">
        <w:rPr>
          <w:rFonts w:ascii="Cambria" w:hAnsi="Cambria"/>
          <w:color w:val="393939"/>
          <w:sz w:val="20"/>
          <w:szCs w:val="20"/>
        </w:rPr>
        <w:t>of the construction costs are incurred in 1989 and the balance of</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$6,000,000</w:t>
      </w:r>
      <w:r w:rsidRPr="008537D6">
        <w:rPr>
          <w:rStyle w:val="apple-converted-space"/>
          <w:rFonts w:ascii="Cambria" w:hAnsi="Cambria"/>
          <w:color w:val="393939"/>
          <w:sz w:val="20"/>
          <w:szCs w:val="20"/>
        </w:rPr>
        <w:t> </w:t>
      </w:r>
      <w:r w:rsidRPr="008537D6">
        <w:rPr>
          <w:rFonts w:ascii="Cambria" w:hAnsi="Cambria"/>
          <w:color w:val="393939"/>
          <w:sz w:val="20"/>
          <w:szCs w:val="20"/>
        </w:rPr>
        <w:t>in 1990.</w:t>
      </w:r>
    </w:p>
    <w:p w14:paraId="5D66E962" w14:textId="77777777" w:rsidR="00D46F33" w:rsidRPr="008537D6" w:rsidRDefault="00D46F33" w:rsidP="00D46F33">
      <w:pPr>
        <w:widowControl w:val="0"/>
        <w:autoSpaceDE w:val="0"/>
        <w:autoSpaceDN w:val="0"/>
        <w:adjustRightInd w:val="0"/>
        <w:spacing w:after="120"/>
        <w:rPr>
          <w:rFonts w:ascii="Cambria" w:hAnsi="Cambria"/>
          <w:color w:val="393939"/>
          <w:sz w:val="20"/>
          <w:szCs w:val="20"/>
        </w:rPr>
      </w:pPr>
      <w:r w:rsidRPr="008537D6">
        <w:rPr>
          <w:rFonts w:ascii="Cambria" w:hAnsi="Cambria"/>
          <w:color w:val="393939"/>
          <w:sz w:val="20"/>
          <w:szCs w:val="20"/>
        </w:rPr>
        <w:t xml:space="preserve">The table below compared the Capital Cost Allowance (CCA) available under the old rules and new rules. </w:t>
      </w:r>
    </w:p>
    <w:p w14:paraId="50142C31" w14:textId="77777777" w:rsidR="00D46F33" w:rsidRPr="008537D6" w:rsidRDefault="00D46F33" w:rsidP="00BD7DE2">
      <w:pPr>
        <w:widowControl w:val="0"/>
        <w:autoSpaceDE w:val="0"/>
        <w:autoSpaceDN w:val="0"/>
        <w:adjustRightInd w:val="0"/>
        <w:spacing w:after="100"/>
        <w:rPr>
          <w:rFonts w:ascii="Cambria" w:hAnsi="Cambria"/>
          <w:b/>
          <w:i/>
          <w:color w:val="393939"/>
          <w:sz w:val="20"/>
          <w:szCs w:val="20"/>
        </w:rPr>
      </w:pPr>
      <w:r w:rsidRPr="008537D6">
        <w:rPr>
          <w:rFonts w:ascii="Cambria" w:hAnsi="Cambria"/>
          <w:b/>
          <w:i/>
          <w:color w:val="393939"/>
          <w:sz w:val="20"/>
          <w:szCs w:val="20"/>
        </w:rPr>
        <w:t>Old Rules</w:t>
      </w:r>
    </w:p>
    <w:tbl>
      <w:tblPr>
        <w:tblpPr w:leftFromText="180" w:rightFromText="180" w:vertAnchor="page" w:horzAnchor="page" w:tblpX="2071" w:tblpY="10981"/>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697"/>
        <w:gridCol w:w="1355"/>
        <w:gridCol w:w="1092"/>
        <w:gridCol w:w="1148"/>
      </w:tblGrid>
      <w:tr w:rsidR="00C80342" w:rsidRPr="008537D6" w14:paraId="17F8186D" w14:textId="77777777" w:rsidTr="00C80342">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30F03A9B"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B0507E1"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B0C05B9"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774472E1"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EUCC</w:t>
            </w:r>
          </w:p>
        </w:tc>
      </w:tr>
      <w:tr w:rsidR="00C80342" w:rsidRPr="008537D6" w14:paraId="1F132C01"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3CDDCA6"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9697FC"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B51638E"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700,000 *</w:t>
            </w:r>
            <w:r w:rsidRPr="008537D6">
              <w:rPr>
                <w:rFonts w:ascii="Cambria" w:eastAsia="Times New Roman" w:hAnsi="Cambria" w:cs="Times New Roman"/>
                <w:b/>
                <w:bCs/>
                <w:color w:val="393939"/>
                <w:sz w:val="20"/>
                <w:szCs w:val="20"/>
                <w:vertAlign w:val="superscript"/>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C652398"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13,300,000</w:t>
            </w:r>
          </w:p>
        </w:tc>
      </w:tr>
      <w:tr w:rsidR="00C80342" w:rsidRPr="008537D6" w14:paraId="353FD1E8"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8BD52A"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87D8BF1"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19,300,000 *</w:t>
            </w:r>
            <w:r w:rsidRPr="008537D6">
              <w:rPr>
                <w:rFonts w:ascii="Cambria" w:eastAsia="Times New Roman" w:hAnsi="Cambria" w:cs="Times New Roman"/>
                <w:b/>
                <w:bCs/>
                <w:color w:val="393939"/>
                <w:sz w:val="20"/>
                <w:szCs w:val="20"/>
                <w:vertAlign w:val="superscript"/>
              </w:rPr>
              <w:t>2</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6E74A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965,000 *</w:t>
            </w:r>
            <w:r w:rsidRPr="008537D6">
              <w:rPr>
                <w:rFonts w:ascii="Cambria" w:eastAsia="Times New Roman" w:hAnsi="Cambria" w:cs="Times New Roman"/>
                <w:b/>
                <w:bCs/>
                <w:color w:val="393939"/>
                <w:sz w:val="20"/>
                <w:szCs w:val="20"/>
                <w:vertAlign w:val="superscript"/>
              </w:rPr>
              <w:t>3</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F7E8EF9"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18,335,000</w:t>
            </w:r>
          </w:p>
        </w:tc>
      </w:tr>
      <w:tr w:rsidR="00C80342" w:rsidRPr="008537D6" w14:paraId="59EEB8E5"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C647709"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5379897"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18,335,000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0E5D0A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916,750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82F49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17,418,250</w:t>
            </w:r>
          </w:p>
        </w:tc>
      </w:tr>
    </w:tbl>
    <w:p w14:paraId="36381A2F" w14:textId="77777777" w:rsidR="00D46F33" w:rsidRPr="008537D6" w:rsidRDefault="00D46F33" w:rsidP="00BD7DE2">
      <w:pPr>
        <w:widowControl w:val="0"/>
        <w:autoSpaceDE w:val="0"/>
        <w:autoSpaceDN w:val="0"/>
        <w:adjustRightInd w:val="0"/>
        <w:spacing w:after="100"/>
        <w:rPr>
          <w:rFonts w:ascii="Cambria" w:hAnsi="Cambria"/>
          <w:color w:val="393939"/>
          <w:sz w:val="20"/>
          <w:szCs w:val="20"/>
        </w:rPr>
      </w:pPr>
    </w:p>
    <w:p w14:paraId="2151539E"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4801A65F"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0258596A"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126AF540"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2C4F6581"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7CF5DAC1"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 xml:space="preserve">*1 </w:t>
      </w:r>
      <w:r w:rsidRPr="008537D6">
        <w:rPr>
          <w:rFonts w:ascii="Cambria" w:hAnsi="Cambria"/>
          <w:color w:val="393939"/>
          <w:sz w:val="20"/>
          <w:szCs w:val="20"/>
        </w:rPr>
        <w:tab/>
        <w:t>5% x 14,000,000 = 700,000</w:t>
      </w:r>
    </w:p>
    <w:p w14:paraId="7ED61698"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*2</w:t>
      </w:r>
      <w:r w:rsidRPr="008537D6">
        <w:rPr>
          <w:rFonts w:ascii="Cambria" w:hAnsi="Cambria"/>
          <w:color w:val="393939"/>
          <w:sz w:val="20"/>
          <w:szCs w:val="20"/>
        </w:rPr>
        <w:tab/>
        <w:t>13,300,000 + 6,000,000 = 19,300,000</w:t>
      </w:r>
    </w:p>
    <w:p w14:paraId="762DC86A"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*3</w:t>
      </w:r>
      <w:r w:rsidRPr="008537D6">
        <w:rPr>
          <w:rFonts w:ascii="Cambria" w:hAnsi="Cambria"/>
          <w:color w:val="393939"/>
          <w:sz w:val="20"/>
          <w:szCs w:val="20"/>
        </w:rPr>
        <w:tab/>
        <w:t>5% x 19,300,000 = 965,000</w:t>
      </w:r>
    </w:p>
    <w:p w14:paraId="556E8CCF"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Total CCA for 3 years = 700,000 + 965,000 + 916,750 = 2,581,750</w:t>
      </w:r>
    </w:p>
    <w:p w14:paraId="0D1CB63F"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b/>
          <w:i/>
          <w:color w:val="393939"/>
          <w:sz w:val="20"/>
          <w:szCs w:val="20"/>
        </w:rPr>
        <w:t>New Rules</w:t>
      </w:r>
    </w:p>
    <w:p w14:paraId="21884895"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tbl>
      <w:tblPr>
        <w:tblpPr w:leftFromText="180" w:rightFromText="180" w:vertAnchor="text" w:horzAnchor="page" w:tblpX="1891" w:tblpY="-307"/>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697"/>
        <w:gridCol w:w="1148"/>
        <w:gridCol w:w="1092"/>
        <w:gridCol w:w="1148"/>
      </w:tblGrid>
      <w:tr w:rsidR="00C80342" w:rsidRPr="008537D6" w14:paraId="2A9B6257" w14:textId="77777777" w:rsidTr="00C80342">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045550BA"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5806A5D1"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BUCC</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2143040"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CCA</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B8BBB40"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EUCC</w:t>
            </w:r>
          </w:p>
        </w:tc>
      </w:tr>
      <w:tr w:rsidR="00C80342" w:rsidRPr="008537D6" w14:paraId="0C62A57F"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6186026"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1989</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02D62A8"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14,000,000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82E7A22"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103F8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14,000,000</w:t>
            </w:r>
          </w:p>
        </w:tc>
      </w:tr>
      <w:tr w:rsidR="00C80342" w:rsidRPr="008537D6" w14:paraId="693FF774"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F739F20"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1990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1AC6BFC"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20,000,000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EB788D3"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400,000 *</w:t>
            </w:r>
            <w:r w:rsidRPr="008537D6">
              <w:rPr>
                <w:rFonts w:ascii="Cambria" w:eastAsia="Times New Roman" w:hAnsi="Cambria" w:cs="Times New Roman"/>
                <w:b/>
                <w:bCs/>
                <w:color w:val="393939"/>
                <w:sz w:val="20"/>
                <w:szCs w:val="20"/>
                <w:vertAlign w:val="superscript"/>
              </w:rPr>
              <w:t>4</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08DE2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19,600,000</w:t>
            </w:r>
          </w:p>
        </w:tc>
      </w:tr>
      <w:tr w:rsidR="00C80342" w:rsidRPr="008537D6" w14:paraId="770A0FD5"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6050331"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1991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95857C7"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19,600,000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D2C3320"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784,000 *</w:t>
            </w:r>
            <w:r w:rsidRPr="008537D6">
              <w:rPr>
                <w:rFonts w:ascii="Cambria" w:eastAsia="Times New Roman" w:hAnsi="Cambria" w:cs="Times New Roman"/>
                <w:b/>
                <w:bCs/>
                <w:color w:val="393939"/>
                <w:sz w:val="20"/>
                <w:szCs w:val="20"/>
                <w:vertAlign w:val="superscript"/>
              </w:rPr>
              <w:t>5</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3B2378D"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18,816,000</w:t>
            </w:r>
          </w:p>
        </w:tc>
      </w:tr>
    </w:tbl>
    <w:p w14:paraId="580E68FF"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3BDED9FA"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6F5D0F67"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6024DC79"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012B0A1E"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6B2FD38C"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*4</w:t>
      </w:r>
      <w:r w:rsidRPr="008537D6">
        <w:rPr>
          <w:rFonts w:ascii="Cambria" w:hAnsi="Cambria"/>
          <w:color w:val="393939"/>
          <w:sz w:val="20"/>
          <w:szCs w:val="20"/>
        </w:rPr>
        <w:tab/>
        <w:t>4% x 50% x 20,000,000 (14,000,000 + 6,000,000) = 400,000</w:t>
      </w:r>
    </w:p>
    <w:p w14:paraId="24D399F9"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*5</w:t>
      </w:r>
      <w:r w:rsidRPr="008537D6">
        <w:rPr>
          <w:rFonts w:ascii="Cambria" w:hAnsi="Cambria"/>
          <w:color w:val="393939"/>
          <w:sz w:val="20"/>
          <w:szCs w:val="20"/>
        </w:rPr>
        <w:tab/>
        <w:t>4% x 19,600,000 = 784,000</w:t>
      </w:r>
    </w:p>
    <w:p w14:paraId="64C6AB10"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Total CCA for 3 years = 0 + 400,000 + 784,000 = $1,184,000</w:t>
      </w:r>
    </w:p>
    <w:p w14:paraId="349D7B33" w14:textId="77777777" w:rsidR="00C80342" w:rsidRPr="008537D6" w:rsidRDefault="00C80342" w:rsidP="00BD7DE2">
      <w:pPr>
        <w:widowControl w:val="0"/>
        <w:autoSpaceDE w:val="0"/>
        <w:autoSpaceDN w:val="0"/>
        <w:adjustRightInd w:val="0"/>
        <w:spacing w:after="100"/>
        <w:rPr>
          <w:rFonts w:ascii="Cambria" w:hAnsi="Cambria" w:cs="Times New Roman"/>
          <w:color w:val="393939"/>
          <w:sz w:val="20"/>
          <w:szCs w:val="20"/>
        </w:rPr>
      </w:pPr>
      <w:r w:rsidRPr="008537D6">
        <w:rPr>
          <w:rFonts w:ascii="Cambria" w:hAnsi="Cambria" w:cs="Times New Roman"/>
          <w:color w:val="393939"/>
          <w:sz w:val="20"/>
          <w:szCs w:val="20"/>
        </w:rPr>
        <w:t>In the above example, the effect of the put-in-use rule and the reduction in the CCA rate to 4% is to limit the CCA claimed in the first three years of the project under the new rules to $1,184,000 compared to $2,581,750 under the old rules, a reduction of about 50%.</w:t>
      </w:r>
    </w:p>
    <w:p w14:paraId="188C2D12" w14:textId="77777777" w:rsidR="00C80342" w:rsidRPr="008537D6" w:rsidRDefault="00C80342" w:rsidP="00BD7DE2">
      <w:pPr>
        <w:widowControl w:val="0"/>
        <w:autoSpaceDE w:val="0"/>
        <w:autoSpaceDN w:val="0"/>
        <w:adjustRightInd w:val="0"/>
        <w:spacing w:after="100"/>
        <w:rPr>
          <w:rFonts w:ascii="Cambria" w:hAnsi="Cambria" w:cs="Times New Roman"/>
          <w:color w:val="393939"/>
          <w:sz w:val="20"/>
          <w:szCs w:val="20"/>
        </w:rPr>
      </w:pPr>
    </w:p>
    <w:p w14:paraId="54A9C156" w14:textId="77777777" w:rsidR="00C80342" w:rsidRPr="008537D6" w:rsidRDefault="00C80342" w:rsidP="00C80342">
      <w:pPr>
        <w:widowControl w:val="0"/>
        <w:autoSpaceDE w:val="0"/>
        <w:autoSpaceDN w:val="0"/>
        <w:adjustRightInd w:val="0"/>
        <w:spacing w:after="120"/>
        <w:rPr>
          <w:rFonts w:ascii="Cambria" w:hAnsi="Cambria"/>
          <w:color w:val="393939"/>
          <w:sz w:val="20"/>
          <w:szCs w:val="20"/>
        </w:rPr>
      </w:pPr>
      <w:r w:rsidRPr="008537D6">
        <w:rPr>
          <w:rFonts w:ascii="Cambria" w:hAnsi="Cambria"/>
          <w:b/>
          <w:color w:val="393939"/>
          <w:sz w:val="20"/>
          <w:szCs w:val="20"/>
        </w:rPr>
        <w:t>Example 2</w:t>
      </w:r>
    </w:p>
    <w:p w14:paraId="0F6AEA1F" w14:textId="77777777" w:rsidR="00C80342" w:rsidRPr="008537D6" w:rsidRDefault="00C80342" w:rsidP="00C80342">
      <w:pPr>
        <w:widowControl w:val="0"/>
        <w:autoSpaceDE w:val="0"/>
        <w:autoSpaceDN w:val="0"/>
        <w:adjustRightInd w:val="0"/>
        <w:spacing w:after="120"/>
        <w:rPr>
          <w:rFonts w:ascii="Cambria" w:hAnsi="Cambria"/>
          <w:color w:val="393939"/>
          <w:sz w:val="20"/>
          <w:szCs w:val="20"/>
        </w:rPr>
      </w:pPr>
      <w:r w:rsidRPr="008537D6">
        <w:rPr>
          <w:rFonts w:ascii="Cambria" w:hAnsi="Cambria"/>
          <w:color w:val="393939"/>
          <w:sz w:val="20"/>
          <w:szCs w:val="20"/>
        </w:rPr>
        <w:t>A business corporation with a December 31 fiscal year-end commences construction on a building costing</w:t>
      </w:r>
      <w:r w:rsidRPr="008537D6">
        <w:rPr>
          <w:rStyle w:val="note"/>
          <w:rFonts w:ascii="Cambria" w:hAnsi="Cambria"/>
          <w:color w:val="393939"/>
          <w:sz w:val="20"/>
          <w:szCs w:val="20"/>
        </w:rPr>
        <w:t>$10,000,000</w:t>
      </w:r>
      <w:r w:rsidRPr="008537D6">
        <w:rPr>
          <w:rStyle w:val="apple-converted-space"/>
          <w:rFonts w:ascii="Cambria" w:hAnsi="Cambria"/>
          <w:color w:val="393939"/>
          <w:sz w:val="20"/>
          <w:szCs w:val="20"/>
        </w:rPr>
        <w:t> </w:t>
      </w:r>
      <w:r w:rsidRPr="008537D6">
        <w:rPr>
          <w:rFonts w:ascii="Cambria" w:hAnsi="Cambria"/>
          <w:color w:val="393939"/>
          <w:sz w:val="20"/>
          <w:szCs w:val="20"/>
        </w:rPr>
        <w:t>on June 30 and puts the building into use on December 31 of the following year. Interest and property taxes during the construction period are</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$300,000</w:t>
      </w:r>
      <w:r w:rsidRPr="008537D6">
        <w:rPr>
          <w:rStyle w:val="apple-converted-space"/>
          <w:rFonts w:ascii="Cambria" w:hAnsi="Cambria"/>
          <w:color w:val="393939"/>
          <w:sz w:val="20"/>
          <w:szCs w:val="20"/>
        </w:rPr>
        <w:t> </w:t>
      </w:r>
      <w:r w:rsidRPr="008537D6">
        <w:rPr>
          <w:rFonts w:ascii="Cambria" w:hAnsi="Cambria"/>
          <w:color w:val="393939"/>
          <w:sz w:val="20"/>
          <w:szCs w:val="20"/>
        </w:rPr>
        <w:t>in year</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1</w:t>
      </w:r>
      <w:r w:rsidRPr="008537D6">
        <w:rPr>
          <w:rStyle w:val="apple-converted-space"/>
          <w:rFonts w:ascii="Cambria" w:hAnsi="Cambria"/>
          <w:color w:val="393939"/>
          <w:sz w:val="20"/>
          <w:szCs w:val="20"/>
        </w:rPr>
        <w:t> </w:t>
      </w:r>
      <w:r w:rsidRPr="008537D6">
        <w:rPr>
          <w:rFonts w:ascii="Cambria" w:hAnsi="Cambria"/>
          <w:color w:val="393939"/>
          <w:sz w:val="20"/>
          <w:szCs w:val="20"/>
        </w:rPr>
        <w:t>and</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$900,000</w:t>
      </w:r>
      <w:r w:rsidRPr="008537D6">
        <w:rPr>
          <w:rStyle w:val="apple-converted-space"/>
          <w:rFonts w:ascii="Cambria" w:hAnsi="Cambria"/>
          <w:color w:val="393939"/>
          <w:sz w:val="20"/>
          <w:szCs w:val="20"/>
        </w:rPr>
        <w:t> </w:t>
      </w:r>
      <w:r w:rsidRPr="008537D6">
        <w:rPr>
          <w:rFonts w:ascii="Cambria" w:hAnsi="Cambria"/>
          <w:color w:val="393939"/>
          <w:sz w:val="20"/>
          <w:szCs w:val="20"/>
        </w:rPr>
        <w:t>in year</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2</w:t>
      </w:r>
      <w:r w:rsidRPr="008537D6">
        <w:rPr>
          <w:rFonts w:ascii="Cambria" w:hAnsi="Cambria"/>
          <w:color w:val="393939"/>
          <w:sz w:val="20"/>
          <w:szCs w:val="20"/>
        </w:rPr>
        <w:t>. Construction costs incurred up until December 31 of year</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1</w:t>
      </w:r>
      <w:r w:rsidRPr="008537D6">
        <w:rPr>
          <w:rStyle w:val="apple-converted-space"/>
          <w:rFonts w:ascii="Cambria" w:hAnsi="Cambria"/>
          <w:color w:val="393939"/>
          <w:sz w:val="20"/>
          <w:szCs w:val="20"/>
        </w:rPr>
        <w:t> </w:t>
      </w:r>
      <w:r w:rsidRPr="008537D6">
        <w:rPr>
          <w:rFonts w:ascii="Cambria" w:hAnsi="Cambria"/>
          <w:color w:val="393939"/>
          <w:sz w:val="20"/>
          <w:szCs w:val="20"/>
        </w:rPr>
        <w:t>are</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$6,000,000</w:t>
      </w:r>
      <w:r w:rsidRPr="008537D6">
        <w:rPr>
          <w:rFonts w:ascii="Cambria" w:hAnsi="Cambria"/>
          <w:color w:val="393939"/>
          <w:sz w:val="20"/>
          <w:szCs w:val="20"/>
        </w:rPr>
        <w:t xml:space="preserve">. The </w:t>
      </w:r>
      <w:proofErr w:type="gramStart"/>
      <w:r w:rsidRPr="008537D6">
        <w:rPr>
          <w:rFonts w:ascii="Cambria" w:hAnsi="Cambria"/>
          <w:color w:val="393939"/>
          <w:sz w:val="20"/>
          <w:szCs w:val="20"/>
        </w:rPr>
        <w:t>balance of construction costs are</w:t>
      </w:r>
      <w:proofErr w:type="gramEnd"/>
      <w:r w:rsidRPr="008537D6">
        <w:rPr>
          <w:rFonts w:ascii="Cambria" w:hAnsi="Cambria"/>
          <w:color w:val="393939"/>
          <w:sz w:val="20"/>
          <w:szCs w:val="20"/>
        </w:rPr>
        <w:t xml:space="preserve"> incurred in year</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2</w:t>
      </w:r>
      <w:r w:rsidRPr="008537D6">
        <w:rPr>
          <w:rFonts w:ascii="Cambria" w:hAnsi="Cambria"/>
          <w:color w:val="393939"/>
          <w:sz w:val="20"/>
          <w:szCs w:val="20"/>
        </w:rPr>
        <w:t>. The total deductions (deductible expenses and capital cost allowance) are as follows under the old and new rules:</w:t>
      </w:r>
    </w:p>
    <w:tbl>
      <w:tblPr>
        <w:tblpPr w:leftFromText="180" w:rightFromText="180" w:vertAnchor="text" w:horzAnchor="page" w:tblpX="1891" w:tblpY="40"/>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127"/>
        <w:gridCol w:w="1194"/>
        <w:gridCol w:w="1194"/>
      </w:tblGrid>
      <w:tr w:rsidR="00C80342" w:rsidRPr="008537D6" w14:paraId="03E2D5D0" w14:textId="77777777" w:rsidTr="00C80342">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3A44DA1"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Old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142CCF7"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ABDF168" w14:textId="77777777" w:rsidR="00C80342" w:rsidRPr="008537D6" w:rsidRDefault="00C80342" w:rsidP="00C80342">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 2</w:t>
            </w:r>
          </w:p>
        </w:tc>
      </w:tr>
      <w:tr w:rsidR="00C80342" w:rsidRPr="008537D6" w14:paraId="0234BC5F"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031346D"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AB50559"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$300,000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D9B19AC"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$900,000</w:t>
            </w:r>
          </w:p>
        </w:tc>
      </w:tr>
      <w:tr w:rsidR="00C80342" w:rsidRPr="008537D6" w14:paraId="30B24971"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C2B36AB"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60DD13C4" w14:textId="77777777" w:rsidR="00C80342" w:rsidRPr="008537D6" w:rsidRDefault="00C80342" w:rsidP="00C80342">
            <w:pPr>
              <w:rPr>
                <w:rFonts w:ascii="Cambria" w:eastAsia="Times New Roman" w:hAnsi="Cambria" w:cs="Times New Roman"/>
                <w:color w:val="393939"/>
                <w:sz w:val="20"/>
                <w:szCs w:val="20"/>
              </w:rPr>
            </w:pPr>
            <w:r w:rsidRPr="008537D6">
              <w:rPr>
                <w:rStyle w:val="note"/>
                <w:rFonts w:ascii="Cambria" w:eastAsia="Times New Roman" w:hAnsi="Cambria" w:cs="Times New Roman"/>
                <w:color w:val="393939"/>
                <w:sz w:val="20"/>
                <w:szCs w:val="20"/>
              </w:rPr>
              <w:t>$300,000</w:t>
            </w:r>
            <w:r w:rsidRPr="008537D6">
              <w:rPr>
                <w:rStyle w:val="apple-converted-space"/>
                <w:rFonts w:ascii="Cambria" w:eastAsia="Times New Roman" w:hAnsi="Cambria" w:cs="Times New Roman"/>
                <w:color w:val="393939"/>
                <w:sz w:val="20"/>
                <w:szCs w:val="20"/>
              </w:rPr>
              <w:t> </w:t>
            </w:r>
            <w:r w:rsidRPr="008537D6">
              <w:rPr>
                <w:rFonts w:ascii="Cambria" w:eastAsia="Times New Roman" w:hAnsi="Cambria" w:cs="Times New Roman"/>
                <w:color w:val="393939"/>
                <w:sz w:val="20"/>
                <w:szCs w:val="20"/>
              </w:rPr>
              <w:t>*</w:t>
            </w:r>
            <w:r w:rsidRPr="008537D6">
              <w:rPr>
                <w:rStyle w:val="Strong"/>
                <w:rFonts w:ascii="Cambria" w:eastAsia="Times New Roman" w:hAnsi="Cambria" w:cs="Times New Roman"/>
                <w:color w:val="393939"/>
                <w:sz w:val="20"/>
                <w:szCs w:val="20"/>
                <w:vertAlign w:val="superscript"/>
              </w:rPr>
              <w:t>1</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1C4C2849" w14:textId="77777777" w:rsidR="00C80342" w:rsidRPr="008537D6" w:rsidRDefault="00C80342" w:rsidP="00C80342">
            <w:pPr>
              <w:rPr>
                <w:rFonts w:ascii="Cambria" w:eastAsia="Times New Roman" w:hAnsi="Cambria" w:cs="Times New Roman"/>
                <w:color w:val="393939"/>
                <w:sz w:val="20"/>
                <w:szCs w:val="20"/>
              </w:rPr>
            </w:pPr>
            <w:r w:rsidRPr="008537D6">
              <w:rPr>
                <w:rStyle w:val="note"/>
                <w:rFonts w:ascii="Cambria" w:eastAsia="Times New Roman" w:hAnsi="Cambria" w:cs="Times New Roman"/>
                <w:color w:val="393939"/>
                <w:sz w:val="20"/>
                <w:szCs w:val="20"/>
              </w:rPr>
              <w:t>$485,000</w:t>
            </w:r>
            <w:r w:rsidRPr="008537D6">
              <w:rPr>
                <w:rStyle w:val="apple-converted-space"/>
                <w:rFonts w:ascii="Cambria" w:eastAsia="Times New Roman" w:hAnsi="Cambria" w:cs="Times New Roman"/>
                <w:color w:val="393939"/>
                <w:sz w:val="20"/>
                <w:szCs w:val="20"/>
              </w:rPr>
              <w:t> </w:t>
            </w:r>
            <w:r w:rsidRPr="008537D6">
              <w:rPr>
                <w:rFonts w:ascii="Cambria" w:eastAsia="Times New Roman" w:hAnsi="Cambria" w:cs="Times New Roman"/>
                <w:color w:val="393939"/>
                <w:sz w:val="20"/>
                <w:szCs w:val="20"/>
              </w:rPr>
              <w:t>*</w:t>
            </w:r>
            <w:r w:rsidRPr="008537D6">
              <w:rPr>
                <w:rStyle w:val="Strong"/>
                <w:rFonts w:ascii="Cambria" w:eastAsia="Times New Roman" w:hAnsi="Cambria" w:cs="Times New Roman"/>
                <w:color w:val="393939"/>
                <w:sz w:val="20"/>
                <w:szCs w:val="20"/>
                <w:vertAlign w:val="superscript"/>
              </w:rPr>
              <w:t>2</w:t>
            </w:r>
          </w:p>
        </w:tc>
      </w:tr>
      <w:tr w:rsidR="00C80342" w:rsidRPr="008537D6" w14:paraId="25C872E6" w14:textId="77777777" w:rsidTr="00C80342">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2B8547C"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48DEA1F"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$600,000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5B6F45" w14:textId="77777777" w:rsidR="00C80342" w:rsidRPr="008537D6" w:rsidRDefault="00C80342" w:rsidP="00C80342">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$1,385,000</w:t>
            </w:r>
          </w:p>
        </w:tc>
      </w:tr>
    </w:tbl>
    <w:p w14:paraId="15ECAA50" w14:textId="77777777" w:rsidR="00C80342" w:rsidRPr="008537D6" w:rsidRDefault="00C80342" w:rsidP="00BD7DE2">
      <w:pPr>
        <w:widowControl w:val="0"/>
        <w:autoSpaceDE w:val="0"/>
        <w:autoSpaceDN w:val="0"/>
        <w:adjustRightInd w:val="0"/>
        <w:spacing w:after="100"/>
        <w:rPr>
          <w:rFonts w:ascii="Cambria" w:hAnsi="Cambria" w:cs="Times New Roman"/>
          <w:color w:val="393939"/>
          <w:sz w:val="20"/>
          <w:szCs w:val="20"/>
        </w:rPr>
      </w:pPr>
    </w:p>
    <w:p w14:paraId="334E80DA" w14:textId="77777777" w:rsidR="00C80342" w:rsidRPr="008537D6" w:rsidRDefault="00C80342" w:rsidP="00BD7DE2">
      <w:pPr>
        <w:widowControl w:val="0"/>
        <w:autoSpaceDE w:val="0"/>
        <w:autoSpaceDN w:val="0"/>
        <w:adjustRightInd w:val="0"/>
        <w:spacing w:after="100"/>
        <w:rPr>
          <w:rFonts w:ascii="Cambria" w:hAnsi="Cambria" w:cs="Times New Roman"/>
          <w:color w:val="393939"/>
          <w:sz w:val="20"/>
          <w:szCs w:val="20"/>
        </w:rPr>
      </w:pPr>
    </w:p>
    <w:p w14:paraId="65B1F11A"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767B5E57"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75DF1F05"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0BB606EB"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p>
    <w:p w14:paraId="613421D6" w14:textId="77777777" w:rsidR="00C80342" w:rsidRPr="008537D6" w:rsidRDefault="00C80342" w:rsidP="00BD7DE2">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*1</w:t>
      </w:r>
      <w:r w:rsidRPr="008537D6">
        <w:rPr>
          <w:rFonts w:ascii="Cambria" w:hAnsi="Cambria"/>
          <w:color w:val="393939"/>
          <w:sz w:val="20"/>
          <w:szCs w:val="20"/>
        </w:rPr>
        <w:tab/>
        <w:t>5% x 6,000,000 = 300,000</w:t>
      </w:r>
    </w:p>
    <w:p w14:paraId="2802FEFD" w14:textId="77777777" w:rsidR="00BD7DE2" w:rsidRPr="008537D6" w:rsidRDefault="00C80342" w:rsidP="00E252CA">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*2</w:t>
      </w:r>
      <w:r w:rsidRPr="008537D6">
        <w:rPr>
          <w:rFonts w:ascii="Cambria" w:hAnsi="Cambria"/>
          <w:color w:val="393939"/>
          <w:sz w:val="20"/>
          <w:szCs w:val="20"/>
        </w:rPr>
        <w:tab/>
      </w:r>
      <w:r w:rsidR="00E252CA" w:rsidRPr="008537D6">
        <w:rPr>
          <w:rFonts w:ascii="Cambria" w:hAnsi="Cambria"/>
          <w:color w:val="393939"/>
          <w:sz w:val="20"/>
          <w:szCs w:val="20"/>
        </w:rPr>
        <w:t>5% x (5,700,000 + 4,000,000) = 5% (9,700,000) = $485,000</w:t>
      </w:r>
    </w:p>
    <w:tbl>
      <w:tblPr>
        <w:tblW w:w="0" w:type="auto"/>
        <w:tblBorders>
          <w:top w:val="single" w:sz="6" w:space="0" w:color="C0C0C0"/>
          <w:left w:val="single" w:sz="6" w:space="0" w:color="C0C0C0"/>
          <w:bottom w:val="single" w:sz="6" w:space="0" w:color="C0C0C0"/>
          <w:right w:val="single" w:sz="6" w:space="0" w:color="C0C0C0"/>
        </w:tblBorders>
        <w:shd w:val="clear" w:color="auto" w:fill="F0F0F0"/>
        <w:tblCellMar>
          <w:left w:w="0" w:type="dxa"/>
          <w:right w:w="0" w:type="dxa"/>
        </w:tblCellMar>
        <w:tblLook w:val="04A0" w:firstRow="1" w:lastRow="0" w:firstColumn="1" w:lastColumn="0" w:noHBand="0" w:noVBand="1"/>
      </w:tblPr>
      <w:tblGrid>
        <w:gridCol w:w="2127"/>
        <w:gridCol w:w="859"/>
        <w:gridCol w:w="1194"/>
      </w:tblGrid>
      <w:tr w:rsidR="00E252CA" w:rsidRPr="008537D6" w14:paraId="0943AEAD" w14:textId="77777777" w:rsidTr="00B86CA5">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15FCE723" w14:textId="77777777" w:rsidR="00E252CA" w:rsidRPr="008537D6" w:rsidRDefault="00E252CA" w:rsidP="00B86CA5">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New Rules</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223BD82C" w14:textId="77777777" w:rsidR="00E252CA" w:rsidRPr="008537D6" w:rsidRDefault="00E252CA" w:rsidP="00B86CA5">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 1</w:t>
            </w:r>
          </w:p>
        </w:tc>
        <w:tc>
          <w:tcPr>
            <w:tcW w:w="0" w:type="auto"/>
            <w:tcBorders>
              <w:top w:val="outset" w:sz="6" w:space="0" w:color="auto"/>
              <w:left w:val="outset" w:sz="6" w:space="0" w:color="auto"/>
              <w:bottom w:val="single" w:sz="6" w:space="0" w:color="C0C0C0"/>
              <w:right w:val="outset" w:sz="6" w:space="0" w:color="auto"/>
            </w:tcBorders>
            <w:shd w:val="clear" w:color="auto" w:fill="202020"/>
            <w:tcMar>
              <w:top w:w="90" w:type="dxa"/>
              <w:left w:w="180" w:type="dxa"/>
              <w:bottom w:w="90" w:type="dxa"/>
              <w:right w:w="90" w:type="dxa"/>
            </w:tcMar>
            <w:hideMark/>
          </w:tcPr>
          <w:p w14:paraId="6CE0DB23" w14:textId="77777777" w:rsidR="00E252CA" w:rsidRPr="008537D6" w:rsidRDefault="00E252CA" w:rsidP="00B86CA5">
            <w:pPr>
              <w:jc w:val="center"/>
              <w:rPr>
                <w:rFonts w:ascii="Cambria" w:eastAsia="Times New Roman" w:hAnsi="Cambria" w:cs="Times New Roman"/>
                <w:b/>
                <w:bCs/>
                <w:color w:val="9E9E9E"/>
                <w:sz w:val="20"/>
                <w:szCs w:val="20"/>
              </w:rPr>
            </w:pPr>
            <w:r w:rsidRPr="008537D6">
              <w:rPr>
                <w:rFonts w:ascii="Cambria" w:eastAsia="Times New Roman" w:hAnsi="Cambria" w:cs="Times New Roman"/>
                <w:b/>
                <w:bCs/>
                <w:color w:val="9E9E9E"/>
                <w:sz w:val="20"/>
                <w:szCs w:val="20"/>
              </w:rPr>
              <w:t>Year 2</w:t>
            </w:r>
          </w:p>
        </w:tc>
      </w:tr>
      <w:tr w:rsidR="00E252CA" w:rsidRPr="008537D6" w14:paraId="6E02C816" w14:textId="77777777" w:rsidTr="00B86CA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0490D820" w14:textId="77777777" w:rsidR="00E252CA" w:rsidRPr="008537D6" w:rsidRDefault="00E252CA" w:rsidP="00B86CA5">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Deductible expenses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3BFFCB8" w14:textId="77777777" w:rsidR="00E252CA" w:rsidRPr="008537D6" w:rsidRDefault="00E252CA" w:rsidP="00B86CA5">
            <w:pPr>
              <w:jc w:val="cente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374F086B" w14:textId="77777777" w:rsidR="00E252CA" w:rsidRPr="008537D6" w:rsidRDefault="00E252CA" w:rsidP="00B86CA5">
            <w:pPr>
              <w:jc w:val="cente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0</w:t>
            </w:r>
          </w:p>
        </w:tc>
      </w:tr>
      <w:tr w:rsidR="00E252CA" w:rsidRPr="008537D6" w14:paraId="5836DF34" w14:textId="77777777" w:rsidTr="00B86CA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BC2DE50" w14:textId="77777777" w:rsidR="00E252CA" w:rsidRPr="008537D6" w:rsidRDefault="00E252CA" w:rsidP="00B86CA5">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Capital Cost Allowance</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7DD799AC" w14:textId="77777777" w:rsidR="00E252CA" w:rsidRPr="008537D6" w:rsidRDefault="00E252CA" w:rsidP="00B86CA5">
            <w:pPr>
              <w:jc w:val="cente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532F4A01" w14:textId="77777777" w:rsidR="00E252CA" w:rsidRPr="008537D6" w:rsidRDefault="00E252CA" w:rsidP="00B86CA5">
            <w:pPr>
              <w:rPr>
                <w:rFonts w:ascii="Cambria" w:eastAsia="Times New Roman" w:hAnsi="Cambria" w:cs="Times New Roman"/>
                <w:color w:val="393939"/>
                <w:sz w:val="20"/>
                <w:szCs w:val="20"/>
              </w:rPr>
            </w:pPr>
            <w:r w:rsidRPr="008537D6">
              <w:rPr>
                <w:rStyle w:val="note"/>
                <w:rFonts w:ascii="Cambria" w:eastAsia="Times New Roman" w:hAnsi="Cambria" w:cs="Times New Roman"/>
                <w:color w:val="393939"/>
                <w:sz w:val="20"/>
                <w:szCs w:val="20"/>
              </w:rPr>
              <w:t>$224,000</w:t>
            </w:r>
            <w:r w:rsidRPr="008537D6">
              <w:rPr>
                <w:rStyle w:val="apple-converted-space"/>
                <w:rFonts w:ascii="Cambria" w:eastAsia="Times New Roman" w:hAnsi="Cambria" w:cs="Times New Roman"/>
                <w:color w:val="393939"/>
                <w:sz w:val="20"/>
                <w:szCs w:val="20"/>
              </w:rPr>
              <w:t> </w:t>
            </w:r>
            <w:r w:rsidRPr="008537D6">
              <w:rPr>
                <w:rFonts w:ascii="Cambria" w:eastAsia="Times New Roman" w:hAnsi="Cambria" w:cs="Times New Roman"/>
                <w:color w:val="393939"/>
                <w:sz w:val="20"/>
                <w:szCs w:val="20"/>
              </w:rPr>
              <w:t>*</w:t>
            </w:r>
            <w:r w:rsidRPr="008537D6">
              <w:rPr>
                <w:rStyle w:val="Strong"/>
                <w:rFonts w:ascii="Cambria" w:eastAsia="Times New Roman" w:hAnsi="Cambria" w:cs="Times New Roman"/>
                <w:color w:val="393939"/>
                <w:sz w:val="20"/>
                <w:szCs w:val="20"/>
                <w:vertAlign w:val="superscript"/>
              </w:rPr>
              <w:t>3</w:t>
            </w:r>
          </w:p>
        </w:tc>
      </w:tr>
      <w:tr w:rsidR="00E252CA" w:rsidRPr="008537D6" w14:paraId="71844063" w14:textId="77777777" w:rsidTr="00B86CA5">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1DBBBC" w14:textId="77777777" w:rsidR="00E252CA" w:rsidRPr="008537D6" w:rsidRDefault="00E252CA" w:rsidP="00B86CA5">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Total deductions</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2BB80014" w14:textId="77777777" w:rsidR="00E252CA" w:rsidRPr="008537D6" w:rsidRDefault="00E252CA" w:rsidP="00B86CA5">
            <w:pPr>
              <w:jc w:val="cente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$0</w:t>
            </w:r>
          </w:p>
        </w:tc>
        <w:tc>
          <w:tcPr>
            <w:tcW w:w="0" w:type="auto"/>
            <w:tcBorders>
              <w:top w:val="outset" w:sz="6" w:space="0" w:color="auto"/>
              <w:left w:val="outset" w:sz="6" w:space="0" w:color="auto"/>
              <w:bottom w:val="single" w:sz="6" w:space="0" w:color="88A8AE"/>
              <w:right w:val="outset" w:sz="6" w:space="0" w:color="auto"/>
            </w:tcBorders>
            <w:shd w:val="clear" w:color="auto" w:fill="FFFFFF"/>
            <w:tcMar>
              <w:top w:w="90" w:type="dxa"/>
              <w:left w:w="90" w:type="dxa"/>
              <w:bottom w:w="90" w:type="dxa"/>
              <w:right w:w="90" w:type="dxa"/>
            </w:tcMar>
            <w:hideMark/>
          </w:tcPr>
          <w:p w14:paraId="4CE7BE81" w14:textId="77777777" w:rsidR="00E252CA" w:rsidRPr="008537D6" w:rsidRDefault="00E252CA" w:rsidP="00B86CA5">
            <w:pPr>
              <w:rPr>
                <w:rFonts w:ascii="Cambria" w:eastAsia="Times New Roman" w:hAnsi="Cambria" w:cs="Times New Roman"/>
                <w:color w:val="393939"/>
                <w:sz w:val="20"/>
                <w:szCs w:val="20"/>
              </w:rPr>
            </w:pPr>
            <w:r w:rsidRPr="008537D6">
              <w:rPr>
                <w:rFonts w:ascii="Cambria" w:eastAsia="Times New Roman" w:hAnsi="Cambria" w:cs="Times New Roman"/>
                <w:color w:val="393939"/>
                <w:sz w:val="20"/>
                <w:szCs w:val="20"/>
              </w:rPr>
              <w:t>$224,000</w:t>
            </w:r>
          </w:p>
        </w:tc>
      </w:tr>
    </w:tbl>
    <w:p w14:paraId="79A71AE2" w14:textId="77777777" w:rsidR="00E252CA" w:rsidRPr="008537D6" w:rsidRDefault="00E252CA" w:rsidP="00E252CA">
      <w:pPr>
        <w:widowControl w:val="0"/>
        <w:autoSpaceDE w:val="0"/>
        <w:autoSpaceDN w:val="0"/>
        <w:adjustRightInd w:val="0"/>
        <w:spacing w:after="100"/>
        <w:rPr>
          <w:rFonts w:ascii="Cambria" w:hAnsi="Cambria"/>
          <w:color w:val="393939"/>
          <w:sz w:val="20"/>
          <w:szCs w:val="20"/>
        </w:rPr>
      </w:pPr>
    </w:p>
    <w:p w14:paraId="1ABF594C" w14:textId="77777777" w:rsidR="00E252CA" w:rsidRPr="008537D6" w:rsidRDefault="00E252CA" w:rsidP="00E252CA">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*3</w:t>
      </w:r>
      <w:r w:rsidRPr="008537D6">
        <w:rPr>
          <w:rFonts w:ascii="Cambria" w:hAnsi="Cambria"/>
          <w:color w:val="393939"/>
          <w:sz w:val="20"/>
          <w:szCs w:val="20"/>
        </w:rPr>
        <w:tab/>
        <w:t>4% x 50% x ($6,000,000 + $300,000 + 4,000,000 + 900,000) = $224,000</w:t>
      </w:r>
    </w:p>
    <w:p w14:paraId="39D18290" w14:textId="77777777" w:rsidR="00E252CA" w:rsidRPr="008537D6" w:rsidRDefault="00E252CA" w:rsidP="00E252CA">
      <w:pPr>
        <w:widowControl w:val="0"/>
        <w:autoSpaceDE w:val="0"/>
        <w:autoSpaceDN w:val="0"/>
        <w:adjustRightInd w:val="0"/>
        <w:spacing w:after="100"/>
        <w:rPr>
          <w:rFonts w:ascii="Cambria" w:hAnsi="Cambria"/>
          <w:color w:val="393939"/>
          <w:sz w:val="20"/>
          <w:szCs w:val="20"/>
        </w:rPr>
      </w:pPr>
      <w:r w:rsidRPr="008537D6">
        <w:rPr>
          <w:rFonts w:ascii="Cambria" w:hAnsi="Cambria"/>
          <w:color w:val="393939"/>
          <w:sz w:val="20"/>
          <w:szCs w:val="20"/>
        </w:rPr>
        <w:t>In the above example, which combines the reduction in the CCA rate from</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5%</w:t>
      </w:r>
      <w:r w:rsidRPr="008537D6">
        <w:rPr>
          <w:rStyle w:val="apple-converted-space"/>
          <w:rFonts w:ascii="Cambria" w:hAnsi="Cambria"/>
          <w:color w:val="393939"/>
          <w:sz w:val="20"/>
          <w:szCs w:val="20"/>
        </w:rPr>
        <w:t> </w:t>
      </w:r>
      <w:r w:rsidRPr="008537D6">
        <w:rPr>
          <w:rFonts w:ascii="Cambria" w:hAnsi="Cambria"/>
          <w:color w:val="393939"/>
          <w:sz w:val="20"/>
          <w:szCs w:val="20"/>
        </w:rPr>
        <w:t>to</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4%</w:t>
      </w:r>
      <w:r w:rsidRPr="008537D6">
        <w:rPr>
          <w:rFonts w:ascii="Cambria" w:hAnsi="Cambria"/>
          <w:color w:val="393939"/>
          <w:sz w:val="20"/>
          <w:szCs w:val="20"/>
        </w:rPr>
        <w:t>, the total capitalization of soft costs, and the put-in-use rule, the total deductions from income over a 2-year period are reduced from</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$1,985,000 (600,000</w:t>
      </w:r>
      <w:r w:rsidRPr="008537D6">
        <w:rPr>
          <w:rStyle w:val="apple-converted-space"/>
          <w:rFonts w:ascii="Cambria" w:hAnsi="Cambria"/>
          <w:color w:val="393939"/>
          <w:sz w:val="20"/>
          <w:szCs w:val="20"/>
        </w:rPr>
        <w:t> </w:t>
      </w:r>
      <w:r w:rsidRPr="008537D6">
        <w:rPr>
          <w:rFonts w:ascii="Cambria" w:hAnsi="Cambria"/>
          <w:color w:val="393939"/>
          <w:sz w:val="20"/>
          <w:szCs w:val="20"/>
        </w:rPr>
        <w:t>+</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1,385,000)</w:t>
      </w:r>
      <w:r w:rsidRPr="008537D6">
        <w:rPr>
          <w:rStyle w:val="apple-converted-space"/>
          <w:rFonts w:ascii="Cambria" w:hAnsi="Cambria"/>
          <w:color w:val="393939"/>
          <w:sz w:val="20"/>
          <w:szCs w:val="20"/>
        </w:rPr>
        <w:t> </w:t>
      </w:r>
      <w:r w:rsidRPr="008537D6">
        <w:rPr>
          <w:rFonts w:ascii="Cambria" w:hAnsi="Cambria"/>
          <w:color w:val="393939"/>
          <w:sz w:val="20"/>
          <w:szCs w:val="20"/>
        </w:rPr>
        <w:t>to</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$224,000 (0</w:t>
      </w:r>
      <w:r w:rsidRPr="008537D6">
        <w:rPr>
          <w:rStyle w:val="apple-converted-space"/>
          <w:rFonts w:ascii="Cambria" w:hAnsi="Cambria"/>
          <w:color w:val="393939"/>
          <w:sz w:val="20"/>
          <w:szCs w:val="20"/>
        </w:rPr>
        <w:t> </w:t>
      </w:r>
      <w:r w:rsidRPr="008537D6">
        <w:rPr>
          <w:rFonts w:ascii="Cambria" w:hAnsi="Cambria"/>
          <w:color w:val="393939"/>
          <w:sz w:val="20"/>
          <w:szCs w:val="20"/>
        </w:rPr>
        <w:t>+</w:t>
      </w:r>
      <w:r w:rsidRPr="008537D6">
        <w:rPr>
          <w:rStyle w:val="apple-converted-space"/>
          <w:rFonts w:ascii="Cambria" w:hAnsi="Cambria"/>
          <w:color w:val="393939"/>
          <w:sz w:val="20"/>
          <w:szCs w:val="20"/>
        </w:rPr>
        <w:t> </w:t>
      </w:r>
      <w:r w:rsidRPr="008537D6">
        <w:rPr>
          <w:rStyle w:val="note"/>
          <w:rFonts w:ascii="Cambria" w:hAnsi="Cambria"/>
          <w:color w:val="393939"/>
          <w:sz w:val="20"/>
          <w:szCs w:val="20"/>
        </w:rPr>
        <w:t>224,000)</w:t>
      </w:r>
      <w:r w:rsidRPr="008537D6">
        <w:rPr>
          <w:rFonts w:ascii="Cambria" w:hAnsi="Cambria"/>
          <w:color w:val="393939"/>
          <w:sz w:val="20"/>
          <w:szCs w:val="20"/>
        </w:rPr>
        <w:t>.</w:t>
      </w:r>
    </w:p>
    <w:p w14:paraId="358AB2DE" w14:textId="77777777" w:rsidR="00E252CA" w:rsidRPr="008537D6" w:rsidRDefault="00E252CA" w:rsidP="00E252CA">
      <w:pPr>
        <w:widowControl w:val="0"/>
        <w:autoSpaceDE w:val="0"/>
        <w:autoSpaceDN w:val="0"/>
        <w:adjustRightInd w:val="0"/>
        <w:spacing w:after="100"/>
        <w:rPr>
          <w:rFonts w:ascii="Cambria" w:hAnsi="Cambria"/>
          <w:color w:val="393939"/>
          <w:sz w:val="20"/>
          <w:szCs w:val="20"/>
        </w:rPr>
      </w:pPr>
    </w:p>
    <w:p w14:paraId="24FCBF59" w14:textId="77777777" w:rsidR="00BD7DE2" w:rsidRPr="008537D6" w:rsidRDefault="00BD7DE2" w:rsidP="00BD7DE2">
      <w:pPr>
        <w:widowControl w:val="0"/>
        <w:autoSpaceDE w:val="0"/>
        <w:autoSpaceDN w:val="0"/>
        <w:adjustRightInd w:val="0"/>
        <w:spacing w:after="100"/>
        <w:rPr>
          <w:rFonts w:ascii="Cambria" w:hAnsi="Cambria"/>
          <w:color w:val="393939"/>
          <w:sz w:val="20"/>
          <w:szCs w:val="20"/>
        </w:rPr>
      </w:pPr>
    </w:p>
    <w:p w14:paraId="0F4584DD" w14:textId="77777777" w:rsidR="00D73577" w:rsidRPr="008537D6" w:rsidRDefault="00D73577" w:rsidP="00BD7DE2">
      <w:pPr>
        <w:pBdr>
          <w:bottom w:val="single" w:sz="6" w:space="1" w:color="auto"/>
        </w:pBdr>
        <w:jc w:val="center"/>
        <w:rPr>
          <w:rFonts w:ascii="Cambria" w:hAnsi="Cambria" w:cs="Arial"/>
          <w:vanish/>
          <w:sz w:val="20"/>
          <w:szCs w:val="20"/>
        </w:rPr>
      </w:pPr>
      <w:r w:rsidRPr="008537D6">
        <w:rPr>
          <w:rFonts w:ascii="Cambria" w:hAnsi="Cambria" w:cs="Arial"/>
          <w:vanish/>
          <w:sz w:val="20"/>
          <w:szCs w:val="20"/>
        </w:rPr>
        <w:t>Top of Form</w:t>
      </w:r>
    </w:p>
    <w:sectPr w:rsidR="00D73577" w:rsidRPr="008537D6"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E96862A"/>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47F3A21"/>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6966C7"/>
    <w:multiLevelType w:val="multilevel"/>
    <w:tmpl w:val="4DB6A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ED0C5B"/>
    <w:multiLevelType w:val="multilevel"/>
    <w:tmpl w:val="7200CA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72736"/>
    <w:multiLevelType w:val="hybridMultilevel"/>
    <w:tmpl w:val="FD925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D5142D"/>
    <w:multiLevelType w:val="hybridMultilevel"/>
    <w:tmpl w:val="4E48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7C7ABD"/>
    <w:multiLevelType w:val="hybridMultilevel"/>
    <w:tmpl w:val="2B907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281788"/>
    <w:multiLevelType w:val="multilevel"/>
    <w:tmpl w:val="D51C1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81736E6"/>
    <w:multiLevelType w:val="multilevel"/>
    <w:tmpl w:val="A70266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AF7A10"/>
    <w:multiLevelType w:val="hybridMultilevel"/>
    <w:tmpl w:val="A9942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E180BDF"/>
    <w:multiLevelType w:val="multilevel"/>
    <w:tmpl w:val="2D988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5E4CCF"/>
    <w:multiLevelType w:val="hybridMultilevel"/>
    <w:tmpl w:val="68D2D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6C367F"/>
    <w:multiLevelType w:val="hybridMultilevel"/>
    <w:tmpl w:val="E18C4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2045452"/>
    <w:multiLevelType w:val="hybridMultilevel"/>
    <w:tmpl w:val="34A88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082E33"/>
    <w:multiLevelType w:val="multilevel"/>
    <w:tmpl w:val="3372EE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6F27476"/>
    <w:multiLevelType w:val="hybridMultilevel"/>
    <w:tmpl w:val="68D2D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7F1953"/>
    <w:multiLevelType w:val="hybridMultilevel"/>
    <w:tmpl w:val="8D20A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E293116"/>
    <w:multiLevelType w:val="hybridMultilevel"/>
    <w:tmpl w:val="DFE60C0A"/>
    <w:lvl w:ilvl="0" w:tplc="AA90F8F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F22EF8"/>
    <w:multiLevelType w:val="hybridMultilevel"/>
    <w:tmpl w:val="5CE4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D3536E"/>
    <w:multiLevelType w:val="hybridMultilevel"/>
    <w:tmpl w:val="1480DB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B46FCF"/>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4F33A8E"/>
    <w:multiLevelType w:val="hybridMultilevel"/>
    <w:tmpl w:val="146A6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9A2B75"/>
    <w:multiLevelType w:val="hybridMultilevel"/>
    <w:tmpl w:val="CF0ED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6A95E11"/>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3304A7"/>
    <w:multiLevelType w:val="hybridMultilevel"/>
    <w:tmpl w:val="C764C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080055"/>
    <w:multiLevelType w:val="multilevel"/>
    <w:tmpl w:val="CBB8D4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0653F95"/>
    <w:multiLevelType w:val="hybridMultilevel"/>
    <w:tmpl w:val="11CE8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02703A"/>
    <w:multiLevelType w:val="hybridMultilevel"/>
    <w:tmpl w:val="A3E65E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5C627C"/>
    <w:multiLevelType w:val="multilevel"/>
    <w:tmpl w:val="8BDAA9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29B05FD"/>
    <w:multiLevelType w:val="multilevel"/>
    <w:tmpl w:val="F174A7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FE30FE"/>
    <w:multiLevelType w:val="multilevel"/>
    <w:tmpl w:val="85E046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84116B8"/>
    <w:multiLevelType w:val="multilevel"/>
    <w:tmpl w:val="66ECD1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A2F3D2D"/>
    <w:multiLevelType w:val="hybridMultilevel"/>
    <w:tmpl w:val="3B5E0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2"/>
  </w:num>
  <w:num w:numId="4">
    <w:abstractNumId w:val="1"/>
  </w:num>
  <w:num w:numId="5">
    <w:abstractNumId w:val="14"/>
  </w:num>
  <w:num w:numId="6">
    <w:abstractNumId w:val="23"/>
  </w:num>
  <w:num w:numId="7">
    <w:abstractNumId w:val="21"/>
  </w:num>
  <w:num w:numId="8">
    <w:abstractNumId w:val="4"/>
  </w:num>
  <w:num w:numId="9">
    <w:abstractNumId w:val="22"/>
  </w:num>
  <w:num w:numId="10">
    <w:abstractNumId w:val="28"/>
  </w:num>
  <w:num w:numId="11">
    <w:abstractNumId w:val="18"/>
  </w:num>
  <w:num w:numId="12">
    <w:abstractNumId w:val="19"/>
  </w:num>
  <w:num w:numId="13">
    <w:abstractNumId w:val="26"/>
  </w:num>
  <w:num w:numId="14">
    <w:abstractNumId w:val="20"/>
  </w:num>
  <w:num w:numId="15">
    <w:abstractNumId w:val="24"/>
  </w:num>
  <w:num w:numId="16">
    <w:abstractNumId w:val="31"/>
  </w:num>
  <w:num w:numId="17">
    <w:abstractNumId w:val="13"/>
  </w:num>
  <w:num w:numId="18">
    <w:abstractNumId w:val="16"/>
  </w:num>
  <w:num w:numId="19">
    <w:abstractNumId w:val="5"/>
  </w:num>
  <w:num w:numId="20">
    <w:abstractNumId w:val="15"/>
  </w:num>
  <w:num w:numId="21">
    <w:abstractNumId w:val="3"/>
  </w:num>
  <w:num w:numId="22">
    <w:abstractNumId w:val="11"/>
  </w:num>
  <w:num w:numId="23">
    <w:abstractNumId w:val="2"/>
  </w:num>
  <w:num w:numId="24">
    <w:abstractNumId w:val="27"/>
  </w:num>
  <w:num w:numId="25">
    <w:abstractNumId w:val="25"/>
  </w:num>
  <w:num w:numId="26">
    <w:abstractNumId w:val="6"/>
  </w:num>
  <w:num w:numId="27">
    <w:abstractNumId w:val="8"/>
  </w:num>
  <w:num w:numId="28">
    <w:abstractNumId w:val="12"/>
  </w:num>
  <w:num w:numId="29">
    <w:abstractNumId w:val="17"/>
  </w:num>
  <w:num w:numId="30">
    <w:abstractNumId w:val="9"/>
  </w:num>
  <w:num w:numId="31">
    <w:abstractNumId w:val="7"/>
  </w:num>
  <w:num w:numId="32">
    <w:abstractNumId w:val="30"/>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577"/>
    <w:rsid w:val="000A035D"/>
    <w:rsid w:val="001073D1"/>
    <w:rsid w:val="008537D6"/>
    <w:rsid w:val="008A4EFD"/>
    <w:rsid w:val="00BD7DE2"/>
    <w:rsid w:val="00C6584B"/>
    <w:rsid w:val="00C80342"/>
    <w:rsid w:val="00D46F33"/>
    <w:rsid w:val="00D73577"/>
    <w:rsid w:val="00E252C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4D7A4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577"/>
  </w:style>
  <w:style w:type="paragraph" w:styleId="Heading3">
    <w:name w:val="heading 3"/>
    <w:basedOn w:val="Normal"/>
    <w:next w:val="Normal"/>
    <w:link w:val="Heading3Char"/>
    <w:uiPriority w:val="9"/>
    <w:semiHidden/>
    <w:unhideWhenUsed/>
    <w:qFormat/>
    <w:rsid w:val="00D7357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D73577"/>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D7357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7357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357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73577"/>
    <w:rPr>
      <w:rFonts w:ascii="Times" w:hAnsi="Times"/>
      <w:b/>
      <w:bCs/>
    </w:rPr>
  </w:style>
  <w:style w:type="character" w:customStyle="1" w:styleId="Heading5Char">
    <w:name w:val="Heading 5 Char"/>
    <w:basedOn w:val="DefaultParagraphFont"/>
    <w:link w:val="Heading5"/>
    <w:uiPriority w:val="9"/>
    <w:semiHidden/>
    <w:rsid w:val="00D7357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7357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D73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3577"/>
    <w:rPr>
      <w:rFonts w:ascii="Lucida Grande" w:hAnsi="Lucida Grande" w:cs="Lucida Grande"/>
      <w:sz w:val="18"/>
      <w:szCs w:val="18"/>
    </w:rPr>
  </w:style>
  <w:style w:type="paragraph" w:styleId="z-TopofForm">
    <w:name w:val="HTML Top of Form"/>
    <w:basedOn w:val="Normal"/>
    <w:next w:val="Normal"/>
    <w:link w:val="z-TopofFormChar"/>
    <w:hidden/>
    <w:uiPriority w:val="99"/>
    <w:semiHidden/>
    <w:unhideWhenUsed/>
    <w:rsid w:val="00D7357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73577"/>
    <w:rPr>
      <w:rFonts w:ascii="Arial" w:hAnsi="Arial" w:cs="Arial"/>
      <w:vanish/>
      <w:sz w:val="16"/>
      <w:szCs w:val="16"/>
    </w:rPr>
  </w:style>
  <w:style w:type="paragraph" w:styleId="NormalWeb">
    <w:name w:val="Normal (Web)"/>
    <w:basedOn w:val="Normal"/>
    <w:uiPriority w:val="99"/>
    <w:unhideWhenUsed/>
    <w:rsid w:val="00D7357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D73577"/>
    <w:rPr>
      <w:color w:val="0000FF"/>
      <w:u w:val="single"/>
    </w:rPr>
  </w:style>
  <w:style w:type="character" w:styleId="Strong">
    <w:name w:val="Strong"/>
    <w:basedOn w:val="DefaultParagraphFont"/>
    <w:uiPriority w:val="22"/>
    <w:qFormat/>
    <w:rsid w:val="00D73577"/>
    <w:rPr>
      <w:b/>
      <w:bCs/>
    </w:rPr>
  </w:style>
  <w:style w:type="character" w:customStyle="1" w:styleId="note">
    <w:name w:val="note"/>
    <w:basedOn w:val="DefaultParagraphFont"/>
    <w:rsid w:val="00D73577"/>
  </w:style>
  <w:style w:type="character" w:customStyle="1" w:styleId="apple-converted-space">
    <w:name w:val="apple-converted-space"/>
    <w:basedOn w:val="DefaultParagraphFont"/>
    <w:rsid w:val="00D73577"/>
  </w:style>
  <w:style w:type="paragraph" w:styleId="z-BottomofForm">
    <w:name w:val="HTML Bottom of Form"/>
    <w:basedOn w:val="Normal"/>
    <w:next w:val="Normal"/>
    <w:link w:val="z-BottomofFormChar"/>
    <w:hidden/>
    <w:uiPriority w:val="99"/>
    <w:semiHidden/>
    <w:unhideWhenUsed/>
    <w:rsid w:val="00D7357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73577"/>
    <w:rPr>
      <w:rFonts w:ascii="Arial" w:hAnsi="Arial" w:cs="Arial"/>
      <w:vanish/>
      <w:sz w:val="16"/>
      <w:szCs w:val="16"/>
    </w:rPr>
  </w:style>
  <w:style w:type="paragraph" w:styleId="Header">
    <w:name w:val="header"/>
    <w:basedOn w:val="Normal"/>
    <w:link w:val="HeaderChar"/>
    <w:uiPriority w:val="99"/>
    <w:unhideWhenUsed/>
    <w:rsid w:val="00D73577"/>
    <w:pPr>
      <w:tabs>
        <w:tab w:val="center" w:pos="4320"/>
        <w:tab w:val="right" w:pos="8640"/>
      </w:tabs>
    </w:pPr>
  </w:style>
  <w:style w:type="character" w:customStyle="1" w:styleId="HeaderChar">
    <w:name w:val="Header Char"/>
    <w:basedOn w:val="DefaultParagraphFont"/>
    <w:link w:val="Header"/>
    <w:uiPriority w:val="99"/>
    <w:rsid w:val="00D73577"/>
  </w:style>
  <w:style w:type="paragraph" w:styleId="Footer">
    <w:name w:val="footer"/>
    <w:basedOn w:val="Normal"/>
    <w:link w:val="FooterChar"/>
    <w:uiPriority w:val="99"/>
    <w:unhideWhenUsed/>
    <w:rsid w:val="00D73577"/>
    <w:pPr>
      <w:tabs>
        <w:tab w:val="center" w:pos="4320"/>
        <w:tab w:val="right" w:pos="8640"/>
      </w:tabs>
    </w:pPr>
  </w:style>
  <w:style w:type="character" w:customStyle="1" w:styleId="FooterChar">
    <w:name w:val="Footer Char"/>
    <w:basedOn w:val="DefaultParagraphFont"/>
    <w:link w:val="Footer"/>
    <w:uiPriority w:val="99"/>
    <w:rsid w:val="00D73577"/>
  </w:style>
  <w:style w:type="paragraph" w:styleId="ListParagraph">
    <w:name w:val="List Paragraph"/>
    <w:basedOn w:val="Normal"/>
    <w:uiPriority w:val="34"/>
    <w:qFormat/>
    <w:rsid w:val="00D73577"/>
    <w:pPr>
      <w:ind w:left="720"/>
      <w:contextualSpacing/>
    </w:pPr>
  </w:style>
  <w:style w:type="character" w:styleId="Emphasis">
    <w:name w:val="Emphasis"/>
    <w:basedOn w:val="DefaultParagraphFont"/>
    <w:uiPriority w:val="20"/>
    <w:qFormat/>
    <w:rsid w:val="000A035D"/>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577"/>
  </w:style>
  <w:style w:type="paragraph" w:styleId="Heading3">
    <w:name w:val="heading 3"/>
    <w:basedOn w:val="Normal"/>
    <w:next w:val="Normal"/>
    <w:link w:val="Heading3Char"/>
    <w:uiPriority w:val="9"/>
    <w:semiHidden/>
    <w:unhideWhenUsed/>
    <w:qFormat/>
    <w:rsid w:val="00D73577"/>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link w:val="Heading4Char"/>
    <w:uiPriority w:val="9"/>
    <w:qFormat/>
    <w:rsid w:val="00D73577"/>
    <w:pPr>
      <w:spacing w:before="100" w:beforeAutospacing="1" w:after="100" w:afterAutospacing="1"/>
      <w:outlineLvl w:val="3"/>
    </w:pPr>
    <w:rPr>
      <w:rFonts w:ascii="Times" w:hAnsi="Times"/>
      <w:b/>
      <w:bCs/>
    </w:rPr>
  </w:style>
  <w:style w:type="paragraph" w:styleId="Heading5">
    <w:name w:val="heading 5"/>
    <w:basedOn w:val="Normal"/>
    <w:next w:val="Normal"/>
    <w:link w:val="Heading5Char"/>
    <w:uiPriority w:val="9"/>
    <w:semiHidden/>
    <w:unhideWhenUsed/>
    <w:qFormat/>
    <w:rsid w:val="00D73577"/>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73577"/>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D7357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D73577"/>
    <w:rPr>
      <w:rFonts w:ascii="Times" w:hAnsi="Times"/>
      <w:b/>
      <w:bCs/>
    </w:rPr>
  </w:style>
  <w:style w:type="character" w:customStyle="1" w:styleId="Heading5Char">
    <w:name w:val="Heading 5 Char"/>
    <w:basedOn w:val="DefaultParagraphFont"/>
    <w:link w:val="Heading5"/>
    <w:uiPriority w:val="9"/>
    <w:semiHidden/>
    <w:rsid w:val="00D73577"/>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D73577"/>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D735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3577"/>
    <w:rPr>
      <w:rFonts w:ascii="Lucida Grande" w:hAnsi="Lucida Grande" w:cs="Lucida Grande"/>
      <w:sz w:val="18"/>
      <w:szCs w:val="18"/>
    </w:rPr>
  </w:style>
  <w:style w:type="paragraph" w:styleId="z-TopofForm">
    <w:name w:val="HTML Top of Form"/>
    <w:basedOn w:val="Normal"/>
    <w:next w:val="Normal"/>
    <w:link w:val="z-TopofFormChar"/>
    <w:hidden/>
    <w:uiPriority w:val="99"/>
    <w:semiHidden/>
    <w:unhideWhenUsed/>
    <w:rsid w:val="00D7357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73577"/>
    <w:rPr>
      <w:rFonts w:ascii="Arial" w:hAnsi="Arial" w:cs="Arial"/>
      <w:vanish/>
      <w:sz w:val="16"/>
      <w:szCs w:val="16"/>
    </w:rPr>
  </w:style>
  <w:style w:type="paragraph" w:styleId="NormalWeb">
    <w:name w:val="Normal (Web)"/>
    <w:basedOn w:val="Normal"/>
    <w:uiPriority w:val="99"/>
    <w:unhideWhenUsed/>
    <w:rsid w:val="00D7357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D73577"/>
    <w:rPr>
      <w:color w:val="0000FF"/>
      <w:u w:val="single"/>
    </w:rPr>
  </w:style>
  <w:style w:type="character" w:styleId="Strong">
    <w:name w:val="Strong"/>
    <w:basedOn w:val="DefaultParagraphFont"/>
    <w:uiPriority w:val="22"/>
    <w:qFormat/>
    <w:rsid w:val="00D73577"/>
    <w:rPr>
      <w:b/>
      <w:bCs/>
    </w:rPr>
  </w:style>
  <w:style w:type="character" w:customStyle="1" w:styleId="note">
    <w:name w:val="note"/>
    <w:basedOn w:val="DefaultParagraphFont"/>
    <w:rsid w:val="00D73577"/>
  </w:style>
  <w:style w:type="character" w:customStyle="1" w:styleId="apple-converted-space">
    <w:name w:val="apple-converted-space"/>
    <w:basedOn w:val="DefaultParagraphFont"/>
    <w:rsid w:val="00D73577"/>
  </w:style>
  <w:style w:type="paragraph" w:styleId="z-BottomofForm">
    <w:name w:val="HTML Bottom of Form"/>
    <w:basedOn w:val="Normal"/>
    <w:next w:val="Normal"/>
    <w:link w:val="z-BottomofFormChar"/>
    <w:hidden/>
    <w:uiPriority w:val="99"/>
    <w:semiHidden/>
    <w:unhideWhenUsed/>
    <w:rsid w:val="00D7357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73577"/>
    <w:rPr>
      <w:rFonts w:ascii="Arial" w:hAnsi="Arial" w:cs="Arial"/>
      <w:vanish/>
      <w:sz w:val="16"/>
      <w:szCs w:val="16"/>
    </w:rPr>
  </w:style>
  <w:style w:type="paragraph" w:styleId="Header">
    <w:name w:val="header"/>
    <w:basedOn w:val="Normal"/>
    <w:link w:val="HeaderChar"/>
    <w:uiPriority w:val="99"/>
    <w:unhideWhenUsed/>
    <w:rsid w:val="00D73577"/>
    <w:pPr>
      <w:tabs>
        <w:tab w:val="center" w:pos="4320"/>
        <w:tab w:val="right" w:pos="8640"/>
      </w:tabs>
    </w:pPr>
  </w:style>
  <w:style w:type="character" w:customStyle="1" w:styleId="HeaderChar">
    <w:name w:val="Header Char"/>
    <w:basedOn w:val="DefaultParagraphFont"/>
    <w:link w:val="Header"/>
    <w:uiPriority w:val="99"/>
    <w:rsid w:val="00D73577"/>
  </w:style>
  <w:style w:type="paragraph" w:styleId="Footer">
    <w:name w:val="footer"/>
    <w:basedOn w:val="Normal"/>
    <w:link w:val="FooterChar"/>
    <w:uiPriority w:val="99"/>
    <w:unhideWhenUsed/>
    <w:rsid w:val="00D73577"/>
    <w:pPr>
      <w:tabs>
        <w:tab w:val="center" w:pos="4320"/>
        <w:tab w:val="right" w:pos="8640"/>
      </w:tabs>
    </w:pPr>
  </w:style>
  <w:style w:type="character" w:customStyle="1" w:styleId="FooterChar">
    <w:name w:val="Footer Char"/>
    <w:basedOn w:val="DefaultParagraphFont"/>
    <w:link w:val="Footer"/>
    <w:uiPriority w:val="99"/>
    <w:rsid w:val="00D73577"/>
  </w:style>
  <w:style w:type="paragraph" w:styleId="ListParagraph">
    <w:name w:val="List Paragraph"/>
    <w:basedOn w:val="Normal"/>
    <w:uiPriority w:val="34"/>
    <w:qFormat/>
    <w:rsid w:val="00D73577"/>
    <w:pPr>
      <w:ind w:left="720"/>
      <w:contextualSpacing/>
    </w:pPr>
  </w:style>
  <w:style w:type="character" w:styleId="Emphasis">
    <w:name w:val="Emphasis"/>
    <w:basedOn w:val="DefaultParagraphFont"/>
    <w:uiPriority w:val="20"/>
    <w:qFormat/>
    <w:rsid w:val="000A035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9129">
      <w:bodyDiv w:val="1"/>
      <w:marLeft w:val="0"/>
      <w:marRight w:val="0"/>
      <w:marTop w:val="0"/>
      <w:marBottom w:val="0"/>
      <w:divBdr>
        <w:top w:val="none" w:sz="0" w:space="0" w:color="auto"/>
        <w:left w:val="none" w:sz="0" w:space="0" w:color="auto"/>
        <w:bottom w:val="none" w:sz="0" w:space="0" w:color="auto"/>
        <w:right w:val="none" w:sz="0" w:space="0" w:color="auto"/>
      </w:divBdr>
    </w:div>
    <w:div w:id="52046997">
      <w:bodyDiv w:val="1"/>
      <w:marLeft w:val="0"/>
      <w:marRight w:val="0"/>
      <w:marTop w:val="0"/>
      <w:marBottom w:val="0"/>
      <w:divBdr>
        <w:top w:val="none" w:sz="0" w:space="0" w:color="auto"/>
        <w:left w:val="none" w:sz="0" w:space="0" w:color="auto"/>
        <w:bottom w:val="none" w:sz="0" w:space="0" w:color="auto"/>
        <w:right w:val="none" w:sz="0" w:space="0" w:color="auto"/>
      </w:divBdr>
    </w:div>
    <w:div w:id="61224462">
      <w:bodyDiv w:val="1"/>
      <w:marLeft w:val="0"/>
      <w:marRight w:val="0"/>
      <w:marTop w:val="0"/>
      <w:marBottom w:val="0"/>
      <w:divBdr>
        <w:top w:val="none" w:sz="0" w:space="0" w:color="auto"/>
        <w:left w:val="none" w:sz="0" w:space="0" w:color="auto"/>
        <w:bottom w:val="none" w:sz="0" w:space="0" w:color="auto"/>
        <w:right w:val="none" w:sz="0" w:space="0" w:color="auto"/>
      </w:divBdr>
    </w:div>
    <w:div w:id="70548807">
      <w:bodyDiv w:val="1"/>
      <w:marLeft w:val="0"/>
      <w:marRight w:val="0"/>
      <w:marTop w:val="0"/>
      <w:marBottom w:val="0"/>
      <w:divBdr>
        <w:top w:val="none" w:sz="0" w:space="0" w:color="auto"/>
        <w:left w:val="none" w:sz="0" w:space="0" w:color="auto"/>
        <w:bottom w:val="none" w:sz="0" w:space="0" w:color="auto"/>
        <w:right w:val="none" w:sz="0" w:space="0" w:color="auto"/>
      </w:divBdr>
    </w:div>
    <w:div w:id="711030930">
      <w:bodyDiv w:val="1"/>
      <w:marLeft w:val="0"/>
      <w:marRight w:val="0"/>
      <w:marTop w:val="0"/>
      <w:marBottom w:val="0"/>
      <w:divBdr>
        <w:top w:val="none" w:sz="0" w:space="0" w:color="auto"/>
        <w:left w:val="none" w:sz="0" w:space="0" w:color="auto"/>
        <w:bottom w:val="none" w:sz="0" w:space="0" w:color="auto"/>
        <w:right w:val="none" w:sz="0" w:space="0" w:color="auto"/>
      </w:divBdr>
    </w:div>
    <w:div w:id="789588286">
      <w:bodyDiv w:val="1"/>
      <w:marLeft w:val="0"/>
      <w:marRight w:val="0"/>
      <w:marTop w:val="0"/>
      <w:marBottom w:val="0"/>
      <w:divBdr>
        <w:top w:val="none" w:sz="0" w:space="0" w:color="auto"/>
        <w:left w:val="none" w:sz="0" w:space="0" w:color="auto"/>
        <w:bottom w:val="none" w:sz="0" w:space="0" w:color="auto"/>
        <w:right w:val="none" w:sz="0" w:space="0" w:color="auto"/>
      </w:divBdr>
      <w:divsChild>
        <w:div w:id="681512320">
          <w:marLeft w:val="0"/>
          <w:marRight w:val="0"/>
          <w:marTop w:val="0"/>
          <w:marBottom w:val="0"/>
          <w:divBdr>
            <w:top w:val="none" w:sz="0" w:space="0" w:color="auto"/>
            <w:left w:val="none" w:sz="0" w:space="0" w:color="auto"/>
            <w:bottom w:val="none" w:sz="0" w:space="0" w:color="auto"/>
            <w:right w:val="none" w:sz="0" w:space="0" w:color="auto"/>
          </w:divBdr>
        </w:div>
        <w:div w:id="1480687066">
          <w:marLeft w:val="0"/>
          <w:marRight w:val="0"/>
          <w:marTop w:val="0"/>
          <w:marBottom w:val="0"/>
          <w:divBdr>
            <w:top w:val="single" w:sz="6" w:space="9" w:color="E9E3AE"/>
            <w:left w:val="single" w:sz="6" w:space="9" w:color="E9E3AE"/>
            <w:bottom w:val="single" w:sz="6" w:space="9" w:color="E9E3AE"/>
            <w:right w:val="single" w:sz="6" w:space="9" w:color="E9E3AE"/>
          </w:divBdr>
          <w:divsChild>
            <w:div w:id="1547524782">
              <w:marLeft w:val="0"/>
              <w:marRight w:val="0"/>
              <w:marTop w:val="0"/>
              <w:marBottom w:val="0"/>
              <w:divBdr>
                <w:top w:val="none" w:sz="0" w:space="0" w:color="auto"/>
                <w:left w:val="none" w:sz="0" w:space="0" w:color="auto"/>
                <w:bottom w:val="none" w:sz="0" w:space="0" w:color="auto"/>
                <w:right w:val="none" w:sz="0" w:space="0" w:color="auto"/>
              </w:divBdr>
              <w:divsChild>
                <w:div w:id="70591753">
                  <w:marLeft w:val="150"/>
                  <w:marRight w:val="300"/>
                  <w:marTop w:val="30"/>
                  <w:marBottom w:val="0"/>
                  <w:divBdr>
                    <w:top w:val="none" w:sz="0" w:space="0" w:color="auto"/>
                    <w:left w:val="none" w:sz="0" w:space="0" w:color="auto"/>
                    <w:bottom w:val="none" w:sz="0" w:space="0" w:color="auto"/>
                    <w:right w:val="none" w:sz="0" w:space="0" w:color="auto"/>
                  </w:divBdr>
                </w:div>
              </w:divsChild>
            </w:div>
          </w:divsChild>
        </w:div>
      </w:divsChild>
    </w:div>
    <w:div w:id="915088718">
      <w:bodyDiv w:val="1"/>
      <w:marLeft w:val="0"/>
      <w:marRight w:val="0"/>
      <w:marTop w:val="0"/>
      <w:marBottom w:val="0"/>
      <w:divBdr>
        <w:top w:val="none" w:sz="0" w:space="0" w:color="auto"/>
        <w:left w:val="none" w:sz="0" w:space="0" w:color="auto"/>
        <w:bottom w:val="none" w:sz="0" w:space="0" w:color="auto"/>
        <w:right w:val="none" w:sz="0" w:space="0" w:color="auto"/>
      </w:divBdr>
    </w:div>
    <w:div w:id="930553713">
      <w:bodyDiv w:val="1"/>
      <w:marLeft w:val="0"/>
      <w:marRight w:val="0"/>
      <w:marTop w:val="0"/>
      <w:marBottom w:val="0"/>
      <w:divBdr>
        <w:top w:val="none" w:sz="0" w:space="0" w:color="auto"/>
        <w:left w:val="none" w:sz="0" w:space="0" w:color="auto"/>
        <w:bottom w:val="none" w:sz="0" w:space="0" w:color="auto"/>
        <w:right w:val="none" w:sz="0" w:space="0" w:color="auto"/>
      </w:divBdr>
    </w:div>
    <w:div w:id="1003703289">
      <w:bodyDiv w:val="1"/>
      <w:marLeft w:val="0"/>
      <w:marRight w:val="0"/>
      <w:marTop w:val="0"/>
      <w:marBottom w:val="0"/>
      <w:divBdr>
        <w:top w:val="none" w:sz="0" w:space="0" w:color="auto"/>
        <w:left w:val="none" w:sz="0" w:space="0" w:color="auto"/>
        <w:bottom w:val="none" w:sz="0" w:space="0" w:color="auto"/>
        <w:right w:val="none" w:sz="0" w:space="0" w:color="auto"/>
      </w:divBdr>
    </w:div>
    <w:div w:id="1353147223">
      <w:bodyDiv w:val="1"/>
      <w:marLeft w:val="0"/>
      <w:marRight w:val="0"/>
      <w:marTop w:val="0"/>
      <w:marBottom w:val="0"/>
      <w:divBdr>
        <w:top w:val="none" w:sz="0" w:space="0" w:color="auto"/>
        <w:left w:val="none" w:sz="0" w:space="0" w:color="auto"/>
        <w:bottom w:val="none" w:sz="0" w:space="0" w:color="auto"/>
        <w:right w:val="none" w:sz="0" w:space="0" w:color="auto"/>
      </w:divBdr>
    </w:div>
    <w:div w:id="1355498256">
      <w:bodyDiv w:val="1"/>
      <w:marLeft w:val="0"/>
      <w:marRight w:val="0"/>
      <w:marTop w:val="0"/>
      <w:marBottom w:val="0"/>
      <w:divBdr>
        <w:top w:val="none" w:sz="0" w:space="0" w:color="auto"/>
        <w:left w:val="none" w:sz="0" w:space="0" w:color="auto"/>
        <w:bottom w:val="none" w:sz="0" w:space="0" w:color="auto"/>
        <w:right w:val="none" w:sz="0" w:space="0" w:color="auto"/>
      </w:divBdr>
    </w:div>
    <w:div w:id="1363244647">
      <w:bodyDiv w:val="1"/>
      <w:marLeft w:val="0"/>
      <w:marRight w:val="0"/>
      <w:marTop w:val="0"/>
      <w:marBottom w:val="0"/>
      <w:divBdr>
        <w:top w:val="none" w:sz="0" w:space="0" w:color="auto"/>
        <w:left w:val="none" w:sz="0" w:space="0" w:color="auto"/>
        <w:bottom w:val="none" w:sz="0" w:space="0" w:color="auto"/>
        <w:right w:val="none" w:sz="0" w:space="0" w:color="auto"/>
      </w:divBdr>
    </w:div>
    <w:div w:id="1600720255">
      <w:bodyDiv w:val="1"/>
      <w:marLeft w:val="0"/>
      <w:marRight w:val="0"/>
      <w:marTop w:val="0"/>
      <w:marBottom w:val="0"/>
      <w:divBdr>
        <w:top w:val="none" w:sz="0" w:space="0" w:color="auto"/>
        <w:left w:val="none" w:sz="0" w:space="0" w:color="auto"/>
        <w:bottom w:val="none" w:sz="0" w:space="0" w:color="auto"/>
        <w:right w:val="none" w:sz="0" w:space="0" w:color="auto"/>
      </w:divBdr>
      <w:divsChild>
        <w:div w:id="1006784992">
          <w:marLeft w:val="150"/>
          <w:marRight w:val="300"/>
          <w:marTop w:val="300"/>
          <w:marBottom w:val="0"/>
          <w:divBdr>
            <w:top w:val="none" w:sz="0" w:space="0" w:color="auto"/>
            <w:left w:val="none" w:sz="0" w:space="0" w:color="auto"/>
            <w:bottom w:val="none" w:sz="0" w:space="0" w:color="auto"/>
            <w:right w:val="none" w:sz="0" w:space="0" w:color="auto"/>
          </w:divBdr>
        </w:div>
      </w:divsChild>
    </w:div>
    <w:div w:id="2025788337">
      <w:bodyDiv w:val="1"/>
      <w:marLeft w:val="0"/>
      <w:marRight w:val="0"/>
      <w:marTop w:val="0"/>
      <w:marBottom w:val="0"/>
      <w:divBdr>
        <w:top w:val="none" w:sz="0" w:space="0" w:color="auto"/>
        <w:left w:val="none" w:sz="0" w:space="0" w:color="auto"/>
        <w:bottom w:val="none" w:sz="0" w:space="0" w:color="auto"/>
        <w:right w:val="none" w:sz="0" w:space="0" w:color="auto"/>
      </w:divBdr>
    </w:div>
    <w:div w:id="21077702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999</Words>
  <Characters>5700</Characters>
  <Application>Microsoft Macintosh Word</Application>
  <DocSecurity>0</DocSecurity>
  <Lines>47</Lines>
  <Paragraphs>13</Paragraphs>
  <ScaleCrop>false</ScaleCrop>
  <Company/>
  <LinksUpToDate>false</LinksUpToDate>
  <CharactersWithSpaces>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3</cp:revision>
  <dcterms:created xsi:type="dcterms:W3CDTF">2014-06-26T04:55:00Z</dcterms:created>
  <dcterms:modified xsi:type="dcterms:W3CDTF">2014-06-26T06:20:00Z</dcterms:modified>
</cp:coreProperties>
</file>