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CHAPTER 1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A Modern Marketing System</w:t>
      </w:r>
      <w:r w:rsidR="00246315" w:rsidRPr="00246315">
        <w:rPr>
          <w:rFonts w:ascii="Arial" w:hAnsi="Arial" w:cs="Arial"/>
          <w:lang w:val="en-US"/>
        </w:rPr>
        <w:t xml:space="preserve"> Figure 1.2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5 Marketing Orientations</w:t>
      </w:r>
      <w:r w:rsidR="00246315" w:rsidRPr="00246315">
        <w:rPr>
          <w:rFonts w:ascii="Arial" w:hAnsi="Arial" w:cs="Arial"/>
          <w:lang w:val="en-US"/>
        </w:rPr>
        <w:t xml:space="preserve"> P.10-13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Selling vs. Marketing</w:t>
      </w:r>
      <w:r w:rsidR="00246315" w:rsidRPr="00246315">
        <w:rPr>
          <w:rFonts w:ascii="Arial" w:hAnsi="Arial" w:cs="Arial"/>
          <w:lang w:val="en-US"/>
        </w:rPr>
        <w:t xml:space="preserve"> Figure 1.3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Customer Relationship Management</w:t>
      </w:r>
      <w:r w:rsidR="00246315" w:rsidRPr="00246315">
        <w:rPr>
          <w:rFonts w:ascii="Arial" w:hAnsi="Arial" w:cs="Arial"/>
          <w:lang w:val="en-US"/>
        </w:rPr>
        <w:t xml:space="preserve"> P.13-23</w:t>
      </w:r>
    </w:p>
    <w:p w:rsidR="00246315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Simple Model of the Marketing Process </w:t>
      </w:r>
      <w:r w:rsidR="00246315" w:rsidRPr="00246315">
        <w:rPr>
          <w:rFonts w:ascii="Arial" w:hAnsi="Arial" w:cs="Arial"/>
          <w:lang w:val="en-US"/>
        </w:rPr>
        <w:t>Figure 1.1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Expanded Model of the Marketing Process</w:t>
      </w:r>
      <w:r w:rsidR="00246315" w:rsidRPr="00246315">
        <w:rPr>
          <w:rFonts w:ascii="Arial" w:hAnsi="Arial" w:cs="Arial"/>
          <w:lang w:val="en-US"/>
        </w:rPr>
        <w:t xml:space="preserve"> Figure 1.5</w:t>
      </w:r>
    </w:p>
    <w:p w:rsidR="008B0127" w:rsidRPr="00246315" w:rsidRDefault="008B0127" w:rsidP="00246315">
      <w:pPr>
        <w:tabs>
          <w:tab w:val="left" w:pos="909"/>
        </w:tabs>
        <w:jc w:val="both"/>
        <w:rPr>
          <w:rFonts w:ascii="Arial" w:hAnsi="Arial" w:cs="Arial"/>
        </w:rPr>
      </w:pP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CHAPTER 2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4 Steps in Strategic Marketing Planning Fig 2.1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The</w:t>
      </w:r>
      <w:r w:rsidR="00246315">
        <w:rPr>
          <w:rFonts w:ascii="Arial" w:hAnsi="Arial" w:cs="Arial"/>
          <w:lang w:val="en-US"/>
        </w:rPr>
        <w:t xml:space="preserve"> Product/Market Expansion Grid Figure </w:t>
      </w:r>
      <w:r w:rsidRPr="00246315">
        <w:rPr>
          <w:rFonts w:ascii="Arial" w:hAnsi="Arial" w:cs="Arial"/>
          <w:lang w:val="en-US"/>
        </w:rPr>
        <w:t>2.3</w:t>
      </w:r>
    </w:p>
    <w:p w:rsid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The Marketing Process &amp; Factors</w:t>
      </w:r>
      <w:r w:rsidR="00246315">
        <w:rPr>
          <w:rFonts w:ascii="Arial" w:hAnsi="Arial" w:cs="Arial"/>
          <w:lang w:val="en-US"/>
        </w:rPr>
        <w:t xml:space="preserve"> Influencing Marketing Strategy Figure </w:t>
      </w:r>
      <w:r w:rsidR="00246315" w:rsidRPr="00246315">
        <w:rPr>
          <w:rFonts w:ascii="Arial" w:hAnsi="Arial" w:cs="Arial"/>
          <w:lang w:val="en-US"/>
        </w:rPr>
        <w:t>2.4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Integrating the Four P’s of the Marketing Mix </w:t>
      </w:r>
      <w:r w:rsidR="00246315">
        <w:rPr>
          <w:rFonts w:ascii="Arial" w:hAnsi="Arial" w:cs="Arial"/>
          <w:lang w:val="en-US"/>
        </w:rPr>
        <w:t xml:space="preserve">Figure </w:t>
      </w:r>
      <w:r w:rsidRPr="00246315">
        <w:rPr>
          <w:rFonts w:ascii="Arial" w:hAnsi="Arial" w:cs="Arial"/>
          <w:lang w:val="en-US"/>
        </w:rPr>
        <w:t>2.5</w:t>
      </w:r>
    </w:p>
    <w:p w:rsidR="00246315" w:rsidRPr="00246315" w:rsidRDefault="00246315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CHAPTER 3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Components of a company’s MICRO (internal) Environment Figure 3.1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MACRO (external) Environment Figure 3.2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</w:rPr>
      </w:pP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4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Sustainable Marketing Figure 4.1 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Major Social &amp; Ethical Criticisms of Marketing P.109-115 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Consumerism &amp; Environmentalism P.119-120 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Ethical Issues Associated with Marketing Practices P. 131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Scope of the CMA’s Code of Ethics and Standards </w:t>
      </w:r>
      <w:r w:rsidRPr="00246315">
        <w:rPr>
          <w:rFonts w:ascii="Arial" w:hAnsi="Arial" w:cs="Arial"/>
          <w:lang w:val="en-US"/>
        </w:rPr>
        <w:tab/>
        <w:t>Table 4.2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5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The Marketing Information System (MIS) Figure 5.1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 xml:space="preserve">The Marketing Research Process Figure 5.2 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Planning Primary Data Collection Table 5.2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CHAPTER 6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4 sets of Factors Influencing Consumer </w:t>
      </w:r>
      <w:proofErr w:type="spellStart"/>
      <w:r w:rsidRPr="00246315">
        <w:rPr>
          <w:rFonts w:ascii="Arial" w:hAnsi="Arial" w:cs="Arial"/>
          <w:lang w:val="en-US"/>
        </w:rPr>
        <w:t>Behaviour</w:t>
      </w:r>
      <w:proofErr w:type="spellEnd"/>
      <w:r w:rsidRPr="00246315">
        <w:rPr>
          <w:rFonts w:ascii="Arial" w:hAnsi="Arial" w:cs="Arial"/>
          <w:lang w:val="en-US"/>
        </w:rPr>
        <w:t xml:space="preserve"> Figure 6.2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Maslow’s Hierarchy of Needs  Figure 6.3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 xml:space="preserve">4 Types of Buying Decision </w:t>
      </w:r>
      <w:proofErr w:type="spellStart"/>
      <w:r w:rsidRPr="00246315">
        <w:rPr>
          <w:rFonts w:ascii="Arial" w:hAnsi="Arial" w:cs="Arial"/>
          <w:lang w:val="en-US"/>
        </w:rPr>
        <w:t>Behaviour</w:t>
      </w:r>
      <w:proofErr w:type="spellEnd"/>
      <w:r w:rsidRPr="00246315">
        <w:rPr>
          <w:rFonts w:ascii="Arial" w:hAnsi="Arial" w:cs="Arial"/>
          <w:lang w:val="en-US"/>
        </w:rPr>
        <w:t>  Figure 6.4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5 Steps in Buyer Decision Process Figure 6.5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5 Stages in the Adoption Process P. 208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5 Groups in the Adoption Rate of Innovations</w:t>
      </w:r>
    </w:p>
    <w:p w:rsidR="000118B9" w:rsidRPr="00246315" w:rsidRDefault="000118B9" w:rsidP="00246315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n-US"/>
        </w:rPr>
      </w:pPr>
      <w:r w:rsidRPr="00246315">
        <w:rPr>
          <w:rFonts w:ascii="Arial" w:hAnsi="Arial" w:cs="Arial"/>
          <w:lang w:val="en-US"/>
        </w:rPr>
        <w:t>Figure 6.6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8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Steps in market segmentation, targeting and positioning Figure 8-1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4 Major Segmentation Bases Table 8.1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(</w:t>
      </w:r>
      <w:proofErr w:type="gramStart"/>
      <w:r w:rsidRPr="00246315">
        <w:rPr>
          <w:rFonts w:ascii="Arial" w:hAnsi="Arial" w:cs="Arial"/>
          <w:color w:val="000000"/>
          <w:lang w:val="en-US"/>
        </w:rPr>
        <w:t>sets</w:t>
      </w:r>
      <w:proofErr w:type="gramEnd"/>
      <w:r w:rsidRPr="00246315">
        <w:rPr>
          <w:rFonts w:ascii="Arial" w:hAnsi="Arial" w:cs="Arial"/>
          <w:color w:val="000000"/>
          <w:lang w:val="en-US"/>
        </w:rPr>
        <w:t xml:space="preserve"> of variables for Consumer markets) 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5 Requirements for Effective Segmentation P. 256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4 Target Market Strategies (broad to narrow) Figure 8.2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Positioning: Value Proposition &amp; Application Figure 8.4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9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3 Levels of Product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4 Basic Types of Consumer Products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4 Characteristics of Services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Major Branding Decisions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4 Brand Sponsorship Options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4 Brand Development Strategies</w:t>
      </w: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10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8 Stages in New Product Development Figure 10.1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Product Life Cycle: Sales &amp; Profits Curves Figure 10.2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:rsidR="000118B9" w:rsidRPr="00246315" w:rsidRDefault="000118B9" w:rsidP="00246315">
      <w:pPr>
        <w:tabs>
          <w:tab w:val="left" w:pos="909"/>
        </w:tabs>
        <w:jc w:val="both"/>
        <w:rPr>
          <w:rFonts w:ascii="Arial" w:hAnsi="Arial" w:cs="Arial"/>
        </w:rPr>
      </w:pPr>
      <w:r w:rsidRPr="00246315">
        <w:rPr>
          <w:rFonts w:ascii="Arial" w:hAnsi="Arial" w:cs="Arial"/>
          <w:color w:val="000000"/>
          <w:lang w:val="en-US"/>
        </w:rPr>
        <w:t>Product Life Cycle: Summary of Characteristics, Objectives, and Strategies Table 10.2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11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Considerations in Setting Price Figure 11.1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Cost-based vs. Value-based Pricing Figure 11.2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Types of Company Costs &amp; the Experience Curve P. 361-363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Price Elasticity of Demand Figure 11.6 P. 368-369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New Product Pricing Strategies: Skimming vs. Penetration P. 371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5 Product Mix Pricing Strategies Table 11.2</w:t>
      </w:r>
    </w:p>
    <w:p w:rsidR="000118B9" w:rsidRPr="00246315" w:rsidRDefault="000118B9" w:rsidP="00246315">
      <w:pPr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7 Price Adjustment Strategies Table 11.3</w:t>
      </w:r>
    </w:p>
    <w:p w:rsidR="000118B9" w:rsidRPr="00246315" w:rsidRDefault="000118B9" w:rsidP="00246315">
      <w:pPr>
        <w:jc w:val="both"/>
        <w:rPr>
          <w:rFonts w:ascii="Arial" w:hAnsi="Arial" w:cs="Arial"/>
          <w:color w:val="000000"/>
          <w:lang w:val="en-US"/>
        </w:rPr>
      </w:pP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12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Direct / Indirect Marketing Channels: Business &amp; Consumer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b/>
          <w:bCs/>
          <w:color w:val="000000"/>
          <w:lang w:val="en-US"/>
        </w:rPr>
        <w:t>(</w:t>
      </w:r>
      <w:proofErr w:type="gramStart"/>
      <w:r w:rsidRPr="00246315">
        <w:rPr>
          <w:rFonts w:ascii="Arial" w:hAnsi="Arial" w:cs="Arial"/>
          <w:b/>
          <w:bCs/>
          <w:color w:val="000000"/>
          <w:lang w:val="en-US"/>
        </w:rPr>
        <w:t>hint</w:t>
      </w:r>
      <w:proofErr w:type="gramEnd"/>
      <w:r w:rsidRPr="00246315">
        <w:rPr>
          <w:rFonts w:ascii="Arial" w:hAnsi="Arial" w:cs="Arial"/>
          <w:b/>
          <w:bCs/>
          <w:color w:val="000000"/>
          <w:lang w:val="en-US"/>
        </w:rPr>
        <w:t>: rotate illustration 90 degrees!)</w:t>
      </w:r>
      <w:r w:rsidRPr="00246315">
        <w:rPr>
          <w:rFonts w:ascii="Arial" w:hAnsi="Arial" w:cs="Arial"/>
          <w:color w:val="000000"/>
          <w:lang w:val="en-US"/>
        </w:rPr>
        <w:t xml:space="preserve"> Figure 12.2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Conventional vs. Vertical Marketing Channel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b/>
          <w:bCs/>
          <w:color w:val="000000"/>
          <w:lang w:val="en-US"/>
        </w:rPr>
        <w:t>(</w:t>
      </w:r>
      <w:proofErr w:type="gramStart"/>
      <w:r w:rsidRPr="00246315">
        <w:rPr>
          <w:rFonts w:ascii="Arial" w:hAnsi="Arial" w:cs="Arial"/>
          <w:b/>
          <w:bCs/>
          <w:color w:val="000000"/>
          <w:lang w:val="en-US"/>
        </w:rPr>
        <w:t>hint</w:t>
      </w:r>
      <w:proofErr w:type="gramEnd"/>
      <w:r w:rsidRPr="00246315">
        <w:rPr>
          <w:rFonts w:ascii="Arial" w:hAnsi="Arial" w:cs="Arial"/>
          <w:b/>
          <w:bCs/>
          <w:color w:val="000000"/>
          <w:lang w:val="en-US"/>
        </w:rPr>
        <w:t>: rotate illustration 90 degrees!)</w:t>
      </w:r>
      <w:r w:rsidRPr="00246315">
        <w:rPr>
          <w:rFonts w:ascii="Arial" w:hAnsi="Arial" w:cs="Arial"/>
          <w:color w:val="000000"/>
          <w:lang w:val="en-US"/>
        </w:rPr>
        <w:t xml:space="preserve"> Figure 12.3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Multi-Channel Distribution Centre Figure 12.4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Number of Intermediaries: 3 Distribution Options P. 412-413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Physical Distribution: logistics of Supply chain management</w:t>
      </w:r>
    </w:p>
    <w:p w:rsidR="000118B9" w:rsidRPr="00246315" w:rsidRDefault="000118B9" w:rsidP="00246315">
      <w:pPr>
        <w:jc w:val="both"/>
        <w:rPr>
          <w:rFonts w:ascii="Arial" w:hAnsi="Arial" w:cs="Arial"/>
        </w:rPr>
      </w:pPr>
      <w:r w:rsidRPr="00246315">
        <w:rPr>
          <w:rFonts w:ascii="Arial" w:hAnsi="Arial" w:cs="Arial"/>
          <w:color w:val="000000"/>
          <w:lang w:val="en-US"/>
        </w:rPr>
        <w:t>Figure 12.5</w:t>
      </w:r>
    </w:p>
    <w:p w:rsidR="000118B9" w:rsidRPr="00246315" w:rsidRDefault="000118B9" w:rsidP="00246315">
      <w:pPr>
        <w:jc w:val="both"/>
        <w:rPr>
          <w:rFonts w:ascii="Arial" w:hAnsi="Arial" w:cs="Arial"/>
        </w:rPr>
      </w:pP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14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bookmarkStart w:id="0" w:name="_GoBack"/>
      <w:r w:rsidRPr="00246315">
        <w:rPr>
          <w:rFonts w:ascii="Arial" w:hAnsi="Arial" w:cs="Arial"/>
          <w:color w:val="000000"/>
          <w:lang w:val="en-US"/>
        </w:rPr>
        <w:t>Role of 5 Tools in Communications / Promotion Mix P. 470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IMC: Integrated Marketing Communications P. 471 Figure 14.1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6 Elements in the Communication Process Figure 14.2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6 Steps in Sequence for Developing Communication Programs P. 478-483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 xml:space="preserve">6 Buyer Readiness Stages (re: Objectives) Figure 14.3 </w:t>
      </w:r>
    </w:p>
    <w:p w:rsidR="000118B9" w:rsidRPr="006F57BA" w:rsidRDefault="000118B9" w:rsidP="006F57BA">
      <w:pPr>
        <w:jc w:val="both"/>
        <w:rPr>
          <w:rFonts w:ascii="Arial" w:hAnsi="Arial" w:cs="Arial"/>
        </w:rPr>
      </w:pPr>
      <w:r w:rsidRPr="00246315">
        <w:rPr>
          <w:rFonts w:ascii="Arial" w:hAnsi="Arial" w:cs="Arial"/>
          <w:color w:val="000000"/>
          <w:lang w:val="en-US"/>
        </w:rPr>
        <w:t>4 Methods for Budget-Setting P. 485-48</w:t>
      </w:r>
    </w:p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Push vs. Pull strategy Figure 14.4</w:t>
      </w:r>
    </w:p>
    <w:bookmarkEnd w:id="0"/>
    <w:p w:rsidR="000118B9" w:rsidRPr="00246315" w:rsidRDefault="000118B9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15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5 Major Advertising Decisions Figure 15.1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3 Possible Advertising Objectives Table 15.1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9 Ad Message Execution styles P. 507-508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7 Advertising Media Types: Advantages / Limitations Table 15.2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Public Relations Functions &amp; Tools P. 519-522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16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6 Major Steps in Sales Force Management Figure 16.1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7 Major Steps in Personal Selling Figure 16.3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Major Sales Promotion Tools for</w:t>
      </w:r>
    </w:p>
    <w:p w:rsidR="00246315" w:rsidRPr="00246315" w:rsidRDefault="00246315" w:rsidP="00246315">
      <w:pPr>
        <w:jc w:val="both"/>
        <w:rPr>
          <w:rFonts w:ascii="Arial" w:hAnsi="Arial" w:cs="Arial"/>
        </w:rPr>
      </w:pPr>
      <w:r w:rsidRPr="00246315">
        <w:rPr>
          <w:rFonts w:ascii="Arial" w:hAnsi="Arial" w:cs="Arial"/>
          <w:color w:val="000000"/>
          <w:lang w:val="en-US"/>
        </w:rPr>
        <w:t>Consumer, Trade and Business Markets P. 551-556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17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8 Forms of Direct Marketing Figure 17.1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4 On-line Marketing Domains Figure 17.2</w:t>
      </w:r>
    </w:p>
    <w:p w:rsidR="00246315" w:rsidRPr="00246315" w:rsidRDefault="00246315" w:rsidP="00246315">
      <w:pPr>
        <w:jc w:val="both"/>
        <w:rPr>
          <w:rFonts w:ascii="Arial" w:hAnsi="Arial" w:cs="Arial"/>
        </w:rPr>
      </w:pPr>
      <w:r w:rsidRPr="00246315">
        <w:rPr>
          <w:rFonts w:ascii="Arial" w:hAnsi="Arial" w:cs="Arial"/>
          <w:color w:val="000000"/>
          <w:lang w:val="en-US"/>
        </w:rPr>
        <w:t>Set-up Requirements for On-Line Marketing Figure 17.3</w:t>
      </w:r>
    </w:p>
    <w:p w:rsidR="00246315" w:rsidRPr="00246315" w:rsidRDefault="00246315" w:rsidP="00246315">
      <w:pPr>
        <w:jc w:val="both"/>
        <w:rPr>
          <w:rFonts w:ascii="Arial" w:hAnsi="Arial" w:cs="Arial"/>
        </w:rPr>
      </w:pP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CHAPTER 19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Major International Marketing Decisions Figure 19.1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5 Indicators of International Market Potential (re: Environment) Table 19.1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246315">
        <w:rPr>
          <w:rFonts w:ascii="Arial" w:hAnsi="Arial" w:cs="Arial"/>
          <w:color w:val="000000"/>
          <w:lang w:val="en-US"/>
        </w:rPr>
        <w:t>3 Major Entry Strategies for International Markets Figure 19.2</w:t>
      </w:r>
    </w:p>
    <w:p w:rsidR="00246315" w:rsidRPr="00246315" w:rsidRDefault="00246315" w:rsidP="00246315">
      <w:pPr>
        <w:jc w:val="both"/>
        <w:rPr>
          <w:rFonts w:ascii="Arial" w:hAnsi="Arial" w:cs="Arial"/>
        </w:rPr>
      </w:pPr>
      <w:r w:rsidRPr="00246315">
        <w:rPr>
          <w:rFonts w:ascii="Arial" w:hAnsi="Arial" w:cs="Arial"/>
          <w:color w:val="000000"/>
          <w:lang w:val="en-US"/>
        </w:rPr>
        <w:t>5 International Product / Promotion Strategies Figure 19.3</w:t>
      </w:r>
    </w:p>
    <w:p w:rsidR="00246315" w:rsidRPr="00246315" w:rsidRDefault="00246315" w:rsidP="002463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:rsidR="00246315" w:rsidRDefault="004A6857" w:rsidP="002463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Know difference between product mix and marketing mix</w:t>
      </w:r>
    </w:p>
    <w:p w:rsidR="004A6857" w:rsidRPr="00246315" w:rsidRDefault="004A6857" w:rsidP="00246315">
      <w:pPr>
        <w:jc w:val="both"/>
        <w:rPr>
          <w:rFonts w:ascii="Arial" w:hAnsi="Arial" w:cs="Arial"/>
        </w:rPr>
      </w:pPr>
    </w:p>
    <w:sectPr w:rsidR="004A6857" w:rsidRPr="00246315" w:rsidSect="008B0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B9"/>
    <w:rsid w:val="000118B9"/>
    <w:rsid w:val="00246315"/>
    <w:rsid w:val="004A6857"/>
    <w:rsid w:val="006F57BA"/>
    <w:rsid w:val="008B0127"/>
    <w:rsid w:val="00D8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6B4C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8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B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8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B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604</Words>
  <Characters>3448</Characters>
  <Application>Microsoft Macintosh Word</Application>
  <DocSecurity>0</DocSecurity>
  <Lines>28</Lines>
  <Paragraphs>8</Paragraphs>
  <ScaleCrop>false</ScaleCrop>
  <Company/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Darwiche</dc:creator>
  <cp:keywords/>
  <dc:description/>
  <cp:lastModifiedBy>Cam Darwiche</cp:lastModifiedBy>
  <cp:revision>1</cp:revision>
  <dcterms:created xsi:type="dcterms:W3CDTF">2014-11-30T18:22:00Z</dcterms:created>
  <dcterms:modified xsi:type="dcterms:W3CDTF">2014-12-05T19:17:00Z</dcterms:modified>
</cp:coreProperties>
</file>