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341" w:type="dxa"/>
        <w:tblInd w:w="-856" w:type="dxa"/>
        <w:tblLook w:val="04A0" w:firstRow="1" w:lastRow="0" w:firstColumn="1" w:lastColumn="0" w:noHBand="0" w:noVBand="1"/>
      </w:tblPr>
      <w:tblGrid>
        <w:gridCol w:w="1277"/>
        <w:gridCol w:w="1134"/>
        <w:gridCol w:w="2835"/>
        <w:gridCol w:w="3543"/>
        <w:gridCol w:w="2552"/>
      </w:tblGrid>
      <w:tr w:rsidR="007D45A6" w:rsidTr="00DA3006">
        <w:tc>
          <w:tcPr>
            <w:tcW w:w="1277" w:type="dxa"/>
            <w:shd w:val="clear" w:color="auto" w:fill="C00000"/>
          </w:tcPr>
          <w:p w:rsidR="007D45A6" w:rsidRDefault="007D45A6" w:rsidP="00DA3006">
            <w:pPr>
              <w:jc w:val="center"/>
              <w:rPr>
                <w:b/>
                <w:sz w:val="24"/>
                <w:lang w:val="en-CA"/>
              </w:rPr>
            </w:pPr>
            <w:r>
              <w:rPr>
                <w:b/>
                <w:sz w:val="24"/>
                <w:lang w:val="en-CA"/>
              </w:rPr>
              <w:t>Course 9</w:t>
            </w:r>
          </w:p>
        </w:tc>
        <w:tc>
          <w:tcPr>
            <w:tcW w:w="1134" w:type="dxa"/>
            <w:shd w:val="clear" w:color="auto" w:fill="C00000"/>
          </w:tcPr>
          <w:p w:rsidR="007D45A6" w:rsidRDefault="007D45A6" w:rsidP="00DA3006">
            <w:pPr>
              <w:jc w:val="center"/>
              <w:rPr>
                <w:sz w:val="24"/>
                <w:lang w:val="en-CA"/>
              </w:rPr>
            </w:pPr>
            <w:r>
              <w:rPr>
                <w:sz w:val="24"/>
                <w:lang w:val="en-CA"/>
              </w:rPr>
              <w:t>Nov. 18</w:t>
            </w:r>
          </w:p>
        </w:tc>
        <w:tc>
          <w:tcPr>
            <w:tcW w:w="2835" w:type="dxa"/>
            <w:shd w:val="clear" w:color="auto" w:fill="C00000"/>
          </w:tcPr>
          <w:p w:rsidR="007D45A6" w:rsidRDefault="007D45A6" w:rsidP="00DA3006">
            <w:pPr>
              <w:rPr>
                <w:sz w:val="24"/>
                <w:lang w:val="en-CA"/>
              </w:rPr>
            </w:pPr>
            <w:r>
              <w:rPr>
                <w:sz w:val="24"/>
                <w:lang w:val="en-CA"/>
              </w:rPr>
              <w:t>Internet Law, Policy &amp; Governance</w:t>
            </w:r>
          </w:p>
        </w:tc>
        <w:tc>
          <w:tcPr>
            <w:tcW w:w="3543" w:type="dxa"/>
            <w:shd w:val="clear" w:color="auto" w:fill="C00000"/>
          </w:tcPr>
          <w:p w:rsidR="007D45A6" w:rsidRDefault="007D45A6" w:rsidP="00DA3006">
            <w:pPr>
              <w:rPr>
                <w:sz w:val="24"/>
                <w:lang w:val="en-CA"/>
              </w:rPr>
            </w:pPr>
            <w:r>
              <w:rPr>
                <w:sz w:val="24"/>
                <w:lang w:val="en-CA"/>
              </w:rPr>
              <w:t xml:space="preserve">Chapter 9: Internet Law, Policy, and Governance </w:t>
            </w:r>
          </w:p>
        </w:tc>
        <w:tc>
          <w:tcPr>
            <w:tcW w:w="2552" w:type="dxa"/>
            <w:shd w:val="clear" w:color="auto" w:fill="C00000"/>
          </w:tcPr>
          <w:p w:rsidR="007D45A6" w:rsidRDefault="007D45A6" w:rsidP="00DA3006">
            <w:pPr>
              <w:rPr>
                <w:sz w:val="24"/>
                <w:lang w:val="en-CA"/>
              </w:rPr>
            </w:pPr>
            <w:r>
              <w:rPr>
                <w:sz w:val="24"/>
                <w:lang w:val="en-CA"/>
              </w:rPr>
              <w:t>Who Controls the Internet?</w:t>
            </w:r>
          </w:p>
        </w:tc>
      </w:tr>
    </w:tbl>
    <w:p w:rsidR="007D45A6" w:rsidRPr="00B7048E" w:rsidRDefault="007D45A6" w:rsidP="007D45A6">
      <w:pPr>
        <w:rPr>
          <w:b/>
          <w:sz w:val="24"/>
          <w:lang w:val="en-CA"/>
        </w:rPr>
      </w:pPr>
      <w:r>
        <w:rPr>
          <w:b/>
          <w:sz w:val="24"/>
          <w:lang w:val="en-CA"/>
        </w:rPr>
        <w:t>Course 9</w:t>
      </w:r>
      <w:r w:rsidRPr="00B7048E">
        <w:rPr>
          <w:b/>
          <w:sz w:val="24"/>
          <w:lang w:val="en-CA"/>
        </w:rPr>
        <w:t>: November 18</w:t>
      </w:r>
      <w:r w:rsidRPr="00B7048E">
        <w:rPr>
          <w:b/>
          <w:sz w:val="24"/>
          <w:vertAlign w:val="superscript"/>
          <w:lang w:val="en-CA"/>
        </w:rPr>
        <w:t>th</w:t>
      </w:r>
      <w:r w:rsidRPr="00B7048E">
        <w:rPr>
          <w:b/>
          <w:sz w:val="24"/>
          <w:lang w:val="en-CA"/>
        </w:rPr>
        <w:t xml:space="preserve"> 2014</w:t>
      </w:r>
    </w:p>
    <w:p w:rsidR="007D45A6" w:rsidRPr="00B7048E" w:rsidRDefault="007D45A6" w:rsidP="007D45A6">
      <w:pPr>
        <w:pStyle w:val="Header"/>
        <w:rPr>
          <w:sz w:val="32"/>
          <w:lang w:val="en-CA"/>
        </w:rPr>
      </w:pPr>
      <w:r w:rsidRPr="007D45A6">
        <w:rPr>
          <w:b/>
          <w:sz w:val="24"/>
          <w:lang w:val="en-CA"/>
        </w:rPr>
        <w:t>INTERNET LAW, POLICY AND GOVERNMENT</w:t>
      </w:r>
    </w:p>
    <w:p w:rsidR="007D45A6" w:rsidRDefault="007D45A6" w:rsidP="007D45A6">
      <w:pPr>
        <w:rPr>
          <w:b/>
          <w:sz w:val="24"/>
          <w:lang w:val="en-CA"/>
        </w:rPr>
      </w:pPr>
    </w:p>
    <w:p w:rsidR="007D45A6" w:rsidRPr="00B7048E" w:rsidRDefault="007D45A6" w:rsidP="007D45A6">
      <w:pPr>
        <w:rPr>
          <w:sz w:val="24"/>
          <w:lang w:val="en-CA"/>
        </w:rPr>
      </w:pPr>
      <w:r w:rsidRPr="00B7048E">
        <w:rPr>
          <w:b/>
          <w:sz w:val="24"/>
          <w:lang w:val="en-CA"/>
        </w:rPr>
        <w:t>Learning objectives:</w:t>
      </w:r>
    </w:p>
    <w:p w:rsidR="007D45A6" w:rsidRPr="00B7048E" w:rsidRDefault="007D45A6" w:rsidP="007D45A6">
      <w:pPr>
        <w:rPr>
          <w:i/>
          <w:sz w:val="24"/>
          <w:lang w:val="en-CA"/>
        </w:rPr>
      </w:pPr>
      <w:r w:rsidRPr="00B7048E"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40DBAFFB" wp14:editId="46FAF4BE">
            <wp:simplePos x="0" y="0"/>
            <wp:positionH relativeFrom="margin">
              <wp:align>left</wp:align>
            </wp:positionH>
            <wp:positionV relativeFrom="paragraph">
              <wp:posOffset>36195</wp:posOffset>
            </wp:positionV>
            <wp:extent cx="6162675" cy="971550"/>
            <wp:effectExtent l="76200" t="25400" r="85725" b="44450"/>
            <wp:wrapNone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D45A6" w:rsidRPr="00B7048E" w:rsidRDefault="007D45A6" w:rsidP="007D45A6">
      <w:pPr>
        <w:rPr>
          <w:i/>
          <w:sz w:val="24"/>
          <w:lang w:val="en-CA"/>
        </w:rPr>
      </w:pPr>
    </w:p>
    <w:p w:rsidR="007D45A6" w:rsidRPr="00B7048E" w:rsidRDefault="007D45A6" w:rsidP="007D45A6">
      <w:pPr>
        <w:rPr>
          <w:i/>
          <w:sz w:val="24"/>
          <w:lang w:val="en-CA"/>
        </w:rPr>
      </w:pPr>
    </w:p>
    <w:p w:rsidR="007D45A6" w:rsidRPr="00B7048E" w:rsidRDefault="007D45A6" w:rsidP="007D45A6">
      <w:pPr>
        <w:rPr>
          <w:i/>
          <w:sz w:val="24"/>
          <w:lang w:val="en-CA"/>
        </w:rPr>
      </w:pPr>
    </w:p>
    <w:p w:rsidR="007D45A6" w:rsidRPr="00B7048E" w:rsidRDefault="007D45A6" w:rsidP="007D45A6">
      <w:pPr>
        <w:rPr>
          <w:sz w:val="24"/>
          <w:lang w:val="en-CA"/>
        </w:rPr>
      </w:pPr>
    </w:p>
    <w:p w:rsidR="007D45A6" w:rsidRDefault="007D45A6" w:rsidP="007D45A6">
      <w:pPr>
        <w:rPr>
          <w:sz w:val="32"/>
          <w:lang w:val="en-CA"/>
        </w:rPr>
      </w:pPr>
    </w:p>
    <w:p w:rsidR="007D45A6" w:rsidRPr="00EE407A" w:rsidRDefault="007D45A6" w:rsidP="007D45A6">
      <w:pPr>
        <w:rPr>
          <w:sz w:val="32"/>
          <w:lang w:val="en-CA"/>
        </w:rPr>
      </w:pPr>
      <w:r w:rsidRPr="00EE407A">
        <w:rPr>
          <w:sz w:val="32"/>
          <w:lang w:val="en-CA"/>
        </w:rPr>
        <w:t xml:space="preserve">Internet Law, Policy and Government </w:t>
      </w:r>
    </w:p>
    <w:p w:rsidR="007D45A6" w:rsidRDefault="007D45A6" w:rsidP="007D45A6">
      <w:pPr>
        <w:tabs>
          <w:tab w:val="left" w:pos="7605"/>
        </w:tabs>
        <w:rPr>
          <w:sz w:val="24"/>
          <w:lang w:val="en-CA"/>
        </w:rPr>
      </w:pPr>
      <w:r>
        <w:rPr>
          <w:sz w:val="24"/>
          <w:lang w:val="en-CA"/>
        </w:rPr>
        <w:tab/>
      </w:r>
    </w:p>
    <w:p w:rsidR="007D45A6" w:rsidRDefault="007D45A6" w:rsidP="007D45A6">
      <w:pPr>
        <w:rPr>
          <w:sz w:val="24"/>
          <w:lang w:val="en-CA"/>
        </w:rPr>
      </w:pPr>
      <w:r>
        <w:rPr>
          <w:sz w:val="24"/>
          <w:lang w:val="en-CA"/>
        </w:rPr>
        <w:t xml:space="preserve">Regulation can relate to </w:t>
      </w:r>
      <w:r w:rsidRPr="007D45A6">
        <w:rPr>
          <w:sz w:val="24"/>
          <w:u w:val="single"/>
          <w:shd w:val="clear" w:color="auto" w:fill="D60093"/>
          <w:lang w:val="en-CA"/>
        </w:rPr>
        <w:t>carriage</w:t>
      </w:r>
      <w:r w:rsidRPr="007D45A6">
        <w:rPr>
          <w:sz w:val="24"/>
          <w:u w:val="single"/>
          <w:lang w:val="en-CA"/>
        </w:rPr>
        <w:t xml:space="preserve"> </w:t>
      </w:r>
    </w:p>
    <w:p w:rsidR="007D45A6" w:rsidRDefault="007D45A6" w:rsidP="007D45A6">
      <w:pPr>
        <w:rPr>
          <w:sz w:val="24"/>
          <w:lang w:val="en-CA"/>
        </w:rPr>
      </w:pPr>
      <w:r>
        <w:rPr>
          <w:sz w:val="24"/>
          <w:lang w:val="en-CA"/>
        </w:rPr>
        <w:t xml:space="preserve">Regulation can relate to </w:t>
      </w:r>
      <w:r w:rsidRPr="007D45A6">
        <w:rPr>
          <w:sz w:val="24"/>
          <w:u w:val="single"/>
          <w:shd w:val="clear" w:color="auto" w:fill="CCFF33"/>
          <w:lang w:val="en-CA"/>
        </w:rPr>
        <w:t>content</w:t>
      </w:r>
      <w:r w:rsidRPr="007D45A6">
        <w:rPr>
          <w:sz w:val="24"/>
          <w:u w:val="single"/>
          <w:lang w:val="en-CA"/>
        </w:rPr>
        <w:t xml:space="preserve"> </w:t>
      </w:r>
    </w:p>
    <w:p w:rsidR="007D45A6" w:rsidRDefault="007D45A6" w:rsidP="007D45A6">
      <w:pPr>
        <w:rPr>
          <w:sz w:val="24"/>
          <w:lang w:val="en-CA"/>
        </w:rPr>
      </w:pPr>
    </w:p>
    <w:p w:rsidR="007D45A6" w:rsidRPr="007D45A6" w:rsidRDefault="007D45A6" w:rsidP="007D45A6">
      <w:pPr>
        <w:rPr>
          <w:b/>
          <w:sz w:val="24"/>
          <w:lang w:val="en-CA"/>
        </w:rPr>
      </w:pPr>
      <w:r w:rsidRPr="007D45A6">
        <w:rPr>
          <w:b/>
          <w:sz w:val="24"/>
          <w:lang w:val="en-CA"/>
        </w:rPr>
        <w:t>Regulation of media:</w:t>
      </w:r>
    </w:p>
    <w:p w:rsidR="007D45A6" w:rsidRDefault="007D45A6" w:rsidP="007D45A6">
      <w:pPr>
        <w:pStyle w:val="ListParagraph"/>
        <w:numPr>
          <w:ilvl w:val="0"/>
          <w:numId w:val="4"/>
        </w:numPr>
        <w:rPr>
          <w:sz w:val="24"/>
          <w:lang w:val="en-CA"/>
        </w:rPr>
      </w:pPr>
      <w:r>
        <w:rPr>
          <w:sz w:val="24"/>
          <w:lang w:val="en-CA"/>
        </w:rPr>
        <w:t xml:space="preserve">We focus on the regulation on traditional media (regulation of radio frequency) </w:t>
      </w:r>
    </w:p>
    <w:p w:rsidR="007D45A6" w:rsidRDefault="007D45A6" w:rsidP="007D45A6">
      <w:pPr>
        <w:pStyle w:val="ListParagraph"/>
        <w:numPr>
          <w:ilvl w:val="0"/>
          <w:numId w:val="4"/>
        </w:numPr>
        <w:rPr>
          <w:sz w:val="24"/>
          <w:lang w:val="en-CA"/>
        </w:rPr>
      </w:pPr>
      <w:proofErr w:type="gramStart"/>
      <w:r>
        <w:rPr>
          <w:sz w:val="24"/>
          <w:lang w:val="en-CA"/>
        </w:rPr>
        <w:t>mostly</w:t>
      </w:r>
      <w:proofErr w:type="gramEnd"/>
      <w:r>
        <w:rPr>
          <w:sz w:val="24"/>
          <w:lang w:val="en-CA"/>
        </w:rPr>
        <w:t xml:space="preserve"> television, networks and programming </w:t>
      </w:r>
    </w:p>
    <w:p w:rsidR="007D45A6" w:rsidRDefault="007D45A6" w:rsidP="007D45A6">
      <w:pPr>
        <w:pStyle w:val="ListParagraph"/>
        <w:numPr>
          <w:ilvl w:val="0"/>
          <w:numId w:val="4"/>
        </w:numPr>
        <w:rPr>
          <w:sz w:val="24"/>
          <w:lang w:val="en-CA"/>
        </w:rPr>
      </w:pPr>
      <w:proofErr w:type="gramStart"/>
      <w:r>
        <w:rPr>
          <w:sz w:val="24"/>
          <w:lang w:val="en-CA"/>
        </w:rPr>
        <w:t>and</w:t>
      </w:r>
      <w:proofErr w:type="gramEnd"/>
      <w:r>
        <w:rPr>
          <w:sz w:val="24"/>
          <w:lang w:val="en-CA"/>
        </w:rPr>
        <w:t xml:space="preserve"> in the context pre- internet </w:t>
      </w:r>
    </w:p>
    <w:p w:rsidR="007D45A6" w:rsidRDefault="007D45A6" w:rsidP="007D45A6">
      <w:pPr>
        <w:pStyle w:val="ListParagraph"/>
        <w:numPr>
          <w:ilvl w:val="0"/>
          <w:numId w:val="4"/>
        </w:numPr>
        <w:rPr>
          <w:sz w:val="24"/>
          <w:lang w:val="en-CA"/>
        </w:rPr>
      </w:pPr>
    </w:p>
    <w:p w:rsidR="007D45A6" w:rsidRDefault="007D45A6" w:rsidP="007D45A6">
      <w:pPr>
        <w:rPr>
          <w:sz w:val="24"/>
          <w:lang w:val="en-CA"/>
        </w:rPr>
      </w:pPr>
      <w:r w:rsidRPr="007D45A6">
        <w:rPr>
          <w:sz w:val="44"/>
          <w:lang w:val="en-CA"/>
        </w:rPr>
        <w:t xml:space="preserve">CRTC: </w:t>
      </w:r>
      <w:r>
        <w:rPr>
          <w:sz w:val="24"/>
          <w:lang w:val="en-CA"/>
        </w:rPr>
        <w:t xml:space="preserve">regulated the radio frequencies </w:t>
      </w:r>
    </w:p>
    <w:p w:rsidR="007D45A6" w:rsidRDefault="007D45A6" w:rsidP="007D45A6">
      <w:pPr>
        <w:rPr>
          <w:sz w:val="24"/>
          <w:lang w:val="en-CA"/>
        </w:rPr>
      </w:pPr>
      <w:r w:rsidRPr="003C610B">
        <w:rPr>
          <w:sz w:val="24"/>
          <w:highlight w:val="yellow"/>
          <w:lang w:val="en-CA"/>
        </w:rPr>
        <w:t>C</w:t>
      </w:r>
      <w:r>
        <w:rPr>
          <w:sz w:val="24"/>
          <w:lang w:val="en-CA"/>
        </w:rPr>
        <w:t xml:space="preserve">anadian </w:t>
      </w:r>
      <w:r w:rsidRPr="003C610B">
        <w:rPr>
          <w:sz w:val="24"/>
          <w:highlight w:val="yellow"/>
          <w:lang w:val="en-CA"/>
        </w:rPr>
        <w:t>R</w:t>
      </w:r>
      <w:r>
        <w:rPr>
          <w:sz w:val="24"/>
          <w:lang w:val="en-CA"/>
        </w:rPr>
        <w:t xml:space="preserve">adio-television and </w:t>
      </w:r>
      <w:r w:rsidRPr="003C610B">
        <w:rPr>
          <w:sz w:val="24"/>
          <w:highlight w:val="yellow"/>
          <w:lang w:val="en-CA"/>
        </w:rPr>
        <w:t>T</w:t>
      </w:r>
      <w:r>
        <w:rPr>
          <w:sz w:val="24"/>
          <w:lang w:val="en-CA"/>
        </w:rPr>
        <w:t xml:space="preserve">elecommunications </w:t>
      </w:r>
      <w:r w:rsidRPr="003C610B">
        <w:rPr>
          <w:sz w:val="24"/>
          <w:highlight w:val="yellow"/>
          <w:lang w:val="en-CA"/>
        </w:rPr>
        <w:t>C</w:t>
      </w:r>
      <w:r>
        <w:rPr>
          <w:sz w:val="24"/>
          <w:lang w:val="en-CA"/>
        </w:rPr>
        <w:t xml:space="preserve">ommission </w:t>
      </w:r>
    </w:p>
    <w:p w:rsidR="007D45A6" w:rsidRDefault="007D45A6" w:rsidP="007D45A6">
      <w:pPr>
        <w:pStyle w:val="ListParagraph"/>
        <w:numPr>
          <w:ilvl w:val="0"/>
          <w:numId w:val="1"/>
        </w:numPr>
        <w:rPr>
          <w:sz w:val="24"/>
          <w:lang w:val="en-CA"/>
        </w:rPr>
      </w:pPr>
      <w:proofErr w:type="gramStart"/>
      <w:r>
        <w:rPr>
          <w:sz w:val="24"/>
          <w:lang w:val="en-CA"/>
        </w:rPr>
        <w:t>created</w:t>
      </w:r>
      <w:proofErr w:type="gramEnd"/>
      <w:r>
        <w:rPr>
          <w:sz w:val="24"/>
          <w:lang w:val="en-CA"/>
        </w:rPr>
        <w:t xml:space="preserve"> in 1932 </w:t>
      </w:r>
    </w:p>
    <w:p w:rsidR="007D45A6" w:rsidRDefault="007D45A6" w:rsidP="007D45A6">
      <w:pPr>
        <w:pStyle w:val="ListParagraph"/>
        <w:numPr>
          <w:ilvl w:val="0"/>
          <w:numId w:val="1"/>
        </w:numPr>
        <w:rPr>
          <w:sz w:val="24"/>
          <w:lang w:val="en-CA"/>
        </w:rPr>
      </w:pPr>
      <w:proofErr w:type="gramStart"/>
      <w:r>
        <w:rPr>
          <w:sz w:val="24"/>
          <w:lang w:val="en-CA"/>
        </w:rPr>
        <w:t>they</w:t>
      </w:r>
      <w:proofErr w:type="gramEnd"/>
      <w:r>
        <w:rPr>
          <w:sz w:val="24"/>
          <w:lang w:val="en-CA"/>
        </w:rPr>
        <w:t xml:space="preserve"> had overlapping frequency so they required them to register with them and made sure everyone had their own broadcasting frequency </w:t>
      </w:r>
    </w:p>
    <w:p w:rsidR="007D45A6" w:rsidRPr="003C610B" w:rsidRDefault="007D45A6" w:rsidP="007D45A6">
      <w:pPr>
        <w:pStyle w:val="ListParagraph"/>
        <w:numPr>
          <w:ilvl w:val="0"/>
          <w:numId w:val="1"/>
        </w:numPr>
        <w:rPr>
          <w:sz w:val="24"/>
          <w:lang w:val="en-CA"/>
        </w:rPr>
      </w:pPr>
      <w:proofErr w:type="gramStart"/>
      <w:r>
        <w:rPr>
          <w:sz w:val="24"/>
          <w:lang w:val="en-CA"/>
        </w:rPr>
        <w:t>it</w:t>
      </w:r>
      <w:proofErr w:type="gramEnd"/>
      <w:r>
        <w:rPr>
          <w:sz w:val="24"/>
          <w:lang w:val="en-CA"/>
        </w:rPr>
        <w:t xml:space="preserve"> was the reflection of the  regulation of carriage </w:t>
      </w:r>
    </w:p>
    <w:p w:rsidR="007D45A6" w:rsidRDefault="007D45A6" w:rsidP="007D45A6">
      <w:pPr>
        <w:rPr>
          <w:sz w:val="24"/>
          <w:lang w:val="en-CA"/>
        </w:rPr>
      </w:pPr>
    </w:p>
    <w:p w:rsidR="007D45A6" w:rsidRDefault="007D45A6" w:rsidP="007D45A6">
      <w:pPr>
        <w:rPr>
          <w:sz w:val="24"/>
          <w:lang w:val="en-CA"/>
        </w:rPr>
      </w:pPr>
      <w:r w:rsidRPr="007D45A6">
        <w:rPr>
          <w:sz w:val="24"/>
          <w:shd w:val="clear" w:color="auto" w:fill="D60093"/>
          <w:lang w:val="en-CA"/>
        </w:rPr>
        <w:t>CARRIAGE</w:t>
      </w:r>
      <w:r>
        <w:rPr>
          <w:sz w:val="24"/>
          <w:lang w:val="en-CA"/>
        </w:rPr>
        <w:t xml:space="preserve"> – </w:t>
      </w:r>
      <w:r w:rsidRPr="007D45A6">
        <w:rPr>
          <w:b/>
          <w:sz w:val="24"/>
          <w:lang w:val="en-CA"/>
        </w:rPr>
        <w:t>how</w:t>
      </w:r>
      <w:r>
        <w:rPr>
          <w:sz w:val="24"/>
          <w:lang w:val="en-CA"/>
        </w:rPr>
        <w:t xml:space="preserve"> to regulate media </w:t>
      </w:r>
    </w:p>
    <w:p w:rsidR="007D45A6" w:rsidRDefault="007D45A6" w:rsidP="007D45A6">
      <w:pPr>
        <w:rPr>
          <w:sz w:val="24"/>
          <w:lang w:val="en-CA"/>
        </w:rPr>
      </w:pPr>
    </w:p>
    <w:p w:rsidR="007D45A6" w:rsidRDefault="007D45A6" w:rsidP="007D45A6">
      <w:pPr>
        <w:rPr>
          <w:sz w:val="24"/>
          <w:lang w:val="en-CA"/>
        </w:rPr>
      </w:pPr>
      <w:r w:rsidRPr="007D45A6">
        <w:rPr>
          <w:sz w:val="24"/>
          <w:shd w:val="clear" w:color="auto" w:fill="CCFF33"/>
          <w:lang w:val="en-CA"/>
        </w:rPr>
        <w:t>CONTENT</w:t>
      </w:r>
      <w:r>
        <w:rPr>
          <w:sz w:val="24"/>
          <w:lang w:val="en-CA"/>
        </w:rPr>
        <w:t xml:space="preserve"> – </w:t>
      </w:r>
      <w:r w:rsidRPr="007D45A6">
        <w:rPr>
          <w:b/>
          <w:sz w:val="24"/>
          <w:lang w:val="en-CA"/>
        </w:rPr>
        <w:t>what</w:t>
      </w:r>
      <w:r>
        <w:rPr>
          <w:sz w:val="24"/>
          <w:lang w:val="en-CA"/>
        </w:rPr>
        <w:t xml:space="preserve"> are we showing (on </w:t>
      </w:r>
      <w:proofErr w:type="spellStart"/>
      <w:r>
        <w:rPr>
          <w:sz w:val="24"/>
          <w:lang w:val="en-CA"/>
        </w:rPr>
        <w:t>tv</w:t>
      </w:r>
      <w:proofErr w:type="spellEnd"/>
      <w:r>
        <w:rPr>
          <w:sz w:val="24"/>
          <w:lang w:val="en-CA"/>
        </w:rPr>
        <w:t xml:space="preserve">) and how do we regulate this </w:t>
      </w:r>
    </w:p>
    <w:p w:rsidR="007D45A6" w:rsidRDefault="007D45A6" w:rsidP="007D45A6">
      <w:pPr>
        <w:rPr>
          <w:sz w:val="24"/>
          <w:lang w:val="en-CA"/>
        </w:rPr>
      </w:pPr>
    </w:p>
    <w:p w:rsidR="007D45A6" w:rsidRDefault="007D45A6" w:rsidP="007D45A6">
      <w:pPr>
        <w:rPr>
          <w:sz w:val="24"/>
          <w:lang w:val="en-CA"/>
        </w:rPr>
      </w:pPr>
      <w:r>
        <w:rPr>
          <w:sz w:val="24"/>
          <w:lang w:val="en-CA"/>
        </w:rPr>
        <w:t xml:space="preserve">We saw the increase of the regulation of media. </w:t>
      </w:r>
    </w:p>
    <w:p w:rsidR="007D45A6" w:rsidRDefault="007D45A6" w:rsidP="007D45A6">
      <w:pPr>
        <w:rPr>
          <w:sz w:val="24"/>
          <w:lang w:val="en-CA"/>
        </w:rPr>
      </w:pPr>
    </w:p>
    <w:p w:rsidR="007D45A6" w:rsidRDefault="007D45A6" w:rsidP="007D45A6">
      <w:pPr>
        <w:rPr>
          <w:sz w:val="24"/>
          <w:lang w:val="en-CA"/>
        </w:rPr>
      </w:pPr>
      <w:r w:rsidRPr="007D45A6">
        <w:rPr>
          <w:b/>
          <w:color w:val="00B0F0"/>
          <w:sz w:val="24"/>
          <w:lang w:val="en-CA"/>
        </w:rPr>
        <w:t>(1932)</w:t>
      </w:r>
      <w:r w:rsidRPr="007D45A6">
        <w:rPr>
          <w:color w:val="00B0F0"/>
          <w:sz w:val="24"/>
          <w:lang w:val="en-CA"/>
        </w:rPr>
        <w:t xml:space="preserve"> </w:t>
      </w:r>
      <w:r>
        <w:rPr>
          <w:sz w:val="24"/>
          <w:lang w:val="en-CA"/>
        </w:rPr>
        <w:t>– CRTC</w:t>
      </w:r>
    </w:p>
    <w:p w:rsidR="007D45A6" w:rsidRDefault="007D45A6" w:rsidP="007D45A6">
      <w:pPr>
        <w:rPr>
          <w:sz w:val="24"/>
          <w:lang w:val="en-CA"/>
        </w:rPr>
      </w:pPr>
      <w:r w:rsidRPr="007D45A6">
        <w:rPr>
          <w:b/>
          <w:color w:val="00B0F0"/>
          <w:sz w:val="24"/>
          <w:lang w:val="en-CA"/>
        </w:rPr>
        <w:t>(</w:t>
      </w:r>
      <w:proofErr w:type="gramStart"/>
      <w:r w:rsidRPr="007D45A6">
        <w:rPr>
          <w:b/>
          <w:color w:val="00B0F0"/>
          <w:sz w:val="24"/>
          <w:lang w:val="en-CA"/>
        </w:rPr>
        <w:t>late</w:t>
      </w:r>
      <w:proofErr w:type="gramEnd"/>
      <w:r w:rsidRPr="007D45A6">
        <w:rPr>
          <w:b/>
          <w:color w:val="00B0F0"/>
          <w:sz w:val="24"/>
          <w:lang w:val="en-CA"/>
        </w:rPr>
        <w:t xml:space="preserve"> 1970’s till today)</w:t>
      </w:r>
      <w:r w:rsidRPr="007D45A6">
        <w:rPr>
          <w:color w:val="00B0F0"/>
          <w:sz w:val="24"/>
          <w:lang w:val="en-CA"/>
        </w:rPr>
        <w:t xml:space="preserve"> </w:t>
      </w:r>
      <w:r>
        <w:rPr>
          <w:sz w:val="24"/>
          <w:lang w:val="en-CA"/>
        </w:rPr>
        <w:t>– election of conservative PM’s and were all focused on de-regulation (Regan, Mulroney)</w:t>
      </w:r>
    </w:p>
    <w:p w:rsidR="007D45A6" w:rsidRDefault="007D45A6" w:rsidP="007D45A6">
      <w:pPr>
        <w:rPr>
          <w:sz w:val="24"/>
          <w:lang w:val="en-CA"/>
        </w:rPr>
      </w:pPr>
      <w:r w:rsidRPr="007D45A6">
        <w:rPr>
          <w:b/>
          <w:color w:val="00B0F0"/>
          <w:sz w:val="24"/>
          <w:lang w:val="en-CA"/>
        </w:rPr>
        <w:t>(1995)</w:t>
      </w:r>
      <w:r w:rsidRPr="007D45A6">
        <w:rPr>
          <w:color w:val="00B0F0"/>
          <w:sz w:val="24"/>
          <w:lang w:val="en-CA"/>
        </w:rPr>
        <w:t xml:space="preserve"> </w:t>
      </w:r>
      <w:r>
        <w:rPr>
          <w:sz w:val="24"/>
          <w:lang w:val="en-CA"/>
        </w:rPr>
        <w:t xml:space="preserve">– </w:t>
      </w:r>
      <w:proofErr w:type="gramStart"/>
      <w:r>
        <w:rPr>
          <w:sz w:val="24"/>
          <w:lang w:val="en-CA"/>
        </w:rPr>
        <w:t>the</w:t>
      </w:r>
      <w:proofErr w:type="gramEnd"/>
      <w:r>
        <w:rPr>
          <w:sz w:val="24"/>
          <w:lang w:val="en-CA"/>
        </w:rPr>
        <w:t xml:space="preserve"> emergence of the Internet we had questions on how the internet would be regulated </w:t>
      </w:r>
    </w:p>
    <w:p w:rsidR="007D45A6" w:rsidRDefault="007D45A6" w:rsidP="007D45A6">
      <w:pPr>
        <w:rPr>
          <w:sz w:val="24"/>
          <w:lang w:val="en-CA"/>
        </w:rPr>
      </w:pPr>
    </w:p>
    <w:p w:rsidR="007D45A6" w:rsidRDefault="007D45A6" w:rsidP="007D45A6">
      <w:pPr>
        <w:rPr>
          <w:sz w:val="24"/>
          <w:lang w:val="en-CA"/>
        </w:rPr>
      </w:pPr>
    </w:p>
    <w:p w:rsidR="007D45A6" w:rsidRPr="007D45A6" w:rsidRDefault="007D45A6" w:rsidP="007D45A6">
      <w:pPr>
        <w:rPr>
          <w:sz w:val="28"/>
          <w:u w:val="single"/>
          <w:lang w:val="en-CA"/>
        </w:rPr>
      </w:pPr>
      <w:r w:rsidRPr="007D45A6">
        <w:rPr>
          <w:sz w:val="28"/>
          <w:u w:val="single"/>
          <w:lang w:val="en-CA"/>
        </w:rPr>
        <w:lastRenderedPageBreak/>
        <w:t xml:space="preserve">Carriage vs. content </w:t>
      </w:r>
    </w:p>
    <w:p w:rsidR="007D45A6" w:rsidRDefault="007D45A6" w:rsidP="007D45A6">
      <w:pPr>
        <w:pStyle w:val="ListParagraph"/>
        <w:numPr>
          <w:ilvl w:val="0"/>
          <w:numId w:val="2"/>
        </w:numPr>
        <w:rPr>
          <w:sz w:val="24"/>
          <w:lang w:val="en-CA"/>
        </w:rPr>
      </w:pPr>
      <w:proofErr w:type="gramStart"/>
      <w:r w:rsidRPr="007D45A6">
        <w:rPr>
          <w:sz w:val="24"/>
          <w:shd w:val="clear" w:color="auto" w:fill="D60093"/>
          <w:lang w:val="en-CA"/>
        </w:rPr>
        <w:t>carriage</w:t>
      </w:r>
      <w:proofErr w:type="gramEnd"/>
      <w:r>
        <w:rPr>
          <w:sz w:val="24"/>
          <w:lang w:val="en-CA"/>
        </w:rPr>
        <w:t xml:space="preserve"> can be looked upon the emergence of telephone services (basic landline phones)</w:t>
      </w:r>
    </w:p>
    <w:p w:rsidR="007D45A6" w:rsidRDefault="007D45A6" w:rsidP="007D45A6">
      <w:pPr>
        <w:pStyle w:val="ListParagraph"/>
        <w:numPr>
          <w:ilvl w:val="1"/>
          <w:numId w:val="2"/>
        </w:numPr>
        <w:rPr>
          <w:sz w:val="24"/>
          <w:lang w:val="en-CA"/>
        </w:rPr>
      </w:pPr>
      <w:proofErr w:type="gramStart"/>
      <w:r>
        <w:rPr>
          <w:sz w:val="24"/>
          <w:lang w:val="en-CA"/>
        </w:rPr>
        <w:t>bell</w:t>
      </w:r>
      <w:proofErr w:type="gramEnd"/>
      <w:r>
        <w:rPr>
          <w:sz w:val="24"/>
          <w:lang w:val="en-CA"/>
        </w:rPr>
        <w:t xml:space="preserve"> Canada couldn’t just service in the city’s… they made sure that all Canadians had access to a telephone = example of regulations and rules of how new tech is regulated. </w:t>
      </w:r>
    </w:p>
    <w:p w:rsidR="007D45A6" w:rsidRDefault="007D45A6" w:rsidP="007D45A6">
      <w:pPr>
        <w:rPr>
          <w:sz w:val="24"/>
          <w:lang w:val="en-CA"/>
        </w:rPr>
      </w:pPr>
      <w:r w:rsidRPr="008E3F20">
        <w:rPr>
          <w:sz w:val="24"/>
          <w:lang w:val="en-CA"/>
        </w:rPr>
        <w:t>“</w:t>
      </w:r>
      <w:proofErr w:type="gramStart"/>
      <w:r w:rsidRPr="008E3F20">
        <w:rPr>
          <w:sz w:val="24"/>
          <w:lang w:val="en-CA"/>
        </w:rPr>
        <w:t>there</w:t>
      </w:r>
      <w:proofErr w:type="gramEnd"/>
      <w:r w:rsidRPr="008E3F20">
        <w:rPr>
          <w:sz w:val="24"/>
          <w:lang w:val="en-CA"/>
        </w:rPr>
        <w:t xml:space="preserve"> are values that are best shared through regulations”</w:t>
      </w:r>
    </w:p>
    <w:p w:rsidR="007D45A6" w:rsidRDefault="007D45A6" w:rsidP="007D45A6">
      <w:pPr>
        <w:rPr>
          <w:sz w:val="24"/>
          <w:lang w:val="en-CA"/>
        </w:rPr>
      </w:pPr>
    </w:p>
    <w:p w:rsidR="007D45A6" w:rsidRDefault="007D45A6" w:rsidP="007D45A6">
      <w:pPr>
        <w:pStyle w:val="ListParagraph"/>
        <w:numPr>
          <w:ilvl w:val="0"/>
          <w:numId w:val="2"/>
        </w:numPr>
        <w:rPr>
          <w:sz w:val="24"/>
          <w:lang w:val="en-CA"/>
        </w:rPr>
      </w:pPr>
      <w:proofErr w:type="gramStart"/>
      <w:r w:rsidRPr="007D45A6">
        <w:rPr>
          <w:sz w:val="24"/>
          <w:shd w:val="clear" w:color="auto" w:fill="CCFF33"/>
          <w:lang w:val="en-CA"/>
        </w:rPr>
        <w:t>content</w:t>
      </w:r>
      <w:proofErr w:type="gramEnd"/>
      <w:r>
        <w:rPr>
          <w:sz w:val="24"/>
          <w:lang w:val="en-CA"/>
        </w:rPr>
        <w:t xml:space="preserve"> has the same public interest at heart but deals with the issue of what it is we are viewing. </w:t>
      </w:r>
    </w:p>
    <w:p w:rsidR="007D45A6" w:rsidRDefault="007D45A6" w:rsidP="007D45A6">
      <w:pPr>
        <w:pStyle w:val="ListParagraph"/>
        <w:numPr>
          <w:ilvl w:val="1"/>
          <w:numId w:val="2"/>
        </w:numPr>
        <w:rPr>
          <w:sz w:val="24"/>
          <w:lang w:val="en-CA"/>
        </w:rPr>
      </w:pPr>
      <w:r>
        <w:rPr>
          <w:sz w:val="24"/>
          <w:lang w:val="en-CA"/>
        </w:rPr>
        <w:t xml:space="preserve">Regulation of </w:t>
      </w:r>
    </w:p>
    <w:p w:rsidR="007D45A6" w:rsidRPr="00170910" w:rsidRDefault="007D45A6" w:rsidP="007D45A6">
      <w:pPr>
        <w:pStyle w:val="ListParagraph"/>
        <w:numPr>
          <w:ilvl w:val="2"/>
          <w:numId w:val="2"/>
        </w:numPr>
        <w:rPr>
          <w:b/>
          <w:sz w:val="24"/>
          <w:lang w:val="en-CA"/>
        </w:rPr>
      </w:pPr>
      <w:proofErr w:type="gramStart"/>
      <w:r w:rsidRPr="00170910">
        <w:rPr>
          <w:b/>
          <w:sz w:val="24"/>
          <w:lang w:val="en-CA"/>
        </w:rPr>
        <w:t>advertising</w:t>
      </w:r>
      <w:proofErr w:type="gramEnd"/>
      <w:r w:rsidRPr="00170910">
        <w:rPr>
          <w:b/>
          <w:sz w:val="24"/>
          <w:lang w:val="en-CA"/>
        </w:rPr>
        <w:t xml:space="preserve"> to children </w:t>
      </w:r>
    </w:p>
    <w:p w:rsidR="007D45A6" w:rsidRPr="008E3F20" w:rsidRDefault="007D45A6" w:rsidP="007D45A6">
      <w:pPr>
        <w:pStyle w:val="ListParagraph"/>
        <w:numPr>
          <w:ilvl w:val="2"/>
          <w:numId w:val="2"/>
        </w:numPr>
        <w:rPr>
          <w:b/>
          <w:sz w:val="24"/>
          <w:lang w:val="en-CA"/>
        </w:rPr>
      </w:pPr>
      <w:r w:rsidRPr="008E3F20">
        <w:rPr>
          <w:b/>
          <w:sz w:val="24"/>
          <w:lang w:val="en-CA"/>
        </w:rPr>
        <w:t xml:space="preserve">Canadian content </w:t>
      </w:r>
    </w:p>
    <w:p w:rsidR="007D45A6" w:rsidRDefault="007D45A6" w:rsidP="007D45A6">
      <w:pPr>
        <w:rPr>
          <w:i/>
          <w:sz w:val="24"/>
          <w:lang w:val="en-CA"/>
        </w:rPr>
      </w:pPr>
    </w:p>
    <w:p w:rsidR="007D45A6" w:rsidRPr="008E3F20" w:rsidRDefault="007D45A6" w:rsidP="007D45A6">
      <w:pPr>
        <w:rPr>
          <w:i/>
          <w:sz w:val="24"/>
          <w:lang w:val="en-CA"/>
        </w:rPr>
      </w:pPr>
      <w:r w:rsidRPr="008E3F20">
        <w:rPr>
          <w:i/>
          <w:sz w:val="24"/>
          <w:lang w:val="en-CA"/>
        </w:rPr>
        <w:t>Why might the Canadian regulator care about Canadian content?</w:t>
      </w:r>
    </w:p>
    <w:p w:rsidR="007D45A6" w:rsidRPr="008E3F20" w:rsidRDefault="007D45A6" w:rsidP="007D45A6">
      <w:pPr>
        <w:pStyle w:val="ListParagraph"/>
        <w:numPr>
          <w:ilvl w:val="0"/>
          <w:numId w:val="5"/>
        </w:numPr>
        <w:rPr>
          <w:sz w:val="24"/>
          <w:lang w:val="en-CA"/>
        </w:rPr>
      </w:pPr>
      <w:r w:rsidRPr="008E3F20">
        <w:rPr>
          <w:sz w:val="24"/>
          <w:lang w:val="en-CA"/>
        </w:rPr>
        <w:t xml:space="preserve">The issue = we regulate for Canadian content because there’s a perception that we are different as Canadians </w:t>
      </w:r>
    </w:p>
    <w:p w:rsidR="007D45A6" w:rsidRPr="008E3F20" w:rsidRDefault="007D45A6" w:rsidP="007D45A6">
      <w:pPr>
        <w:pStyle w:val="ListParagraph"/>
        <w:numPr>
          <w:ilvl w:val="0"/>
          <w:numId w:val="5"/>
        </w:numPr>
        <w:rPr>
          <w:sz w:val="24"/>
          <w:lang w:val="en-CA"/>
        </w:rPr>
      </w:pPr>
      <w:r w:rsidRPr="008E3F20">
        <w:rPr>
          <w:sz w:val="24"/>
          <w:lang w:val="en-CA"/>
        </w:rPr>
        <w:t xml:space="preserve">We are located next to the </w:t>
      </w:r>
      <w:proofErr w:type="gramStart"/>
      <w:r w:rsidRPr="008E3F20">
        <w:rPr>
          <w:sz w:val="24"/>
          <w:lang w:val="en-CA"/>
        </w:rPr>
        <w:t>states that has</w:t>
      </w:r>
      <w:proofErr w:type="gramEnd"/>
      <w:r w:rsidRPr="008E3F20">
        <w:rPr>
          <w:sz w:val="24"/>
          <w:lang w:val="en-CA"/>
        </w:rPr>
        <w:t xml:space="preserve"> a much bigger economy that creates larger, bigger content. </w:t>
      </w:r>
    </w:p>
    <w:p w:rsidR="007D45A6" w:rsidRDefault="007D45A6" w:rsidP="007D45A6">
      <w:pPr>
        <w:pStyle w:val="ListParagraph"/>
        <w:numPr>
          <w:ilvl w:val="1"/>
          <w:numId w:val="1"/>
        </w:numPr>
        <w:rPr>
          <w:sz w:val="24"/>
          <w:lang w:val="en-CA"/>
        </w:rPr>
      </w:pPr>
      <w:r w:rsidRPr="008E3F20">
        <w:rPr>
          <w:sz w:val="24"/>
          <w:lang w:val="en-CA"/>
        </w:rPr>
        <w:t xml:space="preserve">If we didn’t have regulations (quotas) where we need to have a certain amount of Canadian content to ensure a Canadian industry at all… </w:t>
      </w:r>
      <w:proofErr w:type="spellStart"/>
      <w:r w:rsidRPr="008E3F20">
        <w:rPr>
          <w:sz w:val="24"/>
          <w:lang w:val="en-CA"/>
        </w:rPr>
        <w:t>sinon</w:t>
      </w:r>
      <w:proofErr w:type="spellEnd"/>
      <w:r w:rsidRPr="008E3F20">
        <w:rPr>
          <w:sz w:val="24"/>
          <w:lang w:val="en-CA"/>
        </w:rPr>
        <w:t xml:space="preserve"> we wouldn’t succeed. We need a Canadian industry. </w:t>
      </w:r>
    </w:p>
    <w:p w:rsidR="007D45A6" w:rsidRPr="00170910" w:rsidRDefault="007D45A6" w:rsidP="007D45A6">
      <w:pPr>
        <w:pStyle w:val="ListParagraph"/>
        <w:numPr>
          <w:ilvl w:val="0"/>
          <w:numId w:val="5"/>
        </w:numPr>
        <w:rPr>
          <w:sz w:val="24"/>
          <w:lang w:val="en-CA"/>
        </w:rPr>
      </w:pPr>
      <w:r>
        <w:rPr>
          <w:sz w:val="24"/>
          <w:lang w:val="en-CA"/>
        </w:rPr>
        <w:t xml:space="preserve">French culture they need to ensure there is a support for French industries otherwise they would not survive. </w:t>
      </w:r>
    </w:p>
    <w:p w:rsidR="007D45A6" w:rsidRPr="00170910" w:rsidRDefault="007D45A6" w:rsidP="007D45A6">
      <w:pPr>
        <w:rPr>
          <w:i/>
          <w:sz w:val="24"/>
          <w:lang w:val="en-CA"/>
        </w:rPr>
      </w:pPr>
      <w:r w:rsidRPr="00170910">
        <w:rPr>
          <w:i/>
          <w:sz w:val="24"/>
          <w:lang w:val="en-CA"/>
        </w:rPr>
        <w:t>*</w:t>
      </w:r>
      <w:proofErr w:type="gramStart"/>
      <w:r w:rsidRPr="00170910">
        <w:rPr>
          <w:i/>
          <w:sz w:val="24"/>
          <w:lang w:val="en-CA"/>
        </w:rPr>
        <w:t>these</w:t>
      </w:r>
      <w:proofErr w:type="gramEnd"/>
      <w:r w:rsidRPr="00170910">
        <w:rPr>
          <w:i/>
          <w:sz w:val="24"/>
          <w:lang w:val="en-CA"/>
        </w:rPr>
        <w:t xml:space="preserve"> requirements are unique to Canada </w:t>
      </w:r>
    </w:p>
    <w:p w:rsidR="007D45A6" w:rsidRPr="00170910" w:rsidRDefault="007D45A6" w:rsidP="007D45A6">
      <w:pPr>
        <w:pStyle w:val="ListParagraph"/>
        <w:numPr>
          <w:ilvl w:val="2"/>
          <w:numId w:val="2"/>
        </w:numPr>
        <w:rPr>
          <w:b/>
          <w:sz w:val="24"/>
          <w:lang w:val="en-CA"/>
        </w:rPr>
      </w:pPr>
      <w:r w:rsidRPr="00170910">
        <w:rPr>
          <w:b/>
          <w:sz w:val="24"/>
          <w:lang w:val="en-CA"/>
        </w:rPr>
        <w:t xml:space="preserve">Standards of decency </w:t>
      </w:r>
    </w:p>
    <w:p w:rsidR="007D45A6" w:rsidRDefault="007D45A6" w:rsidP="007D45A6">
      <w:pPr>
        <w:rPr>
          <w:sz w:val="24"/>
          <w:lang w:val="en-CA"/>
        </w:rPr>
      </w:pPr>
      <w:r>
        <w:rPr>
          <w:sz w:val="24"/>
          <w:lang w:val="en-CA"/>
        </w:rPr>
        <w:t>This does also vary on where you are because these standards change based on:</w:t>
      </w:r>
    </w:p>
    <w:p w:rsidR="007D45A6" w:rsidRDefault="007D45A6" w:rsidP="007D45A6">
      <w:pPr>
        <w:pStyle w:val="ListParagraph"/>
        <w:numPr>
          <w:ilvl w:val="0"/>
          <w:numId w:val="1"/>
        </w:numPr>
        <w:rPr>
          <w:sz w:val="24"/>
          <w:lang w:val="en-CA"/>
        </w:rPr>
      </w:pPr>
      <w:r>
        <w:rPr>
          <w:sz w:val="24"/>
          <w:lang w:val="en-CA"/>
        </w:rPr>
        <w:t xml:space="preserve">Age </w:t>
      </w:r>
    </w:p>
    <w:p w:rsidR="007D45A6" w:rsidRDefault="007D45A6" w:rsidP="007D45A6">
      <w:pPr>
        <w:pStyle w:val="ListParagraph"/>
        <w:numPr>
          <w:ilvl w:val="0"/>
          <w:numId w:val="1"/>
        </w:numPr>
        <w:rPr>
          <w:sz w:val="24"/>
          <w:lang w:val="en-CA"/>
        </w:rPr>
      </w:pPr>
      <w:r>
        <w:rPr>
          <w:sz w:val="24"/>
          <w:lang w:val="en-CA"/>
        </w:rPr>
        <w:t xml:space="preserve">Ethnicity </w:t>
      </w:r>
    </w:p>
    <w:p w:rsidR="007D45A6" w:rsidRDefault="007D45A6" w:rsidP="007D45A6">
      <w:pPr>
        <w:pStyle w:val="ListParagraph"/>
        <w:numPr>
          <w:ilvl w:val="0"/>
          <w:numId w:val="1"/>
        </w:numPr>
        <w:rPr>
          <w:sz w:val="24"/>
          <w:lang w:val="en-CA"/>
        </w:rPr>
      </w:pPr>
      <w:r>
        <w:rPr>
          <w:sz w:val="24"/>
          <w:lang w:val="en-CA"/>
        </w:rPr>
        <w:t xml:space="preserve">These standards are divergent from one country to the next and change over time </w:t>
      </w:r>
    </w:p>
    <w:p w:rsidR="000065C0" w:rsidRDefault="001B2FAE"/>
    <w:sectPr w:rsidR="000065C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540F" w:rsidRDefault="003D540F" w:rsidP="007D45A6">
      <w:r>
        <w:separator/>
      </w:r>
    </w:p>
  </w:endnote>
  <w:endnote w:type="continuationSeparator" w:id="0">
    <w:p w:rsidR="003D540F" w:rsidRDefault="003D540F" w:rsidP="007D4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FAE" w:rsidRDefault="001B2FAE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387715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7D45A6" w:rsidRDefault="007D45A6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B2FA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B2FAE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7D45A6" w:rsidRDefault="007D45A6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FAE" w:rsidRDefault="001B2FAE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540F" w:rsidRDefault="003D540F" w:rsidP="007D45A6">
      <w:r>
        <w:separator/>
      </w:r>
    </w:p>
  </w:footnote>
  <w:footnote w:type="continuationSeparator" w:id="0">
    <w:p w:rsidR="003D540F" w:rsidRDefault="003D540F" w:rsidP="007D45A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FAE" w:rsidRDefault="001B2FAE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45A6" w:rsidRPr="00CE7A7D" w:rsidRDefault="001B2FAE" w:rsidP="007D45A6">
    <w:pPr>
      <w:pStyle w:val="Header"/>
      <w:rPr>
        <w:lang w:val="en-CA"/>
      </w:rPr>
    </w:pPr>
    <w:r>
      <w:rPr>
        <w:lang w:val="en-CA"/>
      </w:rPr>
      <w:t xml:space="preserve">Lecture </w:t>
    </w:r>
    <w:proofErr w:type="gramStart"/>
    <w:r>
      <w:rPr>
        <w:lang w:val="en-CA"/>
      </w:rPr>
      <w:t xml:space="preserve">10 </w:t>
    </w:r>
    <w:bookmarkStart w:id="0" w:name="_GoBack"/>
    <w:bookmarkEnd w:id="0"/>
    <w:r w:rsidR="007D45A6">
      <w:rPr>
        <w:lang w:val="en-CA"/>
      </w:rPr>
      <w:t>:</w:t>
    </w:r>
    <w:proofErr w:type="gramEnd"/>
    <w:r w:rsidR="007D45A6">
      <w:rPr>
        <w:lang w:val="en-CA"/>
      </w:rPr>
      <w:t xml:space="preserve"> </w:t>
    </w:r>
    <w:r w:rsidR="007D45A6" w:rsidRPr="007D45A6">
      <w:rPr>
        <w:lang w:val="en-CA"/>
      </w:rPr>
      <w:t>Internet Law, Policy and Government</w:t>
    </w:r>
    <w:r w:rsidR="007D45A6">
      <w:rPr>
        <w:lang w:val="en-CA"/>
      </w:rPr>
      <w:tab/>
    </w:r>
    <w:r w:rsidR="007D45A6">
      <w:rPr>
        <w:lang w:val="en-CA"/>
      </w:rPr>
      <w:tab/>
      <w:t>November 18, 2014</w:t>
    </w:r>
  </w:p>
  <w:p w:rsidR="007D45A6" w:rsidRDefault="007D45A6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FAE" w:rsidRDefault="001B2FAE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A460C"/>
    <w:multiLevelType w:val="hybridMultilevel"/>
    <w:tmpl w:val="EE443BE6"/>
    <w:lvl w:ilvl="0" w:tplc="B578579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D4124E"/>
    <w:multiLevelType w:val="hybridMultilevel"/>
    <w:tmpl w:val="0BA2C3FE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5C4B9C"/>
    <w:multiLevelType w:val="hybridMultilevel"/>
    <w:tmpl w:val="F5A092A8"/>
    <w:lvl w:ilvl="0" w:tplc="AE98A56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002ADB"/>
    <w:multiLevelType w:val="hybridMultilevel"/>
    <w:tmpl w:val="0D0CF928"/>
    <w:lvl w:ilvl="0" w:tplc="6FB6F484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095D2E"/>
    <w:multiLevelType w:val="hybridMultilevel"/>
    <w:tmpl w:val="86FE500C"/>
    <w:lvl w:ilvl="0" w:tplc="AE98A56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5A6"/>
    <w:rsid w:val="001B2FAE"/>
    <w:rsid w:val="0026523C"/>
    <w:rsid w:val="003D540F"/>
    <w:rsid w:val="004409D3"/>
    <w:rsid w:val="007D45A6"/>
    <w:rsid w:val="00A91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45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45A6"/>
    <w:pPr>
      <w:ind w:left="720"/>
      <w:contextualSpacing/>
    </w:pPr>
  </w:style>
  <w:style w:type="table" w:styleId="TableGrid">
    <w:name w:val="Table Grid"/>
    <w:basedOn w:val="TableNormal"/>
    <w:uiPriority w:val="39"/>
    <w:rsid w:val="007D45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D45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45A6"/>
  </w:style>
  <w:style w:type="paragraph" w:styleId="Footer">
    <w:name w:val="footer"/>
    <w:basedOn w:val="Normal"/>
    <w:link w:val="FooterChar"/>
    <w:uiPriority w:val="99"/>
    <w:unhideWhenUsed/>
    <w:rsid w:val="007D45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45A6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45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45A6"/>
    <w:pPr>
      <w:ind w:left="720"/>
      <w:contextualSpacing/>
    </w:pPr>
  </w:style>
  <w:style w:type="table" w:styleId="TableGrid">
    <w:name w:val="Table Grid"/>
    <w:basedOn w:val="TableNormal"/>
    <w:uiPriority w:val="39"/>
    <w:rsid w:val="007D45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D45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45A6"/>
  </w:style>
  <w:style w:type="paragraph" w:styleId="Footer">
    <w:name w:val="footer"/>
    <w:basedOn w:val="Normal"/>
    <w:link w:val="FooterChar"/>
    <w:uiPriority w:val="99"/>
    <w:unhideWhenUsed/>
    <w:rsid w:val="007D45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45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diagramLayout" Target="diagrams/layout1.xml"/><Relationship Id="rId20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11" Type="http://schemas.openxmlformats.org/officeDocument/2006/relationships/diagramColors" Target="diagrams/colors1.xml"/><Relationship Id="rId12" Type="http://schemas.microsoft.com/office/2007/relationships/diagramDrawing" Target="diagrams/drawing1.xml"/><Relationship Id="rId13" Type="http://schemas.openxmlformats.org/officeDocument/2006/relationships/header" Target="header1.xml"/><Relationship Id="rId14" Type="http://schemas.openxmlformats.org/officeDocument/2006/relationships/header" Target="header2.xml"/><Relationship Id="rId15" Type="http://schemas.openxmlformats.org/officeDocument/2006/relationships/footer" Target="footer1.xml"/><Relationship Id="rId16" Type="http://schemas.openxmlformats.org/officeDocument/2006/relationships/footer" Target="footer2.xml"/><Relationship Id="rId17" Type="http://schemas.openxmlformats.org/officeDocument/2006/relationships/header" Target="header3.xml"/><Relationship Id="rId18" Type="http://schemas.openxmlformats.org/officeDocument/2006/relationships/footer" Target="footer3.xml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diagramData" Target="diagrams/data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950DD09-6E9F-4925-B90D-2EF559B8B1E3}" type="doc">
      <dgm:prSet loTypeId="urn:microsoft.com/office/officeart/2005/8/layout/vList2" loCatId="list" qsTypeId="urn:microsoft.com/office/officeart/2005/8/quickstyle/simple5" qsCatId="simple" csTypeId="urn:microsoft.com/office/officeart/2005/8/colors/colorful4" csCatId="colorful" phldr="1"/>
      <dgm:spPr/>
      <dgm:t>
        <a:bodyPr/>
        <a:lstStyle/>
        <a:p>
          <a:endParaRPr lang="fr-CA"/>
        </a:p>
      </dgm:t>
    </dgm:pt>
    <dgm:pt modelId="{0A5AB435-4475-43E7-88C4-7823C40521F1}">
      <dgm:prSet>
        <dgm:style>
          <a:lnRef idx="0">
            <a:schemeClr val="accent5"/>
          </a:lnRef>
          <a:fillRef idx="3">
            <a:schemeClr val="accent5"/>
          </a:fillRef>
          <a:effectRef idx="3">
            <a:schemeClr val="accent5"/>
          </a:effectRef>
          <a:fontRef idx="minor">
            <a:schemeClr val="lt1"/>
          </a:fontRef>
        </dgm:style>
      </dgm:prSet>
      <dgm:spPr/>
      <dgm:t>
        <a:bodyPr/>
        <a:lstStyle/>
        <a:p>
          <a:r>
            <a:rPr lang="en-CA"/>
            <a:t>1. To highlight the manner in which state regulation can apply to media + other ICT’s</a:t>
          </a:r>
          <a:endParaRPr lang="fr-CA"/>
        </a:p>
      </dgm:t>
    </dgm:pt>
    <dgm:pt modelId="{0AB5996D-3EE2-4700-B5FA-87A56AF9177B}" type="parTrans" cxnId="{CC7A4341-8F30-4B03-B228-C125734DB06E}">
      <dgm:prSet/>
      <dgm:spPr/>
      <dgm:t>
        <a:bodyPr/>
        <a:lstStyle/>
        <a:p>
          <a:endParaRPr lang="fr-CA"/>
        </a:p>
      </dgm:t>
    </dgm:pt>
    <dgm:pt modelId="{294FF078-9504-4365-86A9-914ACE30AA92}" type="sibTrans" cxnId="{CC7A4341-8F30-4B03-B228-C125734DB06E}">
      <dgm:prSet/>
      <dgm:spPr/>
      <dgm:t>
        <a:bodyPr/>
        <a:lstStyle/>
        <a:p>
          <a:endParaRPr lang="fr-CA"/>
        </a:p>
      </dgm:t>
    </dgm:pt>
    <dgm:pt modelId="{E3D10488-41B4-451E-A272-2111ECC6A2E5}">
      <dgm:prSet>
        <dgm:style>
          <a:lnRef idx="0">
            <a:schemeClr val="accent2"/>
          </a:lnRef>
          <a:fillRef idx="3">
            <a:schemeClr val="accent2"/>
          </a:fillRef>
          <a:effectRef idx="3">
            <a:schemeClr val="accent2"/>
          </a:effectRef>
          <a:fontRef idx="minor">
            <a:schemeClr val="lt1"/>
          </a:fontRef>
        </dgm:style>
      </dgm:prSet>
      <dgm:spPr/>
      <dgm:t>
        <a:bodyPr/>
        <a:lstStyle/>
        <a:p>
          <a:r>
            <a:rPr lang="en-CA"/>
            <a:t>2. To highlight that state regulation can play a role in ensuring new technologies and ICT’s operate in the public interest. </a:t>
          </a:r>
          <a:endParaRPr lang="fr-CA"/>
        </a:p>
      </dgm:t>
    </dgm:pt>
    <dgm:pt modelId="{A7F3A970-7D88-44B1-99B6-BDC7EFDD4C40}" type="parTrans" cxnId="{DE40E568-A407-482B-AA81-88A63B931816}">
      <dgm:prSet/>
      <dgm:spPr/>
      <dgm:t>
        <a:bodyPr/>
        <a:lstStyle/>
        <a:p>
          <a:endParaRPr lang="fr-CA"/>
        </a:p>
      </dgm:t>
    </dgm:pt>
    <dgm:pt modelId="{6C058FB6-33D4-43EF-AADF-0CAB084CEF48}" type="sibTrans" cxnId="{DE40E568-A407-482B-AA81-88A63B931816}">
      <dgm:prSet/>
      <dgm:spPr/>
      <dgm:t>
        <a:bodyPr/>
        <a:lstStyle/>
        <a:p>
          <a:endParaRPr lang="fr-CA"/>
        </a:p>
      </dgm:t>
    </dgm:pt>
    <dgm:pt modelId="{231FDB8D-7169-45EF-B9CE-2E7F815B513B}" type="pres">
      <dgm:prSet presAssocID="{8950DD09-6E9F-4925-B90D-2EF559B8B1E3}" presName="linear" presStyleCnt="0">
        <dgm:presLayoutVars>
          <dgm:animLvl val="lvl"/>
          <dgm:resizeHandles val="exact"/>
        </dgm:presLayoutVars>
      </dgm:prSet>
      <dgm:spPr/>
      <dgm:t>
        <a:bodyPr/>
        <a:lstStyle/>
        <a:p>
          <a:endParaRPr lang="fr-CA"/>
        </a:p>
      </dgm:t>
    </dgm:pt>
    <dgm:pt modelId="{ED61B45E-FBDC-44CD-BC83-E177D6F210C6}" type="pres">
      <dgm:prSet presAssocID="{0A5AB435-4475-43E7-88C4-7823C40521F1}" presName="parentText" presStyleLbl="node1" presStyleIdx="0" presStyleCnt="2">
        <dgm:presLayoutVars>
          <dgm:chMax val="0"/>
          <dgm:bulletEnabled val="1"/>
        </dgm:presLayoutVars>
      </dgm:prSet>
      <dgm:spPr/>
      <dgm:t>
        <a:bodyPr/>
        <a:lstStyle/>
        <a:p>
          <a:endParaRPr lang="fr-CA"/>
        </a:p>
      </dgm:t>
    </dgm:pt>
    <dgm:pt modelId="{186916B2-600F-4B35-8263-9D427BC3B6E0}" type="pres">
      <dgm:prSet presAssocID="{294FF078-9504-4365-86A9-914ACE30AA92}" presName="spacer" presStyleCnt="0"/>
      <dgm:spPr/>
      <dgm:t>
        <a:bodyPr/>
        <a:lstStyle/>
        <a:p>
          <a:endParaRPr lang="fr-CA"/>
        </a:p>
      </dgm:t>
    </dgm:pt>
    <dgm:pt modelId="{97BB9F1C-50F2-4605-974B-D0A7704F1352}" type="pres">
      <dgm:prSet presAssocID="{E3D10488-41B4-451E-A272-2111ECC6A2E5}" presName="parentText" presStyleLbl="node1" presStyleIdx="1" presStyleCnt="2">
        <dgm:presLayoutVars>
          <dgm:chMax val="0"/>
          <dgm:bulletEnabled val="1"/>
        </dgm:presLayoutVars>
      </dgm:prSet>
      <dgm:spPr/>
      <dgm:t>
        <a:bodyPr/>
        <a:lstStyle/>
        <a:p>
          <a:endParaRPr lang="fr-CA"/>
        </a:p>
      </dgm:t>
    </dgm:pt>
  </dgm:ptLst>
  <dgm:cxnLst>
    <dgm:cxn modelId="{719F749C-A4C2-4022-8A6D-7B99F79EF74A}" type="presOf" srcId="{0A5AB435-4475-43E7-88C4-7823C40521F1}" destId="{ED61B45E-FBDC-44CD-BC83-E177D6F210C6}" srcOrd="0" destOrd="0" presId="urn:microsoft.com/office/officeart/2005/8/layout/vList2"/>
    <dgm:cxn modelId="{8737E52D-FEF1-4762-984F-738F8FEE77EF}" type="presOf" srcId="{8950DD09-6E9F-4925-B90D-2EF559B8B1E3}" destId="{231FDB8D-7169-45EF-B9CE-2E7F815B513B}" srcOrd="0" destOrd="0" presId="urn:microsoft.com/office/officeart/2005/8/layout/vList2"/>
    <dgm:cxn modelId="{CC7A4341-8F30-4B03-B228-C125734DB06E}" srcId="{8950DD09-6E9F-4925-B90D-2EF559B8B1E3}" destId="{0A5AB435-4475-43E7-88C4-7823C40521F1}" srcOrd="0" destOrd="0" parTransId="{0AB5996D-3EE2-4700-B5FA-87A56AF9177B}" sibTransId="{294FF078-9504-4365-86A9-914ACE30AA92}"/>
    <dgm:cxn modelId="{ACE38AC6-9CAC-40DD-BFF5-61D60908C100}" type="presOf" srcId="{E3D10488-41B4-451E-A272-2111ECC6A2E5}" destId="{97BB9F1C-50F2-4605-974B-D0A7704F1352}" srcOrd="0" destOrd="0" presId="urn:microsoft.com/office/officeart/2005/8/layout/vList2"/>
    <dgm:cxn modelId="{DE40E568-A407-482B-AA81-88A63B931816}" srcId="{8950DD09-6E9F-4925-B90D-2EF559B8B1E3}" destId="{E3D10488-41B4-451E-A272-2111ECC6A2E5}" srcOrd="1" destOrd="0" parTransId="{A7F3A970-7D88-44B1-99B6-BDC7EFDD4C40}" sibTransId="{6C058FB6-33D4-43EF-AADF-0CAB084CEF48}"/>
    <dgm:cxn modelId="{702B2871-0F46-4F5D-A83D-60AD8D33921D}" type="presParOf" srcId="{231FDB8D-7169-45EF-B9CE-2E7F815B513B}" destId="{ED61B45E-FBDC-44CD-BC83-E177D6F210C6}" srcOrd="0" destOrd="0" presId="urn:microsoft.com/office/officeart/2005/8/layout/vList2"/>
    <dgm:cxn modelId="{8562BC70-56D9-4BDE-9766-3E6F3B413138}" type="presParOf" srcId="{231FDB8D-7169-45EF-B9CE-2E7F815B513B}" destId="{186916B2-600F-4B35-8263-9D427BC3B6E0}" srcOrd="1" destOrd="0" presId="urn:microsoft.com/office/officeart/2005/8/layout/vList2"/>
    <dgm:cxn modelId="{31DF5C11-4D3A-436E-9B91-56C8838BC264}" type="presParOf" srcId="{231FDB8D-7169-45EF-B9CE-2E7F815B513B}" destId="{97BB9F1C-50F2-4605-974B-D0A7704F1352}" srcOrd="2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D61B45E-FBDC-44CD-BC83-E177D6F210C6}">
      <dsp:nvSpPr>
        <dsp:cNvPr id="0" name=""/>
        <dsp:cNvSpPr/>
      </dsp:nvSpPr>
      <dsp:spPr>
        <a:xfrm>
          <a:off x="0" y="32958"/>
          <a:ext cx="6162675" cy="436976"/>
        </a:xfrm>
        <a:prstGeom prst="roundRect">
          <a:avLst/>
        </a:prstGeom>
        <a:gradFill rotWithShape="1">
          <a:gsLst>
            <a:gs pos="0">
              <a:schemeClr val="accent5">
                <a:satMod val="103000"/>
                <a:lumMod val="102000"/>
                <a:tint val="94000"/>
              </a:schemeClr>
            </a:gs>
            <a:gs pos="50000">
              <a:schemeClr val="accent5">
                <a:satMod val="110000"/>
                <a:lumMod val="100000"/>
                <a:shade val="100000"/>
              </a:schemeClr>
            </a:gs>
            <a:gs pos="100000">
              <a:schemeClr val="accent5"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hemeClr val="accent5"/>
        </a:lnRef>
        <a:fillRef idx="3">
          <a:schemeClr val="accent5"/>
        </a:fillRef>
        <a:effectRef idx="3">
          <a:schemeClr val="accent5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100" kern="1200"/>
            <a:t>1. To highlight the manner in which state regulation can apply to media + other ICT’s</a:t>
          </a:r>
          <a:endParaRPr lang="fr-CA" sz="1100" kern="1200"/>
        </a:p>
      </dsp:txBody>
      <dsp:txXfrm>
        <a:off x="21331" y="54289"/>
        <a:ext cx="6120013" cy="394314"/>
      </dsp:txXfrm>
    </dsp:sp>
    <dsp:sp modelId="{97BB9F1C-50F2-4605-974B-D0A7704F1352}">
      <dsp:nvSpPr>
        <dsp:cNvPr id="0" name=""/>
        <dsp:cNvSpPr/>
      </dsp:nvSpPr>
      <dsp:spPr>
        <a:xfrm>
          <a:off x="0" y="501615"/>
          <a:ext cx="6162675" cy="436976"/>
        </a:xfrm>
        <a:prstGeom prst="roundRect">
          <a:avLst/>
        </a:prstGeom>
        <a:gradFill rotWithShape="1">
          <a:gsLst>
            <a:gs pos="0">
              <a:schemeClr val="accent2">
                <a:satMod val="103000"/>
                <a:lumMod val="102000"/>
                <a:tint val="94000"/>
              </a:schemeClr>
            </a:gs>
            <a:gs pos="50000">
              <a:schemeClr val="accent2">
                <a:satMod val="110000"/>
                <a:lumMod val="100000"/>
                <a:shade val="100000"/>
              </a:schemeClr>
            </a:gs>
            <a:gs pos="100000">
              <a:schemeClr val="accent2"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hemeClr val="accent2"/>
        </a:lnRef>
        <a:fillRef idx="3">
          <a:schemeClr val="accent2"/>
        </a:fillRef>
        <a:effectRef idx="3">
          <a:schemeClr val="accent2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100" kern="1200"/>
            <a:t>2. To highlight that state regulation can play a role in ensuring new technologies and ICT’s operate in the public interest. </a:t>
          </a:r>
          <a:endParaRPr lang="fr-CA" sz="1100" kern="1200"/>
        </a:p>
      </dsp:txBody>
      <dsp:txXfrm>
        <a:off x="21331" y="522946"/>
        <a:ext cx="6120013" cy="39431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376</Words>
  <Characters>2149</Characters>
  <Application>Microsoft Macintosh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Simba</dc:creator>
  <cp:keywords/>
  <dc:description/>
  <cp:lastModifiedBy>Hassan Jama</cp:lastModifiedBy>
  <cp:revision>2</cp:revision>
  <dcterms:created xsi:type="dcterms:W3CDTF">2014-12-04T15:22:00Z</dcterms:created>
  <dcterms:modified xsi:type="dcterms:W3CDTF">2014-12-04T15:22:00Z</dcterms:modified>
</cp:coreProperties>
</file>