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F310D6" w14:textId="77777777" w:rsidR="00633875" w:rsidRPr="004C0F3D" w:rsidRDefault="00F74B5C" w:rsidP="001232D3">
      <w:pPr>
        <w:pStyle w:val="ListParagraph"/>
        <w:numPr>
          <w:ilvl w:val="0"/>
          <w:numId w:val="18"/>
        </w:numPr>
        <w:rPr>
          <w:rFonts w:ascii="Times New Roman" w:hAnsi="Times New Roman" w:cs="Times New Roman"/>
          <w:b/>
          <w:color w:val="262626" w:themeColor="text1" w:themeTint="D9"/>
        </w:rPr>
      </w:pPr>
      <w:r w:rsidRPr="004C0F3D">
        <w:rPr>
          <w:rFonts w:ascii="Times New Roman" w:hAnsi="Times New Roman" w:cs="Times New Roman"/>
          <w:b/>
          <w:color w:val="262626" w:themeColor="text1" w:themeTint="D9"/>
        </w:rPr>
        <w:t>A Price Ceiling, Consumer Surplus, and Producer Surplus</w:t>
      </w:r>
    </w:p>
    <w:p w14:paraId="0C394C96" w14:textId="77777777" w:rsidR="00362B22" w:rsidRPr="004C0F3D" w:rsidRDefault="00362B22" w:rsidP="001232D3">
      <w:pPr>
        <w:pStyle w:val="ListParagraph"/>
        <w:rPr>
          <w:rFonts w:ascii="Times New Roman" w:hAnsi="Times New Roman" w:cs="Times New Roman"/>
          <w:color w:val="262626" w:themeColor="text1" w:themeTint="D9"/>
        </w:rPr>
      </w:pPr>
    </w:p>
    <w:p w14:paraId="59976F5C" w14:textId="2D9E79B4" w:rsidR="001232D3" w:rsidRPr="004C0F3D" w:rsidRDefault="001232D3" w:rsidP="001232D3">
      <w:pPr>
        <w:widowControl w:val="0"/>
        <w:numPr>
          <w:ilvl w:val="0"/>
          <w:numId w:val="16"/>
        </w:numPr>
        <w:tabs>
          <w:tab w:val="left" w:pos="220"/>
          <w:tab w:val="left" w:pos="720"/>
        </w:tabs>
        <w:autoSpaceDE w:val="0"/>
        <w:autoSpaceDN w:val="0"/>
        <w:adjustRightInd w:val="0"/>
        <w:spacing w:after="3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The market for apartments in a large city where the local government has imposed rent control.</w:t>
      </w:r>
    </w:p>
    <w:p w14:paraId="60D9BD14" w14:textId="77777777" w:rsidR="00F74B5C" w:rsidRPr="004C0F3D" w:rsidRDefault="00F74B5C" w:rsidP="001232D3">
      <w:pPr>
        <w:ind w:left="360"/>
        <w:rPr>
          <w:rFonts w:ascii="Times New Roman" w:hAnsi="Times New Roman" w:cs="Times New Roman"/>
          <w:color w:val="262626" w:themeColor="text1" w:themeTint="D9"/>
        </w:rPr>
      </w:pPr>
    </w:p>
    <w:tbl>
      <w:tblPr>
        <w:tblW w:w="6296" w:type="dxa"/>
        <w:tblInd w:w="93" w:type="dxa"/>
        <w:tblLook w:val="04A0" w:firstRow="1" w:lastRow="0" w:firstColumn="1" w:lastColumn="0" w:noHBand="0" w:noVBand="1"/>
      </w:tblPr>
      <w:tblGrid>
        <w:gridCol w:w="1405"/>
        <w:gridCol w:w="1218"/>
        <w:gridCol w:w="1218"/>
        <w:gridCol w:w="1237"/>
        <w:gridCol w:w="1218"/>
      </w:tblGrid>
      <w:tr w:rsidR="00362B22" w:rsidRPr="004C0F3D" w14:paraId="57876CE2" w14:textId="77777777" w:rsidTr="00362B22">
        <w:trPr>
          <w:trHeight w:val="248"/>
        </w:trPr>
        <w:tc>
          <w:tcPr>
            <w:tcW w:w="1405" w:type="dxa"/>
            <w:tcBorders>
              <w:top w:val="single" w:sz="4" w:space="0" w:color="4F81BD"/>
              <w:left w:val="single" w:sz="4" w:space="0" w:color="4F81BD"/>
              <w:bottom w:val="nil"/>
              <w:right w:val="nil"/>
            </w:tcBorders>
            <w:shd w:val="clear" w:color="4F81BD" w:fill="4F81BD"/>
            <w:noWrap/>
            <w:vAlign w:val="bottom"/>
            <w:hideMark/>
          </w:tcPr>
          <w:p w14:paraId="1C379237" w14:textId="77777777" w:rsidR="00F74B5C" w:rsidRPr="004C0F3D" w:rsidRDefault="00F74B5C" w:rsidP="001232D3">
            <w:pPr>
              <w:rPr>
                <w:rFonts w:ascii="Times New Roman" w:eastAsia="Times New Roman" w:hAnsi="Times New Roman" w:cs="Times New Roman"/>
                <w:b/>
                <w:bCs/>
                <w:color w:val="262626" w:themeColor="text1" w:themeTint="D9"/>
                <w:sz w:val="20"/>
                <w:szCs w:val="20"/>
              </w:rPr>
            </w:pPr>
            <w:r w:rsidRPr="004C0F3D">
              <w:rPr>
                <w:rFonts w:ascii="Times New Roman" w:eastAsia="Times New Roman" w:hAnsi="Times New Roman" w:cs="Times New Roman"/>
                <w:b/>
                <w:bCs/>
                <w:color w:val="262626" w:themeColor="text1" w:themeTint="D9"/>
                <w:sz w:val="20"/>
                <w:szCs w:val="20"/>
              </w:rPr>
              <w:t>Quantity Demanded</w:t>
            </w:r>
          </w:p>
        </w:tc>
        <w:tc>
          <w:tcPr>
            <w:tcW w:w="1218" w:type="dxa"/>
            <w:tcBorders>
              <w:top w:val="single" w:sz="4" w:space="0" w:color="4F81BD"/>
              <w:left w:val="nil"/>
              <w:bottom w:val="nil"/>
              <w:right w:val="single" w:sz="4" w:space="0" w:color="4F81BD"/>
            </w:tcBorders>
            <w:shd w:val="clear" w:color="4F81BD" w:fill="4F81BD"/>
            <w:noWrap/>
            <w:vAlign w:val="bottom"/>
            <w:hideMark/>
          </w:tcPr>
          <w:p w14:paraId="1AF11BAE" w14:textId="77777777" w:rsidR="00F74B5C" w:rsidRPr="004C0F3D" w:rsidRDefault="00F74B5C" w:rsidP="001232D3">
            <w:pPr>
              <w:rPr>
                <w:rFonts w:ascii="Times New Roman" w:eastAsia="Times New Roman" w:hAnsi="Times New Roman" w:cs="Times New Roman"/>
                <w:b/>
                <w:bCs/>
                <w:color w:val="262626" w:themeColor="text1" w:themeTint="D9"/>
                <w:sz w:val="20"/>
                <w:szCs w:val="20"/>
              </w:rPr>
            </w:pPr>
            <w:r w:rsidRPr="004C0F3D">
              <w:rPr>
                <w:rFonts w:ascii="Times New Roman" w:eastAsia="Times New Roman" w:hAnsi="Times New Roman" w:cs="Times New Roman"/>
                <w:b/>
                <w:bCs/>
                <w:color w:val="262626" w:themeColor="text1" w:themeTint="D9"/>
                <w:sz w:val="20"/>
                <w:szCs w:val="20"/>
              </w:rPr>
              <w:t>Price</w:t>
            </w:r>
          </w:p>
        </w:tc>
        <w:tc>
          <w:tcPr>
            <w:tcW w:w="1218" w:type="dxa"/>
            <w:tcBorders>
              <w:top w:val="nil"/>
              <w:left w:val="nil"/>
              <w:bottom w:val="nil"/>
              <w:right w:val="nil"/>
            </w:tcBorders>
            <w:shd w:val="clear" w:color="auto" w:fill="auto"/>
            <w:noWrap/>
            <w:vAlign w:val="bottom"/>
            <w:hideMark/>
          </w:tcPr>
          <w:p w14:paraId="2EBF9191"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4F81BD" w:fill="4F81BD"/>
            <w:noWrap/>
            <w:vAlign w:val="bottom"/>
            <w:hideMark/>
          </w:tcPr>
          <w:p w14:paraId="064039BA" w14:textId="77777777" w:rsidR="00F74B5C" w:rsidRPr="004C0F3D" w:rsidRDefault="00F74B5C" w:rsidP="001232D3">
            <w:pPr>
              <w:rPr>
                <w:rFonts w:ascii="Times New Roman" w:eastAsia="Times New Roman" w:hAnsi="Times New Roman" w:cs="Times New Roman"/>
                <w:b/>
                <w:bCs/>
                <w:color w:val="262626" w:themeColor="text1" w:themeTint="D9"/>
                <w:sz w:val="20"/>
                <w:szCs w:val="20"/>
              </w:rPr>
            </w:pPr>
            <w:r w:rsidRPr="004C0F3D">
              <w:rPr>
                <w:rFonts w:ascii="Times New Roman" w:eastAsia="Times New Roman" w:hAnsi="Times New Roman" w:cs="Times New Roman"/>
                <w:b/>
                <w:bCs/>
                <w:color w:val="262626" w:themeColor="text1" w:themeTint="D9"/>
                <w:sz w:val="20"/>
                <w:szCs w:val="20"/>
              </w:rPr>
              <w:t>Quantity Supplied</w:t>
            </w:r>
          </w:p>
        </w:tc>
        <w:tc>
          <w:tcPr>
            <w:tcW w:w="1218" w:type="dxa"/>
            <w:tcBorders>
              <w:top w:val="single" w:sz="4" w:space="0" w:color="4F81BD"/>
              <w:left w:val="nil"/>
              <w:bottom w:val="nil"/>
              <w:right w:val="single" w:sz="4" w:space="0" w:color="4F81BD"/>
            </w:tcBorders>
            <w:shd w:val="clear" w:color="4F81BD" w:fill="4F81BD"/>
            <w:noWrap/>
            <w:vAlign w:val="bottom"/>
            <w:hideMark/>
          </w:tcPr>
          <w:p w14:paraId="68F34413" w14:textId="77777777" w:rsidR="00F74B5C" w:rsidRPr="004C0F3D" w:rsidRDefault="00F74B5C" w:rsidP="001232D3">
            <w:pPr>
              <w:rPr>
                <w:rFonts w:ascii="Times New Roman" w:eastAsia="Times New Roman" w:hAnsi="Times New Roman" w:cs="Times New Roman"/>
                <w:b/>
                <w:bCs/>
                <w:color w:val="262626" w:themeColor="text1" w:themeTint="D9"/>
                <w:sz w:val="20"/>
                <w:szCs w:val="20"/>
              </w:rPr>
            </w:pPr>
            <w:r w:rsidRPr="004C0F3D">
              <w:rPr>
                <w:rFonts w:ascii="Times New Roman" w:eastAsia="Times New Roman" w:hAnsi="Times New Roman" w:cs="Times New Roman"/>
                <w:b/>
                <w:bCs/>
                <w:color w:val="262626" w:themeColor="text1" w:themeTint="D9"/>
                <w:sz w:val="20"/>
                <w:szCs w:val="20"/>
              </w:rPr>
              <w:t>Price</w:t>
            </w:r>
          </w:p>
        </w:tc>
      </w:tr>
      <w:tr w:rsidR="00362B22" w:rsidRPr="004C0F3D" w14:paraId="58FD067A"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01690E18"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0</w:t>
            </w:r>
          </w:p>
        </w:tc>
        <w:tc>
          <w:tcPr>
            <w:tcW w:w="1218" w:type="dxa"/>
            <w:tcBorders>
              <w:top w:val="single" w:sz="4" w:space="0" w:color="4F81BD"/>
              <w:left w:val="nil"/>
              <w:bottom w:val="nil"/>
              <w:right w:val="single" w:sz="4" w:space="0" w:color="4F81BD"/>
            </w:tcBorders>
            <w:shd w:val="clear" w:color="auto" w:fill="auto"/>
            <w:noWrap/>
            <w:vAlign w:val="bottom"/>
            <w:hideMark/>
          </w:tcPr>
          <w:p w14:paraId="364E6917"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$1200</w:t>
            </w:r>
          </w:p>
        </w:tc>
        <w:tc>
          <w:tcPr>
            <w:tcW w:w="1218" w:type="dxa"/>
            <w:tcBorders>
              <w:top w:val="nil"/>
              <w:left w:val="nil"/>
              <w:bottom w:val="nil"/>
              <w:right w:val="nil"/>
            </w:tcBorders>
            <w:shd w:val="clear" w:color="auto" w:fill="auto"/>
            <w:noWrap/>
            <w:vAlign w:val="bottom"/>
            <w:hideMark/>
          </w:tcPr>
          <w:p w14:paraId="79225DF0"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367AA98A"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0</w:t>
            </w:r>
          </w:p>
        </w:tc>
        <w:tc>
          <w:tcPr>
            <w:tcW w:w="1218" w:type="dxa"/>
            <w:tcBorders>
              <w:top w:val="single" w:sz="4" w:space="0" w:color="4F81BD"/>
              <w:left w:val="nil"/>
              <w:bottom w:val="nil"/>
              <w:right w:val="single" w:sz="4" w:space="0" w:color="4F81BD"/>
            </w:tcBorders>
            <w:shd w:val="clear" w:color="auto" w:fill="auto"/>
            <w:noWrap/>
            <w:vAlign w:val="bottom"/>
            <w:hideMark/>
          </w:tcPr>
          <w:p w14:paraId="1AC6D599"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$300</w:t>
            </w:r>
          </w:p>
        </w:tc>
      </w:tr>
      <w:tr w:rsidR="00362B22" w:rsidRPr="004C0F3D" w14:paraId="51C7B4D3"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7DEE637D"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5</w:t>
            </w:r>
          </w:p>
        </w:tc>
        <w:tc>
          <w:tcPr>
            <w:tcW w:w="1218" w:type="dxa"/>
            <w:tcBorders>
              <w:top w:val="single" w:sz="4" w:space="0" w:color="4F81BD"/>
              <w:left w:val="nil"/>
              <w:bottom w:val="nil"/>
              <w:right w:val="single" w:sz="4" w:space="0" w:color="4F81BD"/>
            </w:tcBorders>
            <w:shd w:val="clear" w:color="auto" w:fill="auto"/>
            <w:noWrap/>
            <w:vAlign w:val="bottom"/>
            <w:hideMark/>
          </w:tcPr>
          <w:p w14:paraId="3D6BA533"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1175</w:t>
            </w:r>
          </w:p>
        </w:tc>
        <w:tc>
          <w:tcPr>
            <w:tcW w:w="1218" w:type="dxa"/>
            <w:tcBorders>
              <w:top w:val="nil"/>
              <w:left w:val="nil"/>
              <w:bottom w:val="nil"/>
              <w:right w:val="nil"/>
            </w:tcBorders>
            <w:shd w:val="clear" w:color="auto" w:fill="auto"/>
            <w:noWrap/>
            <w:vAlign w:val="bottom"/>
            <w:hideMark/>
          </w:tcPr>
          <w:p w14:paraId="65AD79DB"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4B28A8B7"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5</w:t>
            </w:r>
          </w:p>
        </w:tc>
        <w:tc>
          <w:tcPr>
            <w:tcW w:w="1218" w:type="dxa"/>
            <w:tcBorders>
              <w:top w:val="single" w:sz="4" w:space="0" w:color="4F81BD"/>
              <w:left w:val="nil"/>
              <w:bottom w:val="nil"/>
              <w:right w:val="single" w:sz="4" w:space="0" w:color="4F81BD"/>
            </w:tcBorders>
            <w:shd w:val="clear" w:color="auto" w:fill="auto"/>
            <w:noWrap/>
            <w:vAlign w:val="bottom"/>
            <w:hideMark/>
          </w:tcPr>
          <w:p w14:paraId="71DD4C5E"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325</w:t>
            </w:r>
          </w:p>
        </w:tc>
      </w:tr>
      <w:tr w:rsidR="00362B22" w:rsidRPr="004C0F3D" w14:paraId="2E43F88A"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7570D419"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10</w:t>
            </w:r>
          </w:p>
        </w:tc>
        <w:tc>
          <w:tcPr>
            <w:tcW w:w="1218" w:type="dxa"/>
            <w:tcBorders>
              <w:top w:val="single" w:sz="4" w:space="0" w:color="4F81BD"/>
              <w:left w:val="nil"/>
              <w:bottom w:val="nil"/>
              <w:right w:val="single" w:sz="4" w:space="0" w:color="4F81BD"/>
            </w:tcBorders>
            <w:shd w:val="clear" w:color="auto" w:fill="auto"/>
            <w:noWrap/>
            <w:vAlign w:val="bottom"/>
            <w:hideMark/>
          </w:tcPr>
          <w:p w14:paraId="0485ADEF"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1150</w:t>
            </w:r>
          </w:p>
        </w:tc>
        <w:tc>
          <w:tcPr>
            <w:tcW w:w="1218" w:type="dxa"/>
            <w:tcBorders>
              <w:top w:val="nil"/>
              <w:left w:val="nil"/>
              <w:bottom w:val="nil"/>
              <w:right w:val="nil"/>
            </w:tcBorders>
            <w:shd w:val="clear" w:color="auto" w:fill="auto"/>
            <w:noWrap/>
            <w:vAlign w:val="bottom"/>
            <w:hideMark/>
          </w:tcPr>
          <w:p w14:paraId="176E5E34"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0020A319"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10</w:t>
            </w:r>
          </w:p>
        </w:tc>
        <w:tc>
          <w:tcPr>
            <w:tcW w:w="1218" w:type="dxa"/>
            <w:tcBorders>
              <w:top w:val="single" w:sz="4" w:space="0" w:color="4F81BD"/>
              <w:left w:val="nil"/>
              <w:bottom w:val="nil"/>
              <w:right w:val="single" w:sz="4" w:space="0" w:color="4F81BD"/>
            </w:tcBorders>
            <w:shd w:val="clear" w:color="auto" w:fill="auto"/>
            <w:noWrap/>
            <w:vAlign w:val="bottom"/>
            <w:hideMark/>
          </w:tcPr>
          <w:p w14:paraId="7F1D9E04"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350</w:t>
            </w:r>
          </w:p>
        </w:tc>
      </w:tr>
      <w:tr w:rsidR="00362B22" w:rsidRPr="004C0F3D" w14:paraId="071B5BF1"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00A29C61"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15</w:t>
            </w:r>
          </w:p>
        </w:tc>
        <w:tc>
          <w:tcPr>
            <w:tcW w:w="1218" w:type="dxa"/>
            <w:tcBorders>
              <w:top w:val="single" w:sz="4" w:space="0" w:color="4F81BD"/>
              <w:left w:val="nil"/>
              <w:bottom w:val="nil"/>
              <w:right w:val="single" w:sz="4" w:space="0" w:color="4F81BD"/>
            </w:tcBorders>
            <w:shd w:val="clear" w:color="auto" w:fill="auto"/>
            <w:noWrap/>
            <w:vAlign w:val="bottom"/>
            <w:hideMark/>
          </w:tcPr>
          <w:p w14:paraId="7955EB55"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1125</w:t>
            </w:r>
          </w:p>
        </w:tc>
        <w:tc>
          <w:tcPr>
            <w:tcW w:w="1218" w:type="dxa"/>
            <w:tcBorders>
              <w:top w:val="nil"/>
              <w:left w:val="nil"/>
              <w:bottom w:val="nil"/>
              <w:right w:val="nil"/>
            </w:tcBorders>
            <w:shd w:val="clear" w:color="auto" w:fill="auto"/>
            <w:noWrap/>
            <w:vAlign w:val="bottom"/>
            <w:hideMark/>
          </w:tcPr>
          <w:p w14:paraId="703221A0"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4E40E558"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15</w:t>
            </w:r>
          </w:p>
        </w:tc>
        <w:tc>
          <w:tcPr>
            <w:tcW w:w="1218" w:type="dxa"/>
            <w:tcBorders>
              <w:top w:val="single" w:sz="4" w:space="0" w:color="4F81BD"/>
              <w:left w:val="nil"/>
              <w:bottom w:val="nil"/>
              <w:right w:val="single" w:sz="4" w:space="0" w:color="4F81BD"/>
            </w:tcBorders>
            <w:shd w:val="clear" w:color="auto" w:fill="auto"/>
            <w:noWrap/>
            <w:vAlign w:val="bottom"/>
            <w:hideMark/>
          </w:tcPr>
          <w:p w14:paraId="2AAB424D"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375</w:t>
            </w:r>
          </w:p>
        </w:tc>
      </w:tr>
      <w:tr w:rsidR="00362B22" w:rsidRPr="004C0F3D" w14:paraId="11C16DC6"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3FA2E978"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20</w:t>
            </w:r>
          </w:p>
        </w:tc>
        <w:tc>
          <w:tcPr>
            <w:tcW w:w="1218" w:type="dxa"/>
            <w:tcBorders>
              <w:top w:val="single" w:sz="4" w:space="0" w:color="4F81BD"/>
              <w:left w:val="nil"/>
              <w:bottom w:val="nil"/>
              <w:right w:val="single" w:sz="4" w:space="0" w:color="4F81BD"/>
            </w:tcBorders>
            <w:shd w:val="clear" w:color="auto" w:fill="auto"/>
            <w:noWrap/>
            <w:vAlign w:val="bottom"/>
            <w:hideMark/>
          </w:tcPr>
          <w:p w14:paraId="67E36DEB"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1100</w:t>
            </w:r>
          </w:p>
        </w:tc>
        <w:tc>
          <w:tcPr>
            <w:tcW w:w="1218" w:type="dxa"/>
            <w:tcBorders>
              <w:top w:val="nil"/>
              <w:left w:val="nil"/>
              <w:bottom w:val="nil"/>
              <w:right w:val="nil"/>
            </w:tcBorders>
            <w:shd w:val="clear" w:color="auto" w:fill="auto"/>
            <w:noWrap/>
            <w:vAlign w:val="bottom"/>
            <w:hideMark/>
          </w:tcPr>
          <w:p w14:paraId="1AFCBB99"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6CB58D48"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20</w:t>
            </w:r>
          </w:p>
        </w:tc>
        <w:tc>
          <w:tcPr>
            <w:tcW w:w="1218" w:type="dxa"/>
            <w:tcBorders>
              <w:top w:val="single" w:sz="4" w:space="0" w:color="4F81BD"/>
              <w:left w:val="nil"/>
              <w:bottom w:val="nil"/>
              <w:right w:val="single" w:sz="4" w:space="0" w:color="4F81BD"/>
            </w:tcBorders>
            <w:shd w:val="clear" w:color="auto" w:fill="auto"/>
            <w:noWrap/>
            <w:vAlign w:val="bottom"/>
            <w:hideMark/>
          </w:tcPr>
          <w:p w14:paraId="0BFA05E9"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400</w:t>
            </w:r>
          </w:p>
        </w:tc>
      </w:tr>
      <w:tr w:rsidR="00362B22" w:rsidRPr="004C0F3D" w14:paraId="59A58F7E"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449D0C43"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25</w:t>
            </w:r>
          </w:p>
        </w:tc>
        <w:tc>
          <w:tcPr>
            <w:tcW w:w="1218" w:type="dxa"/>
            <w:tcBorders>
              <w:top w:val="single" w:sz="4" w:space="0" w:color="4F81BD"/>
              <w:left w:val="nil"/>
              <w:bottom w:val="nil"/>
              <w:right w:val="single" w:sz="4" w:space="0" w:color="4F81BD"/>
            </w:tcBorders>
            <w:shd w:val="clear" w:color="auto" w:fill="auto"/>
            <w:noWrap/>
            <w:vAlign w:val="bottom"/>
            <w:hideMark/>
          </w:tcPr>
          <w:p w14:paraId="57EC3D2E"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1075</w:t>
            </w:r>
          </w:p>
        </w:tc>
        <w:tc>
          <w:tcPr>
            <w:tcW w:w="1218" w:type="dxa"/>
            <w:tcBorders>
              <w:top w:val="nil"/>
              <w:left w:val="nil"/>
              <w:bottom w:val="nil"/>
              <w:right w:val="nil"/>
            </w:tcBorders>
            <w:shd w:val="clear" w:color="auto" w:fill="auto"/>
            <w:noWrap/>
            <w:vAlign w:val="bottom"/>
            <w:hideMark/>
          </w:tcPr>
          <w:p w14:paraId="1CF3FB8F"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57065B5D"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25</w:t>
            </w:r>
          </w:p>
        </w:tc>
        <w:tc>
          <w:tcPr>
            <w:tcW w:w="1218" w:type="dxa"/>
            <w:tcBorders>
              <w:top w:val="single" w:sz="4" w:space="0" w:color="4F81BD"/>
              <w:left w:val="nil"/>
              <w:bottom w:val="nil"/>
              <w:right w:val="single" w:sz="4" w:space="0" w:color="4F81BD"/>
            </w:tcBorders>
            <w:shd w:val="clear" w:color="auto" w:fill="auto"/>
            <w:noWrap/>
            <w:vAlign w:val="bottom"/>
            <w:hideMark/>
          </w:tcPr>
          <w:p w14:paraId="29EBE464"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425</w:t>
            </w:r>
          </w:p>
        </w:tc>
      </w:tr>
      <w:tr w:rsidR="00362B22" w:rsidRPr="004C0F3D" w14:paraId="0ABF5F76"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3F7EB355"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30</w:t>
            </w:r>
          </w:p>
        </w:tc>
        <w:tc>
          <w:tcPr>
            <w:tcW w:w="1218" w:type="dxa"/>
            <w:tcBorders>
              <w:top w:val="single" w:sz="4" w:space="0" w:color="4F81BD"/>
              <w:left w:val="nil"/>
              <w:bottom w:val="nil"/>
              <w:right w:val="single" w:sz="4" w:space="0" w:color="4F81BD"/>
            </w:tcBorders>
            <w:shd w:val="clear" w:color="auto" w:fill="auto"/>
            <w:noWrap/>
            <w:vAlign w:val="bottom"/>
            <w:hideMark/>
          </w:tcPr>
          <w:p w14:paraId="7AB2A68E"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1050</w:t>
            </w:r>
          </w:p>
        </w:tc>
        <w:tc>
          <w:tcPr>
            <w:tcW w:w="1218" w:type="dxa"/>
            <w:tcBorders>
              <w:top w:val="nil"/>
              <w:left w:val="nil"/>
              <w:bottom w:val="nil"/>
              <w:right w:val="nil"/>
            </w:tcBorders>
            <w:shd w:val="clear" w:color="auto" w:fill="auto"/>
            <w:noWrap/>
            <w:vAlign w:val="bottom"/>
            <w:hideMark/>
          </w:tcPr>
          <w:p w14:paraId="32AC9E42"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23400971"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30</w:t>
            </w:r>
          </w:p>
        </w:tc>
        <w:tc>
          <w:tcPr>
            <w:tcW w:w="1218" w:type="dxa"/>
            <w:tcBorders>
              <w:top w:val="single" w:sz="4" w:space="0" w:color="4F81BD"/>
              <w:left w:val="nil"/>
              <w:bottom w:val="nil"/>
              <w:right w:val="single" w:sz="4" w:space="0" w:color="4F81BD"/>
            </w:tcBorders>
            <w:shd w:val="clear" w:color="auto" w:fill="auto"/>
            <w:noWrap/>
            <w:vAlign w:val="bottom"/>
            <w:hideMark/>
          </w:tcPr>
          <w:p w14:paraId="6AB7081E"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450</w:t>
            </w:r>
          </w:p>
        </w:tc>
      </w:tr>
      <w:tr w:rsidR="00362B22" w:rsidRPr="004C0F3D" w14:paraId="7A8989E6"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6ABDEF4E"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35</w:t>
            </w:r>
          </w:p>
        </w:tc>
        <w:tc>
          <w:tcPr>
            <w:tcW w:w="1218" w:type="dxa"/>
            <w:tcBorders>
              <w:top w:val="single" w:sz="4" w:space="0" w:color="4F81BD"/>
              <w:left w:val="nil"/>
              <w:bottom w:val="nil"/>
              <w:right w:val="single" w:sz="4" w:space="0" w:color="4F81BD"/>
            </w:tcBorders>
            <w:shd w:val="clear" w:color="auto" w:fill="auto"/>
            <w:noWrap/>
            <w:vAlign w:val="bottom"/>
            <w:hideMark/>
          </w:tcPr>
          <w:p w14:paraId="13928171"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1025</w:t>
            </w:r>
          </w:p>
        </w:tc>
        <w:tc>
          <w:tcPr>
            <w:tcW w:w="1218" w:type="dxa"/>
            <w:tcBorders>
              <w:top w:val="nil"/>
              <w:left w:val="nil"/>
              <w:bottom w:val="nil"/>
              <w:right w:val="nil"/>
            </w:tcBorders>
            <w:shd w:val="clear" w:color="auto" w:fill="auto"/>
            <w:noWrap/>
            <w:vAlign w:val="bottom"/>
            <w:hideMark/>
          </w:tcPr>
          <w:p w14:paraId="767C9A6C"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253D214A"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35</w:t>
            </w:r>
          </w:p>
        </w:tc>
        <w:tc>
          <w:tcPr>
            <w:tcW w:w="1218" w:type="dxa"/>
            <w:tcBorders>
              <w:top w:val="single" w:sz="4" w:space="0" w:color="4F81BD"/>
              <w:left w:val="nil"/>
              <w:bottom w:val="nil"/>
              <w:right w:val="single" w:sz="4" w:space="0" w:color="4F81BD"/>
            </w:tcBorders>
            <w:shd w:val="clear" w:color="auto" w:fill="auto"/>
            <w:noWrap/>
            <w:vAlign w:val="bottom"/>
            <w:hideMark/>
          </w:tcPr>
          <w:p w14:paraId="3532D7B2"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475</w:t>
            </w:r>
          </w:p>
        </w:tc>
      </w:tr>
      <w:tr w:rsidR="00362B22" w:rsidRPr="004C0F3D" w14:paraId="1B26D858"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097C2C47"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40</w:t>
            </w:r>
          </w:p>
        </w:tc>
        <w:tc>
          <w:tcPr>
            <w:tcW w:w="1218" w:type="dxa"/>
            <w:tcBorders>
              <w:top w:val="single" w:sz="4" w:space="0" w:color="4F81BD"/>
              <w:left w:val="nil"/>
              <w:bottom w:val="nil"/>
              <w:right w:val="single" w:sz="4" w:space="0" w:color="4F81BD"/>
            </w:tcBorders>
            <w:shd w:val="clear" w:color="auto" w:fill="auto"/>
            <w:noWrap/>
            <w:vAlign w:val="bottom"/>
            <w:hideMark/>
          </w:tcPr>
          <w:p w14:paraId="7BBB4CAC"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1000</w:t>
            </w:r>
          </w:p>
        </w:tc>
        <w:tc>
          <w:tcPr>
            <w:tcW w:w="1218" w:type="dxa"/>
            <w:tcBorders>
              <w:top w:val="nil"/>
              <w:left w:val="nil"/>
              <w:bottom w:val="nil"/>
              <w:right w:val="nil"/>
            </w:tcBorders>
            <w:shd w:val="clear" w:color="auto" w:fill="auto"/>
            <w:noWrap/>
            <w:vAlign w:val="bottom"/>
            <w:hideMark/>
          </w:tcPr>
          <w:p w14:paraId="5B795B1E"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59A978D2"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40</w:t>
            </w:r>
          </w:p>
        </w:tc>
        <w:tc>
          <w:tcPr>
            <w:tcW w:w="1218" w:type="dxa"/>
            <w:tcBorders>
              <w:top w:val="single" w:sz="4" w:space="0" w:color="4F81BD"/>
              <w:left w:val="nil"/>
              <w:bottom w:val="nil"/>
              <w:right w:val="single" w:sz="4" w:space="0" w:color="4F81BD"/>
            </w:tcBorders>
            <w:shd w:val="clear" w:color="auto" w:fill="auto"/>
            <w:noWrap/>
            <w:vAlign w:val="bottom"/>
            <w:hideMark/>
          </w:tcPr>
          <w:p w14:paraId="558CF1D8"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500</w:t>
            </w:r>
          </w:p>
        </w:tc>
      </w:tr>
      <w:tr w:rsidR="00362B22" w:rsidRPr="004C0F3D" w14:paraId="441AF7F9"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3C465886"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45</w:t>
            </w:r>
          </w:p>
        </w:tc>
        <w:tc>
          <w:tcPr>
            <w:tcW w:w="1218" w:type="dxa"/>
            <w:tcBorders>
              <w:top w:val="single" w:sz="4" w:space="0" w:color="4F81BD"/>
              <w:left w:val="nil"/>
              <w:bottom w:val="nil"/>
              <w:right w:val="single" w:sz="4" w:space="0" w:color="4F81BD"/>
            </w:tcBorders>
            <w:shd w:val="clear" w:color="auto" w:fill="auto"/>
            <w:noWrap/>
            <w:vAlign w:val="bottom"/>
            <w:hideMark/>
          </w:tcPr>
          <w:p w14:paraId="71BEDB20"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975</w:t>
            </w:r>
          </w:p>
        </w:tc>
        <w:tc>
          <w:tcPr>
            <w:tcW w:w="1218" w:type="dxa"/>
            <w:tcBorders>
              <w:top w:val="nil"/>
              <w:left w:val="nil"/>
              <w:bottom w:val="nil"/>
              <w:right w:val="nil"/>
            </w:tcBorders>
            <w:shd w:val="clear" w:color="auto" w:fill="auto"/>
            <w:noWrap/>
            <w:vAlign w:val="bottom"/>
            <w:hideMark/>
          </w:tcPr>
          <w:p w14:paraId="41E961A5"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3153DD12"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45</w:t>
            </w:r>
          </w:p>
        </w:tc>
        <w:tc>
          <w:tcPr>
            <w:tcW w:w="1218" w:type="dxa"/>
            <w:tcBorders>
              <w:top w:val="single" w:sz="4" w:space="0" w:color="4F81BD"/>
              <w:left w:val="nil"/>
              <w:bottom w:val="nil"/>
              <w:right w:val="single" w:sz="4" w:space="0" w:color="4F81BD"/>
            </w:tcBorders>
            <w:shd w:val="clear" w:color="auto" w:fill="auto"/>
            <w:noWrap/>
            <w:vAlign w:val="bottom"/>
            <w:hideMark/>
          </w:tcPr>
          <w:p w14:paraId="7954C51E"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525</w:t>
            </w:r>
          </w:p>
        </w:tc>
      </w:tr>
      <w:tr w:rsidR="00362B22" w:rsidRPr="004C0F3D" w14:paraId="5D5B4BF4"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59A7F0D5"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50</w:t>
            </w:r>
          </w:p>
        </w:tc>
        <w:tc>
          <w:tcPr>
            <w:tcW w:w="1218" w:type="dxa"/>
            <w:tcBorders>
              <w:top w:val="single" w:sz="4" w:space="0" w:color="4F81BD"/>
              <w:left w:val="nil"/>
              <w:bottom w:val="nil"/>
              <w:right w:val="single" w:sz="4" w:space="0" w:color="4F81BD"/>
            </w:tcBorders>
            <w:shd w:val="clear" w:color="auto" w:fill="auto"/>
            <w:noWrap/>
            <w:vAlign w:val="bottom"/>
            <w:hideMark/>
          </w:tcPr>
          <w:p w14:paraId="1ACF125E"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950</w:t>
            </w:r>
          </w:p>
        </w:tc>
        <w:tc>
          <w:tcPr>
            <w:tcW w:w="1218" w:type="dxa"/>
            <w:tcBorders>
              <w:top w:val="nil"/>
              <w:left w:val="nil"/>
              <w:bottom w:val="nil"/>
              <w:right w:val="nil"/>
            </w:tcBorders>
            <w:shd w:val="clear" w:color="auto" w:fill="auto"/>
            <w:noWrap/>
            <w:vAlign w:val="bottom"/>
            <w:hideMark/>
          </w:tcPr>
          <w:p w14:paraId="150064B6"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4B24554F"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50</w:t>
            </w:r>
          </w:p>
        </w:tc>
        <w:tc>
          <w:tcPr>
            <w:tcW w:w="1218" w:type="dxa"/>
            <w:tcBorders>
              <w:top w:val="single" w:sz="4" w:space="0" w:color="4F81BD"/>
              <w:left w:val="nil"/>
              <w:bottom w:val="nil"/>
              <w:right w:val="single" w:sz="4" w:space="0" w:color="4F81BD"/>
            </w:tcBorders>
            <w:shd w:val="clear" w:color="auto" w:fill="auto"/>
            <w:noWrap/>
            <w:vAlign w:val="bottom"/>
            <w:hideMark/>
          </w:tcPr>
          <w:p w14:paraId="4BE9A492"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550</w:t>
            </w:r>
          </w:p>
        </w:tc>
      </w:tr>
      <w:tr w:rsidR="00362B22" w:rsidRPr="004C0F3D" w14:paraId="6ED6B015"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127DC475"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55</w:t>
            </w:r>
          </w:p>
        </w:tc>
        <w:tc>
          <w:tcPr>
            <w:tcW w:w="1218" w:type="dxa"/>
            <w:tcBorders>
              <w:top w:val="single" w:sz="4" w:space="0" w:color="4F81BD"/>
              <w:left w:val="nil"/>
              <w:bottom w:val="nil"/>
              <w:right w:val="single" w:sz="4" w:space="0" w:color="4F81BD"/>
            </w:tcBorders>
            <w:shd w:val="clear" w:color="auto" w:fill="auto"/>
            <w:noWrap/>
            <w:vAlign w:val="bottom"/>
            <w:hideMark/>
          </w:tcPr>
          <w:p w14:paraId="7DE676CB"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925</w:t>
            </w:r>
          </w:p>
        </w:tc>
        <w:tc>
          <w:tcPr>
            <w:tcW w:w="1218" w:type="dxa"/>
            <w:tcBorders>
              <w:top w:val="nil"/>
              <w:left w:val="nil"/>
              <w:bottom w:val="nil"/>
              <w:right w:val="nil"/>
            </w:tcBorders>
            <w:shd w:val="clear" w:color="auto" w:fill="auto"/>
            <w:noWrap/>
            <w:vAlign w:val="bottom"/>
            <w:hideMark/>
          </w:tcPr>
          <w:p w14:paraId="0D685617"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76BB6C12"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55</w:t>
            </w:r>
          </w:p>
        </w:tc>
        <w:tc>
          <w:tcPr>
            <w:tcW w:w="1218" w:type="dxa"/>
            <w:tcBorders>
              <w:top w:val="single" w:sz="4" w:space="0" w:color="4F81BD"/>
              <w:left w:val="nil"/>
              <w:bottom w:val="nil"/>
              <w:right w:val="single" w:sz="4" w:space="0" w:color="4F81BD"/>
            </w:tcBorders>
            <w:shd w:val="clear" w:color="auto" w:fill="auto"/>
            <w:noWrap/>
            <w:vAlign w:val="bottom"/>
            <w:hideMark/>
          </w:tcPr>
          <w:p w14:paraId="0F2DE5D4"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575</w:t>
            </w:r>
          </w:p>
        </w:tc>
      </w:tr>
      <w:tr w:rsidR="00362B22" w:rsidRPr="004C0F3D" w14:paraId="3B5C91C0"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3D2E0D11"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60</w:t>
            </w:r>
          </w:p>
        </w:tc>
        <w:tc>
          <w:tcPr>
            <w:tcW w:w="1218" w:type="dxa"/>
            <w:tcBorders>
              <w:top w:val="single" w:sz="4" w:space="0" w:color="4F81BD"/>
              <w:left w:val="nil"/>
              <w:bottom w:val="nil"/>
              <w:right w:val="single" w:sz="4" w:space="0" w:color="4F81BD"/>
            </w:tcBorders>
            <w:shd w:val="clear" w:color="auto" w:fill="auto"/>
            <w:noWrap/>
            <w:vAlign w:val="bottom"/>
            <w:hideMark/>
          </w:tcPr>
          <w:p w14:paraId="2AB80D55"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900</w:t>
            </w:r>
          </w:p>
        </w:tc>
        <w:tc>
          <w:tcPr>
            <w:tcW w:w="1218" w:type="dxa"/>
            <w:tcBorders>
              <w:top w:val="nil"/>
              <w:left w:val="nil"/>
              <w:bottom w:val="nil"/>
              <w:right w:val="nil"/>
            </w:tcBorders>
            <w:shd w:val="clear" w:color="auto" w:fill="auto"/>
            <w:noWrap/>
            <w:vAlign w:val="bottom"/>
            <w:hideMark/>
          </w:tcPr>
          <w:p w14:paraId="71E44CA5"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5E5D3CD1"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60</w:t>
            </w:r>
          </w:p>
        </w:tc>
        <w:tc>
          <w:tcPr>
            <w:tcW w:w="1218" w:type="dxa"/>
            <w:tcBorders>
              <w:top w:val="single" w:sz="4" w:space="0" w:color="4F81BD"/>
              <w:left w:val="nil"/>
              <w:bottom w:val="nil"/>
              <w:right w:val="single" w:sz="4" w:space="0" w:color="4F81BD"/>
            </w:tcBorders>
            <w:shd w:val="clear" w:color="auto" w:fill="auto"/>
            <w:noWrap/>
            <w:vAlign w:val="bottom"/>
            <w:hideMark/>
          </w:tcPr>
          <w:p w14:paraId="39F306E7"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600</w:t>
            </w:r>
          </w:p>
        </w:tc>
      </w:tr>
      <w:tr w:rsidR="00362B22" w:rsidRPr="004C0F3D" w14:paraId="15B26EF4"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695057AD"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65</w:t>
            </w:r>
          </w:p>
        </w:tc>
        <w:tc>
          <w:tcPr>
            <w:tcW w:w="1218" w:type="dxa"/>
            <w:tcBorders>
              <w:top w:val="single" w:sz="4" w:space="0" w:color="4F81BD"/>
              <w:left w:val="nil"/>
              <w:bottom w:val="nil"/>
              <w:right w:val="single" w:sz="4" w:space="0" w:color="4F81BD"/>
            </w:tcBorders>
            <w:shd w:val="clear" w:color="auto" w:fill="auto"/>
            <w:noWrap/>
            <w:vAlign w:val="bottom"/>
            <w:hideMark/>
          </w:tcPr>
          <w:p w14:paraId="4A407B63"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875</w:t>
            </w:r>
          </w:p>
        </w:tc>
        <w:tc>
          <w:tcPr>
            <w:tcW w:w="1218" w:type="dxa"/>
            <w:tcBorders>
              <w:top w:val="nil"/>
              <w:left w:val="nil"/>
              <w:bottom w:val="nil"/>
              <w:right w:val="nil"/>
            </w:tcBorders>
            <w:shd w:val="clear" w:color="auto" w:fill="auto"/>
            <w:noWrap/>
            <w:vAlign w:val="bottom"/>
            <w:hideMark/>
          </w:tcPr>
          <w:p w14:paraId="26CA6241"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3D28108F"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65</w:t>
            </w:r>
          </w:p>
        </w:tc>
        <w:tc>
          <w:tcPr>
            <w:tcW w:w="1218" w:type="dxa"/>
            <w:tcBorders>
              <w:top w:val="single" w:sz="4" w:space="0" w:color="4F81BD"/>
              <w:left w:val="nil"/>
              <w:bottom w:val="nil"/>
              <w:right w:val="single" w:sz="4" w:space="0" w:color="4F81BD"/>
            </w:tcBorders>
            <w:shd w:val="clear" w:color="auto" w:fill="auto"/>
            <w:noWrap/>
            <w:vAlign w:val="bottom"/>
            <w:hideMark/>
          </w:tcPr>
          <w:p w14:paraId="45101996"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625</w:t>
            </w:r>
          </w:p>
        </w:tc>
      </w:tr>
      <w:tr w:rsidR="00362B22" w:rsidRPr="004C0F3D" w14:paraId="4411AD21"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795749D9"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70</w:t>
            </w:r>
          </w:p>
        </w:tc>
        <w:tc>
          <w:tcPr>
            <w:tcW w:w="1218" w:type="dxa"/>
            <w:tcBorders>
              <w:top w:val="single" w:sz="4" w:space="0" w:color="4F81BD"/>
              <w:left w:val="nil"/>
              <w:bottom w:val="nil"/>
              <w:right w:val="single" w:sz="4" w:space="0" w:color="4F81BD"/>
            </w:tcBorders>
            <w:shd w:val="clear" w:color="auto" w:fill="auto"/>
            <w:noWrap/>
            <w:vAlign w:val="bottom"/>
            <w:hideMark/>
          </w:tcPr>
          <w:p w14:paraId="24B9076A"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850</w:t>
            </w:r>
          </w:p>
        </w:tc>
        <w:tc>
          <w:tcPr>
            <w:tcW w:w="1218" w:type="dxa"/>
            <w:tcBorders>
              <w:top w:val="nil"/>
              <w:left w:val="nil"/>
              <w:bottom w:val="nil"/>
              <w:right w:val="nil"/>
            </w:tcBorders>
            <w:shd w:val="clear" w:color="auto" w:fill="auto"/>
            <w:noWrap/>
            <w:vAlign w:val="bottom"/>
            <w:hideMark/>
          </w:tcPr>
          <w:p w14:paraId="695E3177"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5D9C98C4"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70</w:t>
            </w:r>
          </w:p>
        </w:tc>
        <w:tc>
          <w:tcPr>
            <w:tcW w:w="1218" w:type="dxa"/>
            <w:tcBorders>
              <w:top w:val="single" w:sz="4" w:space="0" w:color="4F81BD"/>
              <w:left w:val="nil"/>
              <w:bottom w:val="nil"/>
              <w:right w:val="single" w:sz="4" w:space="0" w:color="4F81BD"/>
            </w:tcBorders>
            <w:shd w:val="clear" w:color="auto" w:fill="auto"/>
            <w:noWrap/>
            <w:vAlign w:val="bottom"/>
            <w:hideMark/>
          </w:tcPr>
          <w:p w14:paraId="5B9D7EAE"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650</w:t>
            </w:r>
          </w:p>
        </w:tc>
      </w:tr>
      <w:tr w:rsidR="00362B22" w:rsidRPr="004C0F3D" w14:paraId="1FFA68B9"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752BB59C"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75</w:t>
            </w:r>
          </w:p>
        </w:tc>
        <w:tc>
          <w:tcPr>
            <w:tcW w:w="1218" w:type="dxa"/>
            <w:tcBorders>
              <w:top w:val="single" w:sz="4" w:space="0" w:color="4F81BD"/>
              <w:left w:val="nil"/>
              <w:bottom w:val="nil"/>
              <w:right w:val="single" w:sz="4" w:space="0" w:color="4F81BD"/>
            </w:tcBorders>
            <w:shd w:val="clear" w:color="auto" w:fill="auto"/>
            <w:noWrap/>
            <w:vAlign w:val="bottom"/>
            <w:hideMark/>
          </w:tcPr>
          <w:p w14:paraId="28E30DB8"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825</w:t>
            </w:r>
          </w:p>
        </w:tc>
        <w:tc>
          <w:tcPr>
            <w:tcW w:w="1218" w:type="dxa"/>
            <w:tcBorders>
              <w:top w:val="nil"/>
              <w:left w:val="nil"/>
              <w:bottom w:val="nil"/>
              <w:right w:val="nil"/>
            </w:tcBorders>
            <w:shd w:val="clear" w:color="auto" w:fill="auto"/>
            <w:noWrap/>
            <w:vAlign w:val="bottom"/>
            <w:hideMark/>
          </w:tcPr>
          <w:p w14:paraId="299222FD"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665500E6"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75</w:t>
            </w:r>
          </w:p>
        </w:tc>
        <w:tc>
          <w:tcPr>
            <w:tcW w:w="1218" w:type="dxa"/>
            <w:tcBorders>
              <w:top w:val="single" w:sz="4" w:space="0" w:color="4F81BD"/>
              <w:left w:val="nil"/>
              <w:bottom w:val="nil"/>
              <w:right w:val="single" w:sz="4" w:space="0" w:color="4F81BD"/>
            </w:tcBorders>
            <w:shd w:val="clear" w:color="auto" w:fill="auto"/>
            <w:noWrap/>
            <w:vAlign w:val="bottom"/>
            <w:hideMark/>
          </w:tcPr>
          <w:p w14:paraId="66107236"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675</w:t>
            </w:r>
          </w:p>
        </w:tc>
      </w:tr>
      <w:tr w:rsidR="00362B22" w:rsidRPr="004C0F3D" w14:paraId="0EB6E203"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64903248"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80</w:t>
            </w:r>
          </w:p>
        </w:tc>
        <w:tc>
          <w:tcPr>
            <w:tcW w:w="1218" w:type="dxa"/>
            <w:tcBorders>
              <w:top w:val="single" w:sz="4" w:space="0" w:color="4F81BD"/>
              <w:left w:val="nil"/>
              <w:bottom w:val="nil"/>
              <w:right w:val="single" w:sz="4" w:space="0" w:color="4F81BD"/>
            </w:tcBorders>
            <w:shd w:val="clear" w:color="auto" w:fill="auto"/>
            <w:noWrap/>
            <w:vAlign w:val="bottom"/>
            <w:hideMark/>
          </w:tcPr>
          <w:p w14:paraId="0AE5F363"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800</w:t>
            </w:r>
          </w:p>
        </w:tc>
        <w:tc>
          <w:tcPr>
            <w:tcW w:w="1218" w:type="dxa"/>
            <w:tcBorders>
              <w:top w:val="nil"/>
              <w:left w:val="nil"/>
              <w:bottom w:val="nil"/>
              <w:right w:val="nil"/>
            </w:tcBorders>
            <w:shd w:val="clear" w:color="auto" w:fill="auto"/>
            <w:noWrap/>
            <w:vAlign w:val="bottom"/>
            <w:hideMark/>
          </w:tcPr>
          <w:p w14:paraId="32B6E0C7"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2CD9F488"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80</w:t>
            </w:r>
          </w:p>
        </w:tc>
        <w:tc>
          <w:tcPr>
            <w:tcW w:w="1218" w:type="dxa"/>
            <w:tcBorders>
              <w:top w:val="single" w:sz="4" w:space="0" w:color="4F81BD"/>
              <w:left w:val="nil"/>
              <w:bottom w:val="nil"/>
              <w:right w:val="single" w:sz="4" w:space="0" w:color="4F81BD"/>
            </w:tcBorders>
            <w:shd w:val="clear" w:color="auto" w:fill="auto"/>
            <w:noWrap/>
            <w:vAlign w:val="bottom"/>
            <w:hideMark/>
          </w:tcPr>
          <w:p w14:paraId="4086CEC3"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700</w:t>
            </w:r>
          </w:p>
        </w:tc>
      </w:tr>
      <w:tr w:rsidR="00362B22" w:rsidRPr="004C0F3D" w14:paraId="78EC537D"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19095865"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85</w:t>
            </w:r>
          </w:p>
        </w:tc>
        <w:tc>
          <w:tcPr>
            <w:tcW w:w="1218" w:type="dxa"/>
            <w:tcBorders>
              <w:top w:val="single" w:sz="4" w:space="0" w:color="4F81BD"/>
              <w:left w:val="nil"/>
              <w:bottom w:val="nil"/>
              <w:right w:val="single" w:sz="4" w:space="0" w:color="4F81BD"/>
            </w:tcBorders>
            <w:shd w:val="clear" w:color="auto" w:fill="auto"/>
            <w:noWrap/>
            <w:vAlign w:val="bottom"/>
            <w:hideMark/>
          </w:tcPr>
          <w:p w14:paraId="1690E33A"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775</w:t>
            </w:r>
          </w:p>
        </w:tc>
        <w:tc>
          <w:tcPr>
            <w:tcW w:w="1218" w:type="dxa"/>
            <w:tcBorders>
              <w:top w:val="nil"/>
              <w:left w:val="nil"/>
              <w:bottom w:val="nil"/>
              <w:right w:val="nil"/>
            </w:tcBorders>
            <w:shd w:val="clear" w:color="auto" w:fill="auto"/>
            <w:noWrap/>
            <w:vAlign w:val="bottom"/>
            <w:hideMark/>
          </w:tcPr>
          <w:p w14:paraId="4F69D4F4"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2A1B66EA"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85</w:t>
            </w:r>
          </w:p>
        </w:tc>
        <w:tc>
          <w:tcPr>
            <w:tcW w:w="1218" w:type="dxa"/>
            <w:tcBorders>
              <w:top w:val="single" w:sz="4" w:space="0" w:color="4F81BD"/>
              <w:left w:val="nil"/>
              <w:bottom w:val="nil"/>
              <w:right w:val="single" w:sz="4" w:space="0" w:color="4F81BD"/>
            </w:tcBorders>
            <w:shd w:val="clear" w:color="auto" w:fill="auto"/>
            <w:noWrap/>
            <w:vAlign w:val="bottom"/>
            <w:hideMark/>
          </w:tcPr>
          <w:p w14:paraId="7847E36A"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725</w:t>
            </w:r>
          </w:p>
        </w:tc>
      </w:tr>
      <w:tr w:rsidR="00362B22" w:rsidRPr="004C0F3D" w14:paraId="47F801C8"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1D4BD787"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90</w:t>
            </w:r>
          </w:p>
        </w:tc>
        <w:tc>
          <w:tcPr>
            <w:tcW w:w="1218" w:type="dxa"/>
            <w:tcBorders>
              <w:top w:val="single" w:sz="4" w:space="0" w:color="4F81BD"/>
              <w:left w:val="nil"/>
              <w:bottom w:val="nil"/>
              <w:right w:val="single" w:sz="4" w:space="0" w:color="4F81BD"/>
            </w:tcBorders>
            <w:shd w:val="clear" w:color="auto" w:fill="auto"/>
            <w:noWrap/>
            <w:vAlign w:val="bottom"/>
            <w:hideMark/>
          </w:tcPr>
          <w:p w14:paraId="019805ED"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750</w:t>
            </w:r>
          </w:p>
        </w:tc>
        <w:tc>
          <w:tcPr>
            <w:tcW w:w="1218" w:type="dxa"/>
            <w:tcBorders>
              <w:top w:val="nil"/>
              <w:left w:val="nil"/>
              <w:bottom w:val="nil"/>
              <w:right w:val="nil"/>
            </w:tcBorders>
            <w:shd w:val="clear" w:color="auto" w:fill="auto"/>
            <w:noWrap/>
            <w:vAlign w:val="bottom"/>
            <w:hideMark/>
          </w:tcPr>
          <w:p w14:paraId="40280B32"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5B425C8C"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90</w:t>
            </w:r>
          </w:p>
        </w:tc>
        <w:tc>
          <w:tcPr>
            <w:tcW w:w="1218" w:type="dxa"/>
            <w:tcBorders>
              <w:top w:val="single" w:sz="4" w:space="0" w:color="4F81BD"/>
              <w:left w:val="nil"/>
              <w:bottom w:val="nil"/>
              <w:right w:val="single" w:sz="4" w:space="0" w:color="4F81BD"/>
            </w:tcBorders>
            <w:shd w:val="clear" w:color="auto" w:fill="auto"/>
            <w:noWrap/>
            <w:vAlign w:val="bottom"/>
            <w:hideMark/>
          </w:tcPr>
          <w:p w14:paraId="1BE554EE"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750</w:t>
            </w:r>
          </w:p>
        </w:tc>
      </w:tr>
      <w:tr w:rsidR="00362B22" w:rsidRPr="004C0F3D" w14:paraId="11BE1A55"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10692EE6"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95</w:t>
            </w:r>
          </w:p>
        </w:tc>
        <w:tc>
          <w:tcPr>
            <w:tcW w:w="1218" w:type="dxa"/>
            <w:tcBorders>
              <w:top w:val="single" w:sz="4" w:space="0" w:color="4F81BD"/>
              <w:left w:val="nil"/>
              <w:bottom w:val="nil"/>
              <w:right w:val="single" w:sz="4" w:space="0" w:color="4F81BD"/>
            </w:tcBorders>
            <w:shd w:val="clear" w:color="auto" w:fill="auto"/>
            <w:noWrap/>
            <w:vAlign w:val="bottom"/>
            <w:hideMark/>
          </w:tcPr>
          <w:p w14:paraId="2E38EDD8"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725</w:t>
            </w:r>
          </w:p>
        </w:tc>
        <w:tc>
          <w:tcPr>
            <w:tcW w:w="1218" w:type="dxa"/>
            <w:tcBorders>
              <w:top w:val="nil"/>
              <w:left w:val="nil"/>
              <w:bottom w:val="nil"/>
              <w:right w:val="nil"/>
            </w:tcBorders>
            <w:shd w:val="clear" w:color="auto" w:fill="auto"/>
            <w:noWrap/>
            <w:vAlign w:val="bottom"/>
            <w:hideMark/>
          </w:tcPr>
          <w:p w14:paraId="59094B76"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54A0DF75"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95</w:t>
            </w:r>
          </w:p>
        </w:tc>
        <w:tc>
          <w:tcPr>
            <w:tcW w:w="1218" w:type="dxa"/>
            <w:tcBorders>
              <w:top w:val="single" w:sz="4" w:space="0" w:color="4F81BD"/>
              <w:left w:val="nil"/>
              <w:bottom w:val="nil"/>
              <w:right w:val="single" w:sz="4" w:space="0" w:color="4F81BD"/>
            </w:tcBorders>
            <w:shd w:val="clear" w:color="auto" w:fill="auto"/>
            <w:noWrap/>
            <w:vAlign w:val="bottom"/>
            <w:hideMark/>
          </w:tcPr>
          <w:p w14:paraId="3AA9736E"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775</w:t>
            </w:r>
          </w:p>
        </w:tc>
      </w:tr>
      <w:tr w:rsidR="00362B22" w:rsidRPr="004C0F3D" w14:paraId="539EA33E"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4504DA6A"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100</w:t>
            </w:r>
          </w:p>
        </w:tc>
        <w:tc>
          <w:tcPr>
            <w:tcW w:w="1218" w:type="dxa"/>
            <w:tcBorders>
              <w:top w:val="single" w:sz="4" w:space="0" w:color="4F81BD"/>
              <w:left w:val="nil"/>
              <w:bottom w:val="nil"/>
              <w:right w:val="single" w:sz="4" w:space="0" w:color="4F81BD"/>
            </w:tcBorders>
            <w:shd w:val="clear" w:color="auto" w:fill="auto"/>
            <w:noWrap/>
            <w:vAlign w:val="bottom"/>
            <w:hideMark/>
          </w:tcPr>
          <w:p w14:paraId="663BDC70"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700</w:t>
            </w:r>
          </w:p>
        </w:tc>
        <w:tc>
          <w:tcPr>
            <w:tcW w:w="1218" w:type="dxa"/>
            <w:tcBorders>
              <w:top w:val="nil"/>
              <w:left w:val="nil"/>
              <w:bottom w:val="nil"/>
              <w:right w:val="nil"/>
            </w:tcBorders>
            <w:shd w:val="clear" w:color="auto" w:fill="auto"/>
            <w:noWrap/>
            <w:vAlign w:val="bottom"/>
            <w:hideMark/>
          </w:tcPr>
          <w:p w14:paraId="21849CEA"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778489E2"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100</w:t>
            </w:r>
          </w:p>
        </w:tc>
        <w:tc>
          <w:tcPr>
            <w:tcW w:w="1218" w:type="dxa"/>
            <w:tcBorders>
              <w:top w:val="single" w:sz="4" w:space="0" w:color="4F81BD"/>
              <w:left w:val="nil"/>
              <w:bottom w:val="nil"/>
              <w:right w:val="single" w:sz="4" w:space="0" w:color="4F81BD"/>
            </w:tcBorders>
            <w:shd w:val="clear" w:color="auto" w:fill="auto"/>
            <w:noWrap/>
            <w:vAlign w:val="bottom"/>
            <w:hideMark/>
          </w:tcPr>
          <w:p w14:paraId="32AA8AE1"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800</w:t>
            </w:r>
          </w:p>
        </w:tc>
      </w:tr>
      <w:tr w:rsidR="00362B22" w:rsidRPr="004C0F3D" w14:paraId="34733007"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07E962A2"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105</w:t>
            </w:r>
          </w:p>
        </w:tc>
        <w:tc>
          <w:tcPr>
            <w:tcW w:w="1218" w:type="dxa"/>
            <w:tcBorders>
              <w:top w:val="single" w:sz="4" w:space="0" w:color="4F81BD"/>
              <w:left w:val="nil"/>
              <w:bottom w:val="nil"/>
              <w:right w:val="single" w:sz="4" w:space="0" w:color="4F81BD"/>
            </w:tcBorders>
            <w:shd w:val="clear" w:color="auto" w:fill="auto"/>
            <w:noWrap/>
            <w:vAlign w:val="bottom"/>
            <w:hideMark/>
          </w:tcPr>
          <w:p w14:paraId="1F79A3EA"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675</w:t>
            </w:r>
          </w:p>
        </w:tc>
        <w:tc>
          <w:tcPr>
            <w:tcW w:w="1218" w:type="dxa"/>
            <w:tcBorders>
              <w:top w:val="nil"/>
              <w:left w:val="nil"/>
              <w:bottom w:val="nil"/>
              <w:right w:val="nil"/>
            </w:tcBorders>
            <w:shd w:val="clear" w:color="auto" w:fill="auto"/>
            <w:noWrap/>
            <w:vAlign w:val="bottom"/>
            <w:hideMark/>
          </w:tcPr>
          <w:p w14:paraId="1892114A"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36AE1016"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105</w:t>
            </w:r>
          </w:p>
        </w:tc>
        <w:tc>
          <w:tcPr>
            <w:tcW w:w="1218" w:type="dxa"/>
            <w:tcBorders>
              <w:top w:val="single" w:sz="4" w:space="0" w:color="4F81BD"/>
              <w:left w:val="nil"/>
              <w:bottom w:val="nil"/>
              <w:right w:val="single" w:sz="4" w:space="0" w:color="4F81BD"/>
            </w:tcBorders>
            <w:shd w:val="clear" w:color="auto" w:fill="auto"/>
            <w:noWrap/>
            <w:vAlign w:val="bottom"/>
            <w:hideMark/>
          </w:tcPr>
          <w:p w14:paraId="4EABEB6A"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825</w:t>
            </w:r>
          </w:p>
        </w:tc>
      </w:tr>
      <w:tr w:rsidR="00362B22" w:rsidRPr="004C0F3D" w14:paraId="24E52E92"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4206534F"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110</w:t>
            </w:r>
          </w:p>
        </w:tc>
        <w:tc>
          <w:tcPr>
            <w:tcW w:w="1218" w:type="dxa"/>
            <w:tcBorders>
              <w:top w:val="single" w:sz="4" w:space="0" w:color="4F81BD"/>
              <w:left w:val="nil"/>
              <w:bottom w:val="nil"/>
              <w:right w:val="single" w:sz="4" w:space="0" w:color="4F81BD"/>
            </w:tcBorders>
            <w:shd w:val="clear" w:color="auto" w:fill="auto"/>
            <w:noWrap/>
            <w:vAlign w:val="bottom"/>
            <w:hideMark/>
          </w:tcPr>
          <w:p w14:paraId="07B6E494"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650</w:t>
            </w:r>
          </w:p>
        </w:tc>
        <w:tc>
          <w:tcPr>
            <w:tcW w:w="1218" w:type="dxa"/>
            <w:tcBorders>
              <w:top w:val="nil"/>
              <w:left w:val="nil"/>
              <w:bottom w:val="nil"/>
              <w:right w:val="nil"/>
            </w:tcBorders>
            <w:shd w:val="clear" w:color="auto" w:fill="auto"/>
            <w:noWrap/>
            <w:vAlign w:val="bottom"/>
            <w:hideMark/>
          </w:tcPr>
          <w:p w14:paraId="0E6BC44E"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5756A333"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110</w:t>
            </w:r>
          </w:p>
        </w:tc>
        <w:tc>
          <w:tcPr>
            <w:tcW w:w="1218" w:type="dxa"/>
            <w:tcBorders>
              <w:top w:val="single" w:sz="4" w:space="0" w:color="4F81BD"/>
              <w:left w:val="nil"/>
              <w:bottom w:val="nil"/>
              <w:right w:val="single" w:sz="4" w:space="0" w:color="4F81BD"/>
            </w:tcBorders>
            <w:shd w:val="clear" w:color="auto" w:fill="auto"/>
            <w:noWrap/>
            <w:vAlign w:val="bottom"/>
            <w:hideMark/>
          </w:tcPr>
          <w:p w14:paraId="31BFC494"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850</w:t>
            </w:r>
          </w:p>
        </w:tc>
      </w:tr>
      <w:tr w:rsidR="00362B22" w:rsidRPr="004C0F3D" w14:paraId="5A102F81"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0738517D"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115</w:t>
            </w:r>
          </w:p>
        </w:tc>
        <w:tc>
          <w:tcPr>
            <w:tcW w:w="1218" w:type="dxa"/>
            <w:tcBorders>
              <w:top w:val="single" w:sz="4" w:space="0" w:color="4F81BD"/>
              <w:left w:val="nil"/>
              <w:bottom w:val="nil"/>
              <w:right w:val="single" w:sz="4" w:space="0" w:color="4F81BD"/>
            </w:tcBorders>
            <w:shd w:val="clear" w:color="auto" w:fill="auto"/>
            <w:noWrap/>
            <w:vAlign w:val="bottom"/>
            <w:hideMark/>
          </w:tcPr>
          <w:p w14:paraId="169ACF9A"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625</w:t>
            </w:r>
          </w:p>
        </w:tc>
        <w:tc>
          <w:tcPr>
            <w:tcW w:w="1218" w:type="dxa"/>
            <w:tcBorders>
              <w:top w:val="nil"/>
              <w:left w:val="nil"/>
              <w:bottom w:val="nil"/>
              <w:right w:val="nil"/>
            </w:tcBorders>
            <w:shd w:val="clear" w:color="auto" w:fill="auto"/>
            <w:noWrap/>
            <w:vAlign w:val="bottom"/>
            <w:hideMark/>
          </w:tcPr>
          <w:p w14:paraId="4C1AFA59"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4202F309"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115</w:t>
            </w:r>
          </w:p>
        </w:tc>
        <w:tc>
          <w:tcPr>
            <w:tcW w:w="1218" w:type="dxa"/>
            <w:tcBorders>
              <w:top w:val="single" w:sz="4" w:space="0" w:color="4F81BD"/>
              <w:left w:val="nil"/>
              <w:bottom w:val="nil"/>
              <w:right w:val="single" w:sz="4" w:space="0" w:color="4F81BD"/>
            </w:tcBorders>
            <w:shd w:val="clear" w:color="auto" w:fill="auto"/>
            <w:noWrap/>
            <w:vAlign w:val="bottom"/>
            <w:hideMark/>
          </w:tcPr>
          <w:p w14:paraId="06327DC9"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875</w:t>
            </w:r>
          </w:p>
        </w:tc>
      </w:tr>
      <w:tr w:rsidR="00362B22" w:rsidRPr="004C0F3D" w14:paraId="57C2EEEF"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39FB5D80"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120</w:t>
            </w:r>
          </w:p>
        </w:tc>
        <w:tc>
          <w:tcPr>
            <w:tcW w:w="1218" w:type="dxa"/>
            <w:tcBorders>
              <w:top w:val="single" w:sz="4" w:space="0" w:color="4F81BD"/>
              <w:left w:val="nil"/>
              <w:bottom w:val="nil"/>
              <w:right w:val="single" w:sz="4" w:space="0" w:color="4F81BD"/>
            </w:tcBorders>
            <w:shd w:val="clear" w:color="auto" w:fill="auto"/>
            <w:noWrap/>
            <w:vAlign w:val="bottom"/>
            <w:hideMark/>
          </w:tcPr>
          <w:p w14:paraId="7B3ED814"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600</w:t>
            </w:r>
          </w:p>
        </w:tc>
        <w:tc>
          <w:tcPr>
            <w:tcW w:w="1218" w:type="dxa"/>
            <w:tcBorders>
              <w:top w:val="nil"/>
              <w:left w:val="nil"/>
              <w:bottom w:val="nil"/>
              <w:right w:val="nil"/>
            </w:tcBorders>
            <w:shd w:val="clear" w:color="auto" w:fill="auto"/>
            <w:noWrap/>
            <w:vAlign w:val="bottom"/>
            <w:hideMark/>
          </w:tcPr>
          <w:p w14:paraId="34F47CA4"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225E5F58"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120</w:t>
            </w:r>
          </w:p>
        </w:tc>
        <w:tc>
          <w:tcPr>
            <w:tcW w:w="1218" w:type="dxa"/>
            <w:tcBorders>
              <w:top w:val="single" w:sz="4" w:space="0" w:color="4F81BD"/>
              <w:left w:val="nil"/>
              <w:bottom w:val="nil"/>
              <w:right w:val="single" w:sz="4" w:space="0" w:color="4F81BD"/>
            </w:tcBorders>
            <w:shd w:val="clear" w:color="auto" w:fill="auto"/>
            <w:noWrap/>
            <w:vAlign w:val="bottom"/>
            <w:hideMark/>
          </w:tcPr>
          <w:p w14:paraId="197C7C8D"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900</w:t>
            </w:r>
          </w:p>
        </w:tc>
      </w:tr>
      <w:tr w:rsidR="00362B22" w:rsidRPr="004C0F3D" w14:paraId="521E5746"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6C552C20"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125</w:t>
            </w:r>
          </w:p>
        </w:tc>
        <w:tc>
          <w:tcPr>
            <w:tcW w:w="1218" w:type="dxa"/>
            <w:tcBorders>
              <w:top w:val="single" w:sz="4" w:space="0" w:color="4F81BD"/>
              <w:left w:val="nil"/>
              <w:bottom w:val="nil"/>
              <w:right w:val="single" w:sz="4" w:space="0" w:color="4F81BD"/>
            </w:tcBorders>
            <w:shd w:val="clear" w:color="auto" w:fill="auto"/>
            <w:noWrap/>
            <w:vAlign w:val="bottom"/>
            <w:hideMark/>
          </w:tcPr>
          <w:p w14:paraId="1A8AB7A5"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575</w:t>
            </w:r>
          </w:p>
        </w:tc>
        <w:tc>
          <w:tcPr>
            <w:tcW w:w="1218" w:type="dxa"/>
            <w:tcBorders>
              <w:top w:val="nil"/>
              <w:left w:val="nil"/>
              <w:bottom w:val="nil"/>
              <w:right w:val="nil"/>
            </w:tcBorders>
            <w:shd w:val="clear" w:color="auto" w:fill="auto"/>
            <w:noWrap/>
            <w:vAlign w:val="bottom"/>
            <w:hideMark/>
          </w:tcPr>
          <w:p w14:paraId="56B3FDB2"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52187DD0"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125</w:t>
            </w:r>
          </w:p>
        </w:tc>
        <w:tc>
          <w:tcPr>
            <w:tcW w:w="1218" w:type="dxa"/>
            <w:tcBorders>
              <w:top w:val="single" w:sz="4" w:space="0" w:color="4F81BD"/>
              <w:left w:val="nil"/>
              <w:bottom w:val="nil"/>
              <w:right w:val="single" w:sz="4" w:space="0" w:color="4F81BD"/>
            </w:tcBorders>
            <w:shd w:val="clear" w:color="auto" w:fill="auto"/>
            <w:noWrap/>
            <w:vAlign w:val="bottom"/>
            <w:hideMark/>
          </w:tcPr>
          <w:p w14:paraId="109F80D6"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925</w:t>
            </w:r>
          </w:p>
        </w:tc>
      </w:tr>
      <w:tr w:rsidR="00362B22" w:rsidRPr="004C0F3D" w14:paraId="443ED058"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710707D8"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130</w:t>
            </w:r>
          </w:p>
        </w:tc>
        <w:tc>
          <w:tcPr>
            <w:tcW w:w="1218" w:type="dxa"/>
            <w:tcBorders>
              <w:top w:val="single" w:sz="4" w:space="0" w:color="4F81BD"/>
              <w:left w:val="nil"/>
              <w:bottom w:val="nil"/>
              <w:right w:val="single" w:sz="4" w:space="0" w:color="4F81BD"/>
            </w:tcBorders>
            <w:shd w:val="clear" w:color="auto" w:fill="auto"/>
            <w:noWrap/>
            <w:vAlign w:val="bottom"/>
            <w:hideMark/>
          </w:tcPr>
          <w:p w14:paraId="35C4ED7E"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550</w:t>
            </w:r>
          </w:p>
        </w:tc>
        <w:tc>
          <w:tcPr>
            <w:tcW w:w="1218" w:type="dxa"/>
            <w:tcBorders>
              <w:top w:val="nil"/>
              <w:left w:val="nil"/>
              <w:bottom w:val="nil"/>
              <w:right w:val="nil"/>
            </w:tcBorders>
            <w:shd w:val="clear" w:color="auto" w:fill="auto"/>
            <w:noWrap/>
            <w:vAlign w:val="bottom"/>
            <w:hideMark/>
          </w:tcPr>
          <w:p w14:paraId="5ED7D6B5"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1954D917"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130</w:t>
            </w:r>
          </w:p>
        </w:tc>
        <w:tc>
          <w:tcPr>
            <w:tcW w:w="1218" w:type="dxa"/>
            <w:tcBorders>
              <w:top w:val="single" w:sz="4" w:space="0" w:color="4F81BD"/>
              <w:left w:val="nil"/>
              <w:bottom w:val="nil"/>
              <w:right w:val="single" w:sz="4" w:space="0" w:color="4F81BD"/>
            </w:tcBorders>
            <w:shd w:val="clear" w:color="auto" w:fill="auto"/>
            <w:noWrap/>
            <w:vAlign w:val="bottom"/>
            <w:hideMark/>
          </w:tcPr>
          <w:p w14:paraId="6718FA14"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950</w:t>
            </w:r>
          </w:p>
        </w:tc>
      </w:tr>
      <w:tr w:rsidR="00362B22" w:rsidRPr="004C0F3D" w14:paraId="0B8E248B"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38CB9C35"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135</w:t>
            </w:r>
          </w:p>
        </w:tc>
        <w:tc>
          <w:tcPr>
            <w:tcW w:w="1218" w:type="dxa"/>
            <w:tcBorders>
              <w:top w:val="single" w:sz="4" w:space="0" w:color="4F81BD"/>
              <w:left w:val="nil"/>
              <w:bottom w:val="nil"/>
              <w:right w:val="single" w:sz="4" w:space="0" w:color="4F81BD"/>
            </w:tcBorders>
            <w:shd w:val="clear" w:color="auto" w:fill="auto"/>
            <w:noWrap/>
            <w:vAlign w:val="bottom"/>
            <w:hideMark/>
          </w:tcPr>
          <w:p w14:paraId="763467BB"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525</w:t>
            </w:r>
          </w:p>
        </w:tc>
        <w:tc>
          <w:tcPr>
            <w:tcW w:w="1218" w:type="dxa"/>
            <w:tcBorders>
              <w:top w:val="nil"/>
              <w:left w:val="nil"/>
              <w:bottom w:val="nil"/>
              <w:right w:val="nil"/>
            </w:tcBorders>
            <w:shd w:val="clear" w:color="auto" w:fill="auto"/>
            <w:noWrap/>
            <w:vAlign w:val="bottom"/>
            <w:hideMark/>
          </w:tcPr>
          <w:p w14:paraId="537C5FE7"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6577FB34"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135</w:t>
            </w:r>
          </w:p>
        </w:tc>
        <w:tc>
          <w:tcPr>
            <w:tcW w:w="1218" w:type="dxa"/>
            <w:tcBorders>
              <w:top w:val="single" w:sz="4" w:space="0" w:color="4F81BD"/>
              <w:left w:val="nil"/>
              <w:bottom w:val="nil"/>
              <w:right w:val="single" w:sz="4" w:space="0" w:color="4F81BD"/>
            </w:tcBorders>
            <w:shd w:val="clear" w:color="auto" w:fill="auto"/>
            <w:noWrap/>
            <w:vAlign w:val="bottom"/>
            <w:hideMark/>
          </w:tcPr>
          <w:p w14:paraId="46ECF55F"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975</w:t>
            </w:r>
          </w:p>
        </w:tc>
      </w:tr>
      <w:tr w:rsidR="00362B22" w:rsidRPr="004C0F3D" w14:paraId="37B28B38"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671C929B"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140</w:t>
            </w:r>
          </w:p>
        </w:tc>
        <w:tc>
          <w:tcPr>
            <w:tcW w:w="1218" w:type="dxa"/>
            <w:tcBorders>
              <w:top w:val="single" w:sz="4" w:space="0" w:color="4F81BD"/>
              <w:left w:val="nil"/>
              <w:bottom w:val="nil"/>
              <w:right w:val="single" w:sz="4" w:space="0" w:color="4F81BD"/>
            </w:tcBorders>
            <w:shd w:val="clear" w:color="auto" w:fill="auto"/>
            <w:noWrap/>
            <w:vAlign w:val="bottom"/>
            <w:hideMark/>
          </w:tcPr>
          <w:p w14:paraId="4E31214B"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500</w:t>
            </w:r>
          </w:p>
        </w:tc>
        <w:tc>
          <w:tcPr>
            <w:tcW w:w="1218" w:type="dxa"/>
            <w:tcBorders>
              <w:top w:val="nil"/>
              <w:left w:val="nil"/>
              <w:bottom w:val="nil"/>
              <w:right w:val="nil"/>
            </w:tcBorders>
            <w:shd w:val="clear" w:color="auto" w:fill="auto"/>
            <w:noWrap/>
            <w:vAlign w:val="bottom"/>
            <w:hideMark/>
          </w:tcPr>
          <w:p w14:paraId="4DD7240B"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518EA61E"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140</w:t>
            </w:r>
          </w:p>
        </w:tc>
        <w:tc>
          <w:tcPr>
            <w:tcW w:w="1218" w:type="dxa"/>
            <w:tcBorders>
              <w:top w:val="single" w:sz="4" w:space="0" w:color="4F81BD"/>
              <w:left w:val="nil"/>
              <w:bottom w:val="nil"/>
              <w:right w:val="single" w:sz="4" w:space="0" w:color="4F81BD"/>
            </w:tcBorders>
            <w:shd w:val="clear" w:color="auto" w:fill="auto"/>
            <w:noWrap/>
            <w:vAlign w:val="bottom"/>
            <w:hideMark/>
          </w:tcPr>
          <w:p w14:paraId="6887AADB"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1000</w:t>
            </w:r>
          </w:p>
        </w:tc>
      </w:tr>
      <w:tr w:rsidR="00362B22" w:rsidRPr="004C0F3D" w14:paraId="0D6354AF"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5793C041"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145</w:t>
            </w:r>
          </w:p>
        </w:tc>
        <w:tc>
          <w:tcPr>
            <w:tcW w:w="1218" w:type="dxa"/>
            <w:tcBorders>
              <w:top w:val="single" w:sz="4" w:space="0" w:color="4F81BD"/>
              <w:left w:val="nil"/>
              <w:bottom w:val="nil"/>
              <w:right w:val="single" w:sz="4" w:space="0" w:color="4F81BD"/>
            </w:tcBorders>
            <w:shd w:val="clear" w:color="auto" w:fill="auto"/>
            <w:noWrap/>
            <w:vAlign w:val="bottom"/>
            <w:hideMark/>
          </w:tcPr>
          <w:p w14:paraId="5A436071"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475</w:t>
            </w:r>
          </w:p>
        </w:tc>
        <w:tc>
          <w:tcPr>
            <w:tcW w:w="1218" w:type="dxa"/>
            <w:tcBorders>
              <w:top w:val="nil"/>
              <w:left w:val="nil"/>
              <w:bottom w:val="nil"/>
              <w:right w:val="nil"/>
            </w:tcBorders>
            <w:shd w:val="clear" w:color="auto" w:fill="auto"/>
            <w:noWrap/>
            <w:vAlign w:val="bottom"/>
            <w:hideMark/>
          </w:tcPr>
          <w:p w14:paraId="65D7BF4B"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20D27DD5"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145</w:t>
            </w:r>
          </w:p>
        </w:tc>
        <w:tc>
          <w:tcPr>
            <w:tcW w:w="1218" w:type="dxa"/>
            <w:tcBorders>
              <w:top w:val="single" w:sz="4" w:space="0" w:color="4F81BD"/>
              <w:left w:val="nil"/>
              <w:bottom w:val="nil"/>
              <w:right w:val="single" w:sz="4" w:space="0" w:color="4F81BD"/>
            </w:tcBorders>
            <w:shd w:val="clear" w:color="auto" w:fill="auto"/>
            <w:noWrap/>
            <w:vAlign w:val="bottom"/>
            <w:hideMark/>
          </w:tcPr>
          <w:p w14:paraId="46322933"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1025</w:t>
            </w:r>
          </w:p>
        </w:tc>
      </w:tr>
      <w:tr w:rsidR="00362B22" w:rsidRPr="004C0F3D" w14:paraId="0736FE28"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36B4782B"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150</w:t>
            </w:r>
          </w:p>
        </w:tc>
        <w:tc>
          <w:tcPr>
            <w:tcW w:w="1218" w:type="dxa"/>
            <w:tcBorders>
              <w:top w:val="single" w:sz="4" w:space="0" w:color="4F81BD"/>
              <w:left w:val="nil"/>
              <w:bottom w:val="nil"/>
              <w:right w:val="single" w:sz="4" w:space="0" w:color="4F81BD"/>
            </w:tcBorders>
            <w:shd w:val="clear" w:color="auto" w:fill="auto"/>
            <w:noWrap/>
            <w:vAlign w:val="bottom"/>
            <w:hideMark/>
          </w:tcPr>
          <w:p w14:paraId="4472E51C"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450</w:t>
            </w:r>
          </w:p>
        </w:tc>
        <w:tc>
          <w:tcPr>
            <w:tcW w:w="1218" w:type="dxa"/>
            <w:tcBorders>
              <w:top w:val="nil"/>
              <w:left w:val="nil"/>
              <w:bottom w:val="nil"/>
              <w:right w:val="nil"/>
            </w:tcBorders>
            <w:shd w:val="clear" w:color="auto" w:fill="auto"/>
            <w:noWrap/>
            <w:vAlign w:val="bottom"/>
            <w:hideMark/>
          </w:tcPr>
          <w:p w14:paraId="06CC34B3"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630E5C1D"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150</w:t>
            </w:r>
          </w:p>
        </w:tc>
        <w:tc>
          <w:tcPr>
            <w:tcW w:w="1218" w:type="dxa"/>
            <w:tcBorders>
              <w:top w:val="single" w:sz="4" w:space="0" w:color="4F81BD"/>
              <w:left w:val="nil"/>
              <w:bottom w:val="nil"/>
              <w:right w:val="single" w:sz="4" w:space="0" w:color="4F81BD"/>
            </w:tcBorders>
            <w:shd w:val="clear" w:color="auto" w:fill="auto"/>
            <w:noWrap/>
            <w:vAlign w:val="bottom"/>
            <w:hideMark/>
          </w:tcPr>
          <w:p w14:paraId="38F0C15E"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1050</w:t>
            </w:r>
          </w:p>
        </w:tc>
      </w:tr>
      <w:tr w:rsidR="00362B22" w:rsidRPr="004C0F3D" w14:paraId="20B4F206"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63C0F130"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155</w:t>
            </w:r>
          </w:p>
        </w:tc>
        <w:tc>
          <w:tcPr>
            <w:tcW w:w="1218" w:type="dxa"/>
            <w:tcBorders>
              <w:top w:val="single" w:sz="4" w:space="0" w:color="4F81BD"/>
              <w:left w:val="nil"/>
              <w:bottom w:val="nil"/>
              <w:right w:val="single" w:sz="4" w:space="0" w:color="4F81BD"/>
            </w:tcBorders>
            <w:shd w:val="clear" w:color="auto" w:fill="auto"/>
            <w:noWrap/>
            <w:vAlign w:val="bottom"/>
            <w:hideMark/>
          </w:tcPr>
          <w:p w14:paraId="7BF1A22A"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425</w:t>
            </w:r>
          </w:p>
        </w:tc>
        <w:tc>
          <w:tcPr>
            <w:tcW w:w="1218" w:type="dxa"/>
            <w:tcBorders>
              <w:top w:val="nil"/>
              <w:left w:val="nil"/>
              <w:bottom w:val="nil"/>
              <w:right w:val="nil"/>
            </w:tcBorders>
            <w:shd w:val="clear" w:color="auto" w:fill="auto"/>
            <w:noWrap/>
            <w:vAlign w:val="bottom"/>
            <w:hideMark/>
          </w:tcPr>
          <w:p w14:paraId="7FE71C64"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60392156"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155</w:t>
            </w:r>
          </w:p>
        </w:tc>
        <w:tc>
          <w:tcPr>
            <w:tcW w:w="1218" w:type="dxa"/>
            <w:tcBorders>
              <w:top w:val="single" w:sz="4" w:space="0" w:color="4F81BD"/>
              <w:left w:val="nil"/>
              <w:bottom w:val="nil"/>
              <w:right w:val="single" w:sz="4" w:space="0" w:color="4F81BD"/>
            </w:tcBorders>
            <w:shd w:val="clear" w:color="auto" w:fill="auto"/>
            <w:noWrap/>
            <w:vAlign w:val="bottom"/>
            <w:hideMark/>
          </w:tcPr>
          <w:p w14:paraId="0AC0C792"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1075</w:t>
            </w:r>
          </w:p>
        </w:tc>
      </w:tr>
      <w:tr w:rsidR="00362B22" w:rsidRPr="004C0F3D" w14:paraId="63B18249"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58B59CAE"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160</w:t>
            </w:r>
          </w:p>
        </w:tc>
        <w:tc>
          <w:tcPr>
            <w:tcW w:w="1218" w:type="dxa"/>
            <w:tcBorders>
              <w:top w:val="single" w:sz="4" w:space="0" w:color="4F81BD"/>
              <w:left w:val="nil"/>
              <w:bottom w:val="nil"/>
              <w:right w:val="single" w:sz="4" w:space="0" w:color="4F81BD"/>
            </w:tcBorders>
            <w:shd w:val="clear" w:color="auto" w:fill="auto"/>
            <w:noWrap/>
            <w:vAlign w:val="bottom"/>
            <w:hideMark/>
          </w:tcPr>
          <w:p w14:paraId="4A48AA82"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400</w:t>
            </w:r>
          </w:p>
        </w:tc>
        <w:tc>
          <w:tcPr>
            <w:tcW w:w="1218" w:type="dxa"/>
            <w:tcBorders>
              <w:top w:val="nil"/>
              <w:left w:val="nil"/>
              <w:bottom w:val="nil"/>
              <w:right w:val="nil"/>
            </w:tcBorders>
            <w:shd w:val="clear" w:color="auto" w:fill="auto"/>
            <w:noWrap/>
            <w:vAlign w:val="bottom"/>
            <w:hideMark/>
          </w:tcPr>
          <w:p w14:paraId="60C21B43"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119CB19C"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160</w:t>
            </w:r>
          </w:p>
        </w:tc>
        <w:tc>
          <w:tcPr>
            <w:tcW w:w="1218" w:type="dxa"/>
            <w:tcBorders>
              <w:top w:val="single" w:sz="4" w:space="0" w:color="4F81BD"/>
              <w:left w:val="nil"/>
              <w:bottom w:val="nil"/>
              <w:right w:val="single" w:sz="4" w:space="0" w:color="4F81BD"/>
            </w:tcBorders>
            <w:shd w:val="clear" w:color="auto" w:fill="auto"/>
            <w:noWrap/>
            <w:vAlign w:val="bottom"/>
            <w:hideMark/>
          </w:tcPr>
          <w:p w14:paraId="43566019"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1100</w:t>
            </w:r>
          </w:p>
        </w:tc>
      </w:tr>
      <w:tr w:rsidR="00362B22" w:rsidRPr="004C0F3D" w14:paraId="16256A9A"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2BE0173E"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165</w:t>
            </w:r>
          </w:p>
        </w:tc>
        <w:tc>
          <w:tcPr>
            <w:tcW w:w="1218" w:type="dxa"/>
            <w:tcBorders>
              <w:top w:val="single" w:sz="4" w:space="0" w:color="4F81BD"/>
              <w:left w:val="nil"/>
              <w:bottom w:val="nil"/>
              <w:right w:val="single" w:sz="4" w:space="0" w:color="4F81BD"/>
            </w:tcBorders>
            <w:shd w:val="clear" w:color="auto" w:fill="auto"/>
            <w:noWrap/>
            <w:vAlign w:val="bottom"/>
            <w:hideMark/>
          </w:tcPr>
          <w:p w14:paraId="4EE86E81"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375</w:t>
            </w:r>
          </w:p>
        </w:tc>
        <w:tc>
          <w:tcPr>
            <w:tcW w:w="1218" w:type="dxa"/>
            <w:tcBorders>
              <w:top w:val="nil"/>
              <w:left w:val="nil"/>
              <w:bottom w:val="nil"/>
              <w:right w:val="nil"/>
            </w:tcBorders>
            <w:shd w:val="clear" w:color="auto" w:fill="auto"/>
            <w:noWrap/>
            <w:vAlign w:val="bottom"/>
            <w:hideMark/>
          </w:tcPr>
          <w:p w14:paraId="45E4218E"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5BE8247E"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165</w:t>
            </w:r>
          </w:p>
        </w:tc>
        <w:tc>
          <w:tcPr>
            <w:tcW w:w="1218" w:type="dxa"/>
            <w:tcBorders>
              <w:top w:val="single" w:sz="4" w:space="0" w:color="4F81BD"/>
              <w:left w:val="nil"/>
              <w:bottom w:val="nil"/>
              <w:right w:val="single" w:sz="4" w:space="0" w:color="4F81BD"/>
            </w:tcBorders>
            <w:shd w:val="clear" w:color="auto" w:fill="auto"/>
            <w:noWrap/>
            <w:vAlign w:val="bottom"/>
            <w:hideMark/>
          </w:tcPr>
          <w:p w14:paraId="73CCE2CB"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1125</w:t>
            </w:r>
          </w:p>
        </w:tc>
      </w:tr>
      <w:tr w:rsidR="00362B22" w:rsidRPr="004C0F3D" w14:paraId="21C81A6A"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34775C4E"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170</w:t>
            </w:r>
          </w:p>
        </w:tc>
        <w:tc>
          <w:tcPr>
            <w:tcW w:w="1218" w:type="dxa"/>
            <w:tcBorders>
              <w:top w:val="single" w:sz="4" w:space="0" w:color="4F81BD"/>
              <w:left w:val="nil"/>
              <w:bottom w:val="nil"/>
              <w:right w:val="single" w:sz="4" w:space="0" w:color="4F81BD"/>
            </w:tcBorders>
            <w:shd w:val="clear" w:color="auto" w:fill="auto"/>
            <w:noWrap/>
            <w:vAlign w:val="bottom"/>
            <w:hideMark/>
          </w:tcPr>
          <w:p w14:paraId="621CE550"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350</w:t>
            </w:r>
          </w:p>
        </w:tc>
        <w:tc>
          <w:tcPr>
            <w:tcW w:w="1218" w:type="dxa"/>
            <w:tcBorders>
              <w:top w:val="nil"/>
              <w:left w:val="nil"/>
              <w:bottom w:val="nil"/>
              <w:right w:val="nil"/>
            </w:tcBorders>
            <w:shd w:val="clear" w:color="auto" w:fill="auto"/>
            <w:noWrap/>
            <w:vAlign w:val="bottom"/>
            <w:hideMark/>
          </w:tcPr>
          <w:p w14:paraId="09962B1F"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6100FDCE"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170</w:t>
            </w:r>
          </w:p>
        </w:tc>
        <w:tc>
          <w:tcPr>
            <w:tcW w:w="1218" w:type="dxa"/>
            <w:tcBorders>
              <w:top w:val="single" w:sz="4" w:space="0" w:color="4F81BD"/>
              <w:left w:val="nil"/>
              <w:bottom w:val="nil"/>
              <w:right w:val="single" w:sz="4" w:space="0" w:color="4F81BD"/>
            </w:tcBorders>
            <w:shd w:val="clear" w:color="auto" w:fill="auto"/>
            <w:noWrap/>
            <w:vAlign w:val="bottom"/>
            <w:hideMark/>
          </w:tcPr>
          <w:p w14:paraId="7E15B4DA"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1150</w:t>
            </w:r>
          </w:p>
        </w:tc>
      </w:tr>
      <w:tr w:rsidR="00362B22" w:rsidRPr="004C0F3D" w14:paraId="0A9445BA"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14AA1ADE"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175</w:t>
            </w:r>
          </w:p>
        </w:tc>
        <w:tc>
          <w:tcPr>
            <w:tcW w:w="1218" w:type="dxa"/>
            <w:tcBorders>
              <w:top w:val="single" w:sz="4" w:space="0" w:color="4F81BD"/>
              <w:left w:val="nil"/>
              <w:bottom w:val="nil"/>
              <w:right w:val="single" w:sz="4" w:space="0" w:color="4F81BD"/>
            </w:tcBorders>
            <w:shd w:val="clear" w:color="auto" w:fill="auto"/>
            <w:noWrap/>
            <w:vAlign w:val="bottom"/>
            <w:hideMark/>
          </w:tcPr>
          <w:p w14:paraId="5CD57FA1"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325</w:t>
            </w:r>
          </w:p>
        </w:tc>
        <w:tc>
          <w:tcPr>
            <w:tcW w:w="1218" w:type="dxa"/>
            <w:tcBorders>
              <w:top w:val="nil"/>
              <w:left w:val="nil"/>
              <w:bottom w:val="nil"/>
              <w:right w:val="nil"/>
            </w:tcBorders>
            <w:shd w:val="clear" w:color="auto" w:fill="auto"/>
            <w:noWrap/>
            <w:vAlign w:val="bottom"/>
            <w:hideMark/>
          </w:tcPr>
          <w:p w14:paraId="058E1A2F"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378F369F"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175</w:t>
            </w:r>
          </w:p>
        </w:tc>
        <w:tc>
          <w:tcPr>
            <w:tcW w:w="1218" w:type="dxa"/>
            <w:tcBorders>
              <w:top w:val="single" w:sz="4" w:space="0" w:color="4F81BD"/>
              <w:left w:val="nil"/>
              <w:bottom w:val="nil"/>
              <w:right w:val="single" w:sz="4" w:space="0" w:color="4F81BD"/>
            </w:tcBorders>
            <w:shd w:val="clear" w:color="auto" w:fill="auto"/>
            <w:noWrap/>
            <w:vAlign w:val="bottom"/>
            <w:hideMark/>
          </w:tcPr>
          <w:p w14:paraId="0C2F386C"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1175</w:t>
            </w:r>
          </w:p>
        </w:tc>
      </w:tr>
      <w:tr w:rsidR="00362B22" w:rsidRPr="004C0F3D" w14:paraId="5978FACC"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7543B6C6"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180</w:t>
            </w:r>
          </w:p>
        </w:tc>
        <w:tc>
          <w:tcPr>
            <w:tcW w:w="1218" w:type="dxa"/>
            <w:tcBorders>
              <w:top w:val="single" w:sz="4" w:space="0" w:color="4F81BD"/>
              <w:left w:val="nil"/>
              <w:bottom w:val="nil"/>
              <w:right w:val="single" w:sz="4" w:space="0" w:color="4F81BD"/>
            </w:tcBorders>
            <w:shd w:val="clear" w:color="auto" w:fill="auto"/>
            <w:noWrap/>
            <w:vAlign w:val="bottom"/>
            <w:hideMark/>
          </w:tcPr>
          <w:p w14:paraId="41C7D1B3"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300</w:t>
            </w:r>
          </w:p>
        </w:tc>
        <w:tc>
          <w:tcPr>
            <w:tcW w:w="1218" w:type="dxa"/>
            <w:tcBorders>
              <w:top w:val="nil"/>
              <w:left w:val="nil"/>
              <w:bottom w:val="nil"/>
              <w:right w:val="nil"/>
            </w:tcBorders>
            <w:shd w:val="clear" w:color="auto" w:fill="auto"/>
            <w:noWrap/>
            <w:vAlign w:val="bottom"/>
            <w:hideMark/>
          </w:tcPr>
          <w:p w14:paraId="29C49EF7"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77132286"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180</w:t>
            </w:r>
          </w:p>
        </w:tc>
        <w:tc>
          <w:tcPr>
            <w:tcW w:w="1218" w:type="dxa"/>
            <w:tcBorders>
              <w:top w:val="single" w:sz="4" w:space="0" w:color="4F81BD"/>
              <w:left w:val="nil"/>
              <w:bottom w:val="nil"/>
              <w:right w:val="single" w:sz="4" w:space="0" w:color="4F81BD"/>
            </w:tcBorders>
            <w:shd w:val="clear" w:color="auto" w:fill="auto"/>
            <w:noWrap/>
            <w:vAlign w:val="bottom"/>
            <w:hideMark/>
          </w:tcPr>
          <w:p w14:paraId="342062BF"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1200</w:t>
            </w:r>
          </w:p>
        </w:tc>
      </w:tr>
      <w:tr w:rsidR="00362B22" w:rsidRPr="004C0F3D" w14:paraId="40FA568F"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113A53E8"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185</w:t>
            </w:r>
          </w:p>
        </w:tc>
        <w:tc>
          <w:tcPr>
            <w:tcW w:w="1218" w:type="dxa"/>
            <w:tcBorders>
              <w:top w:val="single" w:sz="4" w:space="0" w:color="4F81BD"/>
              <w:left w:val="nil"/>
              <w:bottom w:val="nil"/>
              <w:right w:val="single" w:sz="4" w:space="0" w:color="4F81BD"/>
            </w:tcBorders>
            <w:shd w:val="clear" w:color="auto" w:fill="auto"/>
            <w:noWrap/>
            <w:vAlign w:val="bottom"/>
            <w:hideMark/>
          </w:tcPr>
          <w:p w14:paraId="05B19F10"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275</w:t>
            </w:r>
          </w:p>
        </w:tc>
        <w:tc>
          <w:tcPr>
            <w:tcW w:w="1218" w:type="dxa"/>
            <w:tcBorders>
              <w:top w:val="nil"/>
              <w:left w:val="nil"/>
              <w:bottom w:val="nil"/>
              <w:right w:val="nil"/>
            </w:tcBorders>
            <w:shd w:val="clear" w:color="auto" w:fill="auto"/>
            <w:noWrap/>
            <w:vAlign w:val="bottom"/>
            <w:hideMark/>
          </w:tcPr>
          <w:p w14:paraId="0A2FC9A2"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665714C1"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185</w:t>
            </w:r>
          </w:p>
        </w:tc>
        <w:tc>
          <w:tcPr>
            <w:tcW w:w="1218" w:type="dxa"/>
            <w:tcBorders>
              <w:top w:val="single" w:sz="4" w:space="0" w:color="4F81BD"/>
              <w:left w:val="nil"/>
              <w:bottom w:val="nil"/>
              <w:right w:val="single" w:sz="4" w:space="0" w:color="4F81BD"/>
            </w:tcBorders>
            <w:shd w:val="clear" w:color="auto" w:fill="auto"/>
            <w:noWrap/>
            <w:vAlign w:val="bottom"/>
            <w:hideMark/>
          </w:tcPr>
          <w:p w14:paraId="35C42634"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1225</w:t>
            </w:r>
          </w:p>
        </w:tc>
      </w:tr>
      <w:tr w:rsidR="00362B22" w:rsidRPr="004C0F3D" w14:paraId="5A2CF294"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5ED7723B"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190</w:t>
            </w:r>
          </w:p>
        </w:tc>
        <w:tc>
          <w:tcPr>
            <w:tcW w:w="1218" w:type="dxa"/>
            <w:tcBorders>
              <w:top w:val="single" w:sz="4" w:space="0" w:color="4F81BD"/>
              <w:left w:val="nil"/>
              <w:bottom w:val="nil"/>
              <w:right w:val="single" w:sz="4" w:space="0" w:color="4F81BD"/>
            </w:tcBorders>
            <w:shd w:val="clear" w:color="auto" w:fill="auto"/>
            <w:noWrap/>
            <w:vAlign w:val="bottom"/>
            <w:hideMark/>
          </w:tcPr>
          <w:p w14:paraId="0A4629D0"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250</w:t>
            </w:r>
          </w:p>
        </w:tc>
        <w:tc>
          <w:tcPr>
            <w:tcW w:w="1218" w:type="dxa"/>
            <w:tcBorders>
              <w:top w:val="nil"/>
              <w:left w:val="nil"/>
              <w:bottom w:val="nil"/>
              <w:right w:val="nil"/>
            </w:tcBorders>
            <w:shd w:val="clear" w:color="auto" w:fill="auto"/>
            <w:noWrap/>
            <w:vAlign w:val="bottom"/>
            <w:hideMark/>
          </w:tcPr>
          <w:p w14:paraId="40BEC503"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7198E39F"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190</w:t>
            </w:r>
          </w:p>
        </w:tc>
        <w:tc>
          <w:tcPr>
            <w:tcW w:w="1218" w:type="dxa"/>
            <w:tcBorders>
              <w:top w:val="single" w:sz="4" w:space="0" w:color="4F81BD"/>
              <w:left w:val="nil"/>
              <w:bottom w:val="nil"/>
              <w:right w:val="single" w:sz="4" w:space="0" w:color="4F81BD"/>
            </w:tcBorders>
            <w:shd w:val="clear" w:color="auto" w:fill="auto"/>
            <w:noWrap/>
            <w:vAlign w:val="bottom"/>
            <w:hideMark/>
          </w:tcPr>
          <w:p w14:paraId="11613B4F"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1250</w:t>
            </w:r>
          </w:p>
        </w:tc>
      </w:tr>
      <w:tr w:rsidR="00362B22" w:rsidRPr="004C0F3D" w14:paraId="05EAE00D"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09631067"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195</w:t>
            </w:r>
          </w:p>
        </w:tc>
        <w:tc>
          <w:tcPr>
            <w:tcW w:w="1218" w:type="dxa"/>
            <w:tcBorders>
              <w:top w:val="single" w:sz="4" w:space="0" w:color="4F81BD"/>
              <w:left w:val="nil"/>
              <w:bottom w:val="nil"/>
              <w:right w:val="single" w:sz="4" w:space="0" w:color="4F81BD"/>
            </w:tcBorders>
            <w:shd w:val="clear" w:color="auto" w:fill="auto"/>
            <w:noWrap/>
            <w:vAlign w:val="bottom"/>
            <w:hideMark/>
          </w:tcPr>
          <w:p w14:paraId="387903D4"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225</w:t>
            </w:r>
          </w:p>
        </w:tc>
        <w:tc>
          <w:tcPr>
            <w:tcW w:w="1218" w:type="dxa"/>
            <w:tcBorders>
              <w:top w:val="nil"/>
              <w:left w:val="nil"/>
              <w:bottom w:val="nil"/>
              <w:right w:val="nil"/>
            </w:tcBorders>
            <w:shd w:val="clear" w:color="auto" w:fill="auto"/>
            <w:noWrap/>
            <w:vAlign w:val="bottom"/>
            <w:hideMark/>
          </w:tcPr>
          <w:p w14:paraId="1594AFA3"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0422CEF8"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195</w:t>
            </w:r>
          </w:p>
        </w:tc>
        <w:tc>
          <w:tcPr>
            <w:tcW w:w="1218" w:type="dxa"/>
            <w:tcBorders>
              <w:top w:val="single" w:sz="4" w:space="0" w:color="4F81BD"/>
              <w:left w:val="nil"/>
              <w:bottom w:val="nil"/>
              <w:right w:val="single" w:sz="4" w:space="0" w:color="4F81BD"/>
            </w:tcBorders>
            <w:shd w:val="clear" w:color="auto" w:fill="auto"/>
            <w:noWrap/>
            <w:vAlign w:val="bottom"/>
            <w:hideMark/>
          </w:tcPr>
          <w:p w14:paraId="466AAFE6"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1275</w:t>
            </w:r>
          </w:p>
        </w:tc>
      </w:tr>
      <w:tr w:rsidR="00362B22" w:rsidRPr="004C0F3D" w14:paraId="5B1ADD26"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1EA20FDE"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200</w:t>
            </w:r>
          </w:p>
        </w:tc>
        <w:tc>
          <w:tcPr>
            <w:tcW w:w="1218" w:type="dxa"/>
            <w:tcBorders>
              <w:top w:val="single" w:sz="4" w:space="0" w:color="4F81BD"/>
              <w:left w:val="nil"/>
              <w:bottom w:val="nil"/>
              <w:right w:val="single" w:sz="4" w:space="0" w:color="4F81BD"/>
            </w:tcBorders>
            <w:shd w:val="clear" w:color="auto" w:fill="auto"/>
            <w:noWrap/>
            <w:vAlign w:val="bottom"/>
            <w:hideMark/>
          </w:tcPr>
          <w:p w14:paraId="4A477384"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200</w:t>
            </w:r>
          </w:p>
        </w:tc>
        <w:tc>
          <w:tcPr>
            <w:tcW w:w="1218" w:type="dxa"/>
            <w:tcBorders>
              <w:top w:val="nil"/>
              <w:left w:val="nil"/>
              <w:bottom w:val="nil"/>
              <w:right w:val="nil"/>
            </w:tcBorders>
            <w:shd w:val="clear" w:color="auto" w:fill="auto"/>
            <w:noWrap/>
            <w:vAlign w:val="bottom"/>
            <w:hideMark/>
          </w:tcPr>
          <w:p w14:paraId="32276DD0"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2DAC9CC1"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200</w:t>
            </w:r>
          </w:p>
        </w:tc>
        <w:tc>
          <w:tcPr>
            <w:tcW w:w="1218" w:type="dxa"/>
            <w:tcBorders>
              <w:top w:val="single" w:sz="4" w:space="0" w:color="4F81BD"/>
              <w:left w:val="nil"/>
              <w:bottom w:val="nil"/>
              <w:right w:val="single" w:sz="4" w:space="0" w:color="4F81BD"/>
            </w:tcBorders>
            <w:shd w:val="clear" w:color="auto" w:fill="auto"/>
            <w:noWrap/>
            <w:vAlign w:val="bottom"/>
            <w:hideMark/>
          </w:tcPr>
          <w:p w14:paraId="520669EF"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1300</w:t>
            </w:r>
          </w:p>
        </w:tc>
      </w:tr>
      <w:tr w:rsidR="00362B22" w:rsidRPr="004C0F3D" w14:paraId="4014A2A7"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30A2E727"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lastRenderedPageBreak/>
              <w:t>205</w:t>
            </w:r>
          </w:p>
        </w:tc>
        <w:tc>
          <w:tcPr>
            <w:tcW w:w="1218" w:type="dxa"/>
            <w:tcBorders>
              <w:top w:val="single" w:sz="4" w:space="0" w:color="4F81BD"/>
              <w:left w:val="nil"/>
              <w:bottom w:val="nil"/>
              <w:right w:val="single" w:sz="4" w:space="0" w:color="4F81BD"/>
            </w:tcBorders>
            <w:shd w:val="clear" w:color="auto" w:fill="auto"/>
            <w:noWrap/>
            <w:vAlign w:val="bottom"/>
            <w:hideMark/>
          </w:tcPr>
          <w:p w14:paraId="748A8FAB"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175</w:t>
            </w:r>
          </w:p>
        </w:tc>
        <w:tc>
          <w:tcPr>
            <w:tcW w:w="1218" w:type="dxa"/>
            <w:tcBorders>
              <w:top w:val="nil"/>
              <w:left w:val="nil"/>
              <w:bottom w:val="nil"/>
              <w:right w:val="nil"/>
            </w:tcBorders>
            <w:shd w:val="clear" w:color="auto" w:fill="auto"/>
            <w:noWrap/>
            <w:vAlign w:val="bottom"/>
            <w:hideMark/>
          </w:tcPr>
          <w:p w14:paraId="02B67E6C"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2E1CACE8"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205</w:t>
            </w:r>
          </w:p>
        </w:tc>
        <w:tc>
          <w:tcPr>
            <w:tcW w:w="1218" w:type="dxa"/>
            <w:tcBorders>
              <w:top w:val="single" w:sz="4" w:space="0" w:color="4F81BD"/>
              <w:left w:val="nil"/>
              <w:bottom w:val="nil"/>
              <w:right w:val="single" w:sz="4" w:space="0" w:color="4F81BD"/>
            </w:tcBorders>
            <w:shd w:val="clear" w:color="auto" w:fill="auto"/>
            <w:noWrap/>
            <w:vAlign w:val="bottom"/>
            <w:hideMark/>
          </w:tcPr>
          <w:p w14:paraId="1D22188D"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1325</w:t>
            </w:r>
          </w:p>
        </w:tc>
      </w:tr>
      <w:tr w:rsidR="00362B22" w:rsidRPr="004C0F3D" w14:paraId="44358F9A"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72B0BACE"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210</w:t>
            </w:r>
          </w:p>
        </w:tc>
        <w:tc>
          <w:tcPr>
            <w:tcW w:w="1218" w:type="dxa"/>
            <w:tcBorders>
              <w:top w:val="single" w:sz="4" w:space="0" w:color="4F81BD"/>
              <w:left w:val="nil"/>
              <w:bottom w:val="nil"/>
              <w:right w:val="single" w:sz="4" w:space="0" w:color="4F81BD"/>
            </w:tcBorders>
            <w:shd w:val="clear" w:color="auto" w:fill="auto"/>
            <w:noWrap/>
            <w:vAlign w:val="bottom"/>
            <w:hideMark/>
          </w:tcPr>
          <w:p w14:paraId="00FB5E63"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150</w:t>
            </w:r>
          </w:p>
        </w:tc>
        <w:tc>
          <w:tcPr>
            <w:tcW w:w="1218" w:type="dxa"/>
            <w:tcBorders>
              <w:top w:val="nil"/>
              <w:left w:val="nil"/>
              <w:bottom w:val="nil"/>
              <w:right w:val="nil"/>
            </w:tcBorders>
            <w:shd w:val="clear" w:color="auto" w:fill="auto"/>
            <w:noWrap/>
            <w:vAlign w:val="bottom"/>
            <w:hideMark/>
          </w:tcPr>
          <w:p w14:paraId="46609EA8"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03B370B2"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210</w:t>
            </w:r>
          </w:p>
        </w:tc>
        <w:tc>
          <w:tcPr>
            <w:tcW w:w="1218" w:type="dxa"/>
            <w:tcBorders>
              <w:top w:val="single" w:sz="4" w:space="0" w:color="4F81BD"/>
              <w:left w:val="nil"/>
              <w:bottom w:val="nil"/>
              <w:right w:val="single" w:sz="4" w:space="0" w:color="4F81BD"/>
            </w:tcBorders>
            <w:shd w:val="clear" w:color="auto" w:fill="auto"/>
            <w:noWrap/>
            <w:vAlign w:val="bottom"/>
            <w:hideMark/>
          </w:tcPr>
          <w:p w14:paraId="15F71D8E"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1350</w:t>
            </w:r>
          </w:p>
        </w:tc>
      </w:tr>
      <w:tr w:rsidR="00362B22" w:rsidRPr="004C0F3D" w14:paraId="37258598"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55D2D791"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215</w:t>
            </w:r>
          </w:p>
        </w:tc>
        <w:tc>
          <w:tcPr>
            <w:tcW w:w="1218" w:type="dxa"/>
            <w:tcBorders>
              <w:top w:val="single" w:sz="4" w:space="0" w:color="4F81BD"/>
              <w:left w:val="nil"/>
              <w:bottom w:val="nil"/>
              <w:right w:val="single" w:sz="4" w:space="0" w:color="4F81BD"/>
            </w:tcBorders>
            <w:shd w:val="clear" w:color="auto" w:fill="auto"/>
            <w:noWrap/>
            <w:vAlign w:val="bottom"/>
            <w:hideMark/>
          </w:tcPr>
          <w:p w14:paraId="14A4C09A"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125</w:t>
            </w:r>
          </w:p>
        </w:tc>
        <w:tc>
          <w:tcPr>
            <w:tcW w:w="1218" w:type="dxa"/>
            <w:tcBorders>
              <w:top w:val="nil"/>
              <w:left w:val="nil"/>
              <w:bottom w:val="nil"/>
              <w:right w:val="nil"/>
            </w:tcBorders>
            <w:shd w:val="clear" w:color="auto" w:fill="auto"/>
            <w:noWrap/>
            <w:vAlign w:val="bottom"/>
            <w:hideMark/>
          </w:tcPr>
          <w:p w14:paraId="0F7D8F24"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5EE91E96"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215</w:t>
            </w:r>
          </w:p>
        </w:tc>
        <w:tc>
          <w:tcPr>
            <w:tcW w:w="1218" w:type="dxa"/>
            <w:tcBorders>
              <w:top w:val="single" w:sz="4" w:space="0" w:color="4F81BD"/>
              <w:left w:val="nil"/>
              <w:bottom w:val="nil"/>
              <w:right w:val="single" w:sz="4" w:space="0" w:color="4F81BD"/>
            </w:tcBorders>
            <w:shd w:val="clear" w:color="auto" w:fill="auto"/>
            <w:noWrap/>
            <w:vAlign w:val="bottom"/>
            <w:hideMark/>
          </w:tcPr>
          <w:p w14:paraId="30473769"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1375</w:t>
            </w:r>
          </w:p>
        </w:tc>
      </w:tr>
      <w:tr w:rsidR="00362B22" w:rsidRPr="004C0F3D" w14:paraId="22E4D961"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3582F8E1"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220</w:t>
            </w:r>
          </w:p>
        </w:tc>
        <w:tc>
          <w:tcPr>
            <w:tcW w:w="1218" w:type="dxa"/>
            <w:tcBorders>
              <w:top w:val="single" w:sz="4" w:space="0" w:color="4F81BD"/>
              <w:left w:val="nil"/>
              <w:bottom w:val="nil"/>
              <w:right w:val="single" w:sz="4" w:space="0" w:color="4F81BD"/>
            </w:tcBorders>
            <w:shd w:val="clear" w:color="auto" w:fill="auto"/>
            <w:noWrap/>
            <w:vAlign w:val="bottom"/>
            <w:hideMark/>
          </w:tcPr>
          <w:p w14:paraId="7C928F59"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100</w:t>
            </w:r>
          </w:p>
        </w:tc>
        <w:tc>
          <w:tcPr>
            <w:tcW w:w="1218" w:type="dxa"/>
            <w:tcBorders>
              <w:top w:val="nil"/>
              <w:left w:val="nil"/>
              <w:bottom w:val="nil"/>
              <w:right w:val="nil"/>
            </w:tcBorders>
            <w:shd w:val="clear" w:color="auto" w:fill="auto"/>
            <w:noWrap/>
            <w:vAlign w:val="bottom"/>
            <w:hideMark/>
          </w:tcPr>
          <w:p w14:paraId="1D9251B4"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11553059"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220</w:t>
            </w:r>
          </w:p>
        </w:tc>
        <w:tc>
          <w:tcPr>
            <w:tcW w:w="1218" w:type="dxa"/>
            <w:tcBorders>
              <w:top w:val="single" w:sz="4" w:space="0" w:color="4F81BD"/>
              <w:left w:val="nil"/>
              <w:bottom w:val="nil"/>
              <w:right w:val="single" w:sz="4" w:space="0" w:color="4F81BD"/>
            </w:tcBorders>
            <w:shd w:val="clear" w:color="auto" w:fill="auto"/>
            <w:noWrap/>
            <w:vAlign w:val="bottom"/>
            <w:hideMark/>
          </w:tcPr>
          <w:p w14:paraId="0C2C8487"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1400</w:t>
            </w:r>
          </w:p>
        </w:tc>
      </w:tr>
      <w:tr w:rsidR="00362B22" w:rsidRPr="004C0F3D" w14:paraId="0F6EA465"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407429C4"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225</w:t>
            </w:r>
          </w:p>
        </w:tc>
        <w:tc>
          <w:tcPr>
            <w:tcW w:w="1218" w:type="dxa"/>
            <w:tcBorders>
              <w:top w:val="single" w:sz="4" w:space="0" w:color="4F81BD"/>
              <w:left w:val="nil"/>
              <w:bottom w:val="nil"/>
              <w:right w:val="single" w:sz="4" w:space="0" w:color="4F81BD"/>
            </w:tcBorders>
            <w:shd w:val="clear" w:color="auto" w:fill="auto"/>
            <w:noWrap/>
            <w:vAlign w:val="bottom"/>
            <w:hideMark/>
          </w:tcPr>
          <w:p w14:paraId="437321A4"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75</w:t>
            </w:r>
          </w:p>
        </w:tc>
        <w:tc>
          <w:tcPr>
            <w:tcW w:w="1218" w:type="dxa"/>
            <w:tcBorders>
              <w:top w:val="nil"/>
              <w:left w:val="nil"/>
              <w:bottom w:val="nil"/>
              <w:right w:val="nil"/>
            </w:tcBorders>
            <w:shd w:val="clear" w:color="auto" w:fill="auto"/>
            <w:noWrap/>
            <w:vAlign w:val="bottom"/>
            <w:hideMark/>
          </w:tcPr>
          <w:p w14:paraId="32DE5776"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16CE1D44"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225</w:t>
            </w:r>
          </w:p>
        </w:tc>
        <w:tc>
          <w:tcPr>
            <w:tcW w:w="1218" w:type="dxa"/>
            <w:tcBorders>
              <w:top w:val="single" w:sz="4" w:space="0" w:color="4F81BD"/>
              <w:left w:val="nil"/>
              <w:bottom w:val="nil"/>
              <w:right w:val="single" w:sz="4" w:space="0" w:color="4F81BD"/>
            </w:tcBorders>
            <w:shd w:val="clear" w:color="auto" w:fill="auto"/>
            <w:noWrap/>
            <w:vAlign w:val="bottom"/>
            <w:hideMark/>
          </w:tcPr>
          <w:p w14:paraId="7C45738B"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1425</w:t>
            </w:r>
          </w:p>
        </w:tc>
      </w:tr>
      <w:tr w:rsidR="00362B22" w:rsidRPr="004C0F3D" w14:paraId="21EE018D"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22A564C6"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230</w:t>
            </w:r>
          </w:p>
        </w:tc>
        <w:tc>
          <w:tcPr>
            <w:tcW w:w="1218" w:type="dxa"/>
            <w:tcBorders>
              <w:top w:val="single" w:sz="4" w:space="0" w:color="4F81BD"/>
              <w:left w:val="nil"/>
              <w:bottom w:val="nil"/>
              <w:right w:val="single" w:sz="4" w:space="0" w:color="4F81BD"/>
            </w:tcBorders>
            <w:shd w:val="clear" w:color="auto" w:fill="auto"/>
            <w:noWrap/>
            <w:vAlign w:val="bottom"/>
            <w:hideMark/>
          </w:tcPr>
          <w:p w14:paraId="3E17CE9B"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50</w:t>
            </w:r>
          </w:p>
        </w:tc>
        <w:tc>
          <w:tcPr>
            <w:tcW w:w="1218" w:type="dxa"/>
            <w:tcBorders>
              <w:top w:val="nil"/>
              <w:left w:val="nil"/>
              <w:bottom w:val="nil"/>
              <w:right w:val="nil"/>
            </w:tcBorders>
            <w:shd w:val="clear" w:color="auto" w:fill="auto"/>
            <w:noWrap/>
            <w:vAlign w:val="bottom"/>
            <w:hideMark/>
          </w:tcPr>
          <w:p w14:paraId="325DDF82"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565457D7"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230</w:t>
            </w:r>
          </w:p>
        </w:tc>
        <w:tc>
          <w:tcPr>
            <w:tcW w:w="1218" w:type="dxa"/>
            <w:tcBorders>
              <w:top w:val="single" w:sz="4" w:space="0" w:color="4F81BD"/>
              <w:left w:val="nil"/>
              <w:bottom w:val="nil"/>
              <w:right w:val="single" w:sz="4" w:space="0" w:color="4F81BD"/>
            </w:tcBorders>
            <w:shd w:val="clear" w:color="auto" w:fill="auto"/>
            <w:noWrap/>
            <w:vAlign w:val="bottom"/>
            <w:hideMark/>
          </w:tcPr>
          <w:p w14:paraId="7CBAB63B"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1450</w:t>
            </w:r>
          </w:p>
        </w:tc>
      </w:tr>
      <w:tr w:rsidR="00362B22" w:rsidRPr="004C0F3D" w14:paraId="58035389" w14:textId="77777777" w:rsidTr="00362B22">
        <w:trPr>
          <w:trHeight w:val="248"/>
        </w:trPr>
        <w:tc>
          <w:tcPr>
            <w:tcW w:w="1405" w:type="dxa"/>
            <w:tcBorders>
              <w:top w:val="single" w:sz="4" w:space="0" w:color="4F81BD"/>
              <w:left w:val="single" w:sz="4" w:space="0" w:color="4F81BD"/>
              <w:bottom w:val="nil"/>
              <w:right w:val="nil"/>
            </w:tcBorders>
            <w:shd w:val="clear" w:color="auto" w:fill="auto"/>
            <w:noWrap/>
            <w:vAlign w:val="bottom"/>
            <w:hideMark/>
          </w:tcPr>
          <w:p w14:paraId="42BE4B79"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235</w:t>
            </w:r>
          </w:p>
        </w:tc>
        <w:tc>
          <w:tcPr>
            <w:tcW w:w="1218" w:type="dxa"/>
            <w:tcBorders>
              <w:top w:val="single" w:sz="4" w:space="0" w:color="4F81BD"/>
              <w:left w:val="nil"/>
              <w:bottom w:val="nil"/>
              <w:right w:val="single" w:sz="4" w:space="0" w:color="4F81BD"/>
            </w:tcBorders>
            <w:shd w:val="clear" w:color="auto" w:fill="auto"/>
            <w:noWrap/>
            <w:vAlign w:val="bottom"/>
            <w:hideMark/>
          </w:tcPr>
          <w:p w14:paraId="19624537"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25</w:t>
            </w:r>
          </w:p>
        </w:tc>
        <w:tc>
          <w:tcPr>
            <w:tcW w:w="1218" w:type="dxa"/>
            <w:tcBorders>
              <w:top w:val="nil"/>
              <w:left w:val="nil"/>
              <w:bottom w:val="nil"/>
              <w:right w:val="nil"/>
            </w:tcBorders>
            <w:shd w:val="clear" w:color="auto" w:fill="auto"/>
            <w:noWrap/>
            <w:vAlign w:val="bottom"/>
            <w:hideMark/>
          </w:tcPr>
          <w:p w14:paraId="6A0603CD"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nil"/>
              <w:right w:val="nil"/>
            </w:tcBorders>
            <w:shd w:val="clear" w:color="auto" w:fill="auto"/>
            <w:noWrap/>
            <w:vAlign w:val="bottom"/>
            <w:hideMark/>
          </w:tcPr>
          <w:p w14:paraId="03CCD1DA"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235</w:t>
            </w:r>
          </w:p>
        </w:tc>
        <w:tc>
          <w:tcPr>
            <w:tcW w:w="1218" w:type="dxa"/>
            <w:tcBorders>
              <w:top w:val="single" w:sz="4" w:space="0" w:color="4F81BD"/>
              <w:left w:val="nil"/>
              <w:bottom w:val="nil"/>
              <w:right w:val="single" w:sz="4" w:space="0" w:color="4F81BD"/>
            </w:tcBorders>
            <w:shd w:val="clear" w:color="auto" w:fill="auto"/>
            <w:noWrap/>
            <w:vAlign w:val="bottom"/>
            <w:hideMark/>
          </w:tcPr>
          <w:p w14:paraId="639B4DC4"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1475</w:t>
            </w:r>
          </w:p>
        </w:tc>
      </w:tr>
      <w:tr w:rsidR="00362B22" w:rsidRPr="004C0F3D" w14:paraId="09BE605E" w14:textId="77777777" w:rsidTr="00362B22">
        <w:trPr>
          <w:trHeight w:val="248"/>
        </w:trPr>
        <w:tc>
          <w:tcPr>
            <w:tcW w:w="1405" w:type="dxa"/>
            <w:tcBorders>
              <w:top w:val="single" w:sz="4" w:space="0" w:color="4F81BD"/>
              <w:left w:val="single" w:sz="4" w:space="0" w:color="4F81BD"/>
              <w:bottom w:val="single" w:sz="4" w:space="0" w:color="4F81BD"/>
              <w:right w:val="nil"/>
            </w:tcBorders>
            <w:shd w:val="clear" w:color="auto" w:fill="auto"/>
            <w:noWrap/>
            <w:vAlign w:val="bottom"/>
            <w:hideMark/>
          </w:tcPr>
          <w:p w14:paraId="12A887DD"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240</w:t>
            </w:r>
          </w:p>
        </w:tc>
        <w:tc>
          <w:tcPr>
            <w:tcW w:w="1218" w:type="dxa"/>
            <w:tcBorders>
              <w:top w:val="single" w:sz="4" w:space="0" w:color="4F81BD"/>
              <w:left w:val="nil"/>
              <w:bottom w:val="single" w:sz="4" w:space="0" w:color="4F81BD"/>
              <w:right w:val="single" w:sz="4" w:space="0" w:color="4F81BD"/>
            </w:tcBorders>
            <w:shd w:val="clear" w:color="auto" w:fill="auto"/>
            <w:noWrap/>
            <w:vAlign w:val="bottom"/>
            <w:hideMark/>
          </w:tcPr>
          <w:p w14:paraId="6670DBA3"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0</w:t>
            </w:r>
          </w:p>
        </w:tc>
        <w:tc>
          <w:tcPr>
            <w:tcW w:w="1218" w:type="dxa"/>
            <w:tcBorders>
              <w:top w:val="nil"/>
              <w:left w:val="nil"/>
              <w:bottom w:val="nil"/>
              <w:right w:val="nil"/>
            </w:tcBorders>
            <w:shd w:val="clear" w:color="auto" w:fill="auto"/>
            <w:noWrap/>
            <w:vAlign w:val="bottom"/>
            <w:hideMark/>
          </w:tcPr>
          <w:p w14:paraId="12A6D874" w14:textId="77777777" w:rsidR="00F74B5C" w:rsidRPr="004C0F3D" w:rsidRDefault="00F74B5C" w:rsidP="001232D3">
            <w:pPr>
              <w:rPr>
                <w:rFonts w:ascii="Times New Roman" w:eastAsia="Times New Roman" w:hAnsi="Times New Roman" w:cs="Times New Roman"/>
                <w:color w:val="262626" w:themeColor="text1" w:themeTint="D9"/>
                <w:sz w:val="20"/>
                <w:szCs w:val="20"/>
              </w:rPr>
            </w:pPr>
          </w:p>
        </w:tc>
        <w:tc>
          <w:tcPr>
            <w:tcW w:w="1237" w:type="dxa"/>
            <w:tcBorders>
              <w:top w:val="single" w:sz="4" w:space="0" w:color="4F81BD"/>
              <w:left w:val="single" w:sz="4" w:space="0" w:color="4F81BD"/>
              <w:bottom w:val="single" w:sz="4" w:space="0" w:color="4F81BD"/>
              <w:right w:val="nil"/>
            </w:tcBorders>
            <w:shd w:val="clear" w:color="auto" w:fill="auto"/>
            <w:noWrap/>
            <w:vAlign w:val="bottom"/>
            <w:hideMark/>
          </w:tcPr>
          <w:p w14:paraId="25CAA49F"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240</w:t>
            </w:r>
          </w:p>
        </w:tc>
        <w:tc>
          <w:tcPr>
            <w:tcW w:w="1218" w:type="dxa"/>
            <w:tcBorders>
              <w:top w:val="single" w:sz="4" w:space="0" w:color="4F81BD"/>
              <w:left w:val="nil"/>
              <w:bottom w:val="single" w:sz="4" w:space="0" w:color="4F81BD"/>
              <w:right w:val="single" w:sz="4" w:space="0" w:color="4F81BD"/>
            </w:tcBorders>
            <w:shd w:val="clear" w:color="auto" w:fill="auto"/>
            <w:noWrap/>
            <w:vAlign w:val="bottom"/>
            <w:hideMark/>
          </w:tcPr>
          <w:p w14:paraId="6A1A305D" w14:textId="77777777" w:rsidR="00F74B5C" w:rsidRPr="004C0F3D" w:rsidRDefault="00F74B5C" w:rsidP="001232D3">
            <w:pPr>
              <w:jc w:val="right"/>
              <w:rPr>
                <w:rFonts w:ascii="Times New Roman" w:eastAsia="Times New Roman" w:hAnsi="Times New Roman" w:cs="Times New Roman"/>
                <w:color w:val="262626" w:themeColor="text1" w:themeTint="D9"/>
                <w:sz w:val="20"/>
                <w:szCs w:val="20"/>
              </w:rPr>
            </w:pPr>
            <w:r w:rsidRPr="004C0F3D">
              <w:rPr>
                <w:rFonts w:ascii="Times New Roman" w:eastAsia="Times New Roman" w:hAnsi="Times New Roman" w:cs="Times New Roman"/>
                <w:color w:val="262626" w:themeColor="text1" w:themeTint="D9"/>
                <w:sz w:val="20"/>
                <w:szCs w:val="20"/>
              </w:rPr>
              <w:t>1500</w:t>
            </w:r>
          </w:p>
        </w:tc>
      </w:tr>
    </w:tbl>
    <w:p w14:paraId="67839DEF" w14:textId="77777777" w:rsidR="00F74B5C" w:rsidRPr="004C0F3D" w:rsidRDefault="00F74B5C" w:rsidP="001232D3">
      <w:pPr>
        <w:pStyle w:val="ListParagraph"/>
        <w:ind w:left="1440"/>
        <w:rPr>
          <w:rFonts w:ascii="Times New Roman" w:hAnsi="Times New Roman" w:cs="Times New Roman"/>
          <w:color w:val="262626" w:themeColor="text1" w:themeTint="D9"/>
        </w:rPr>
      </w:pPr>
    </w:p>
    <w:p w14:paraId="3F4EC4F9" w14:textId="77777777" w:rsidR="00352534" w:rsidRPr="004C0F3D" w:rsidRDefault="00352534" w:rsidP="001232D3">
      <w:pPr>
        <w:pStyle w:val="ListParagraph"/>
        <w:numPr>
          <w:ilvl w:val="0"/>
          <w:numId w:val="16"/>
        </w:numPr>
        <w:rPr>
          <w:rFonts w:ascii="Times New Roman" w:hAnsi="Times New Roman" w:cs="Times New Roman"/>
          <w:color w:val="262626" w:themeColor="text1" w:themeTint="D9"/>
        </w:rPr>
      </w:pPr>
    </w:p>
    <w:p w14:paraId="4BE7548E" w14:textId="77777777" w:rsidR="00352534" w:rsidRPr="004C0F3D" w:rsidRDefault="00352534" w:rsidP="001232D3">
      <w:pPr>
        <w:pStyle w:val="ListParagraph"/>
        <w:ind w:left="0"/>
        <w:rPr>
          <w:rFonts w:ascii="Times New Roman" w:hAnsi="Times New Roman" w:cs="Times New Roman"/>
          <w:color w:val="262626" w:themeColor="text1" w:themeTint="D9"/>
        </w:rPr>
      </w:pPr>
      <w:bookmarkStart w:id="0" w:name="_GoBack"/>
      <w:r w:rsidRPr="004C0F3D">
        <w:rPr>
          <w:rFonts w:ascii="Times New Roman" w:hAnsi="Times New Roman" w:cs="Times New Roman"/>
          <w:noProof/>
          <w:color w:val="262626" w:themeColor="text1" w:themeTint="D9"/>
        </w:rPr>
        <w:drawing>
          <wp:inline distT="0" distB="0" distL="0" distR="0" wp14:anchorId="1ABAA9FC" wp14:editId="7F80C8FC">
            <wp:extent cx="5367236" cy="3331723"/>
            <wp:effectExtent l="0" t="0" r="17780" b="2159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bookmarkEnd w:id="0"/>
    </w:p>
    <w:p w14:paraId="04A3AC19" w14:textId="77777777" w:rsidR="009E60B7" w:rsidRPr="004C0F3D" w:rsidRDefault="009E60B7" w:rsidP="001232D3">
      <w:pPr>
        <w:pStyle w:val="ListParagraph"/>
        <w:ind w:left="0"/>
        <w:rPr>
          <w:rFonts w:ascii="Times New Roman" w:hAnsi="Times New Roman" w:cs="Times New Roman"/>
          <w:color w:val="262626" w:themeColor="text1" w:themeTint="D9"/>
        </w:rPr>
      </w:pPr>
    </w:p>
    <w:p w14:paraId="160DECC3" w14:textId="77777777" w:rsidR="009E60B7" w:rsidRPr="004C0F3D" w:rsidRDefault="009E60B7" w:rsidP="001232D3">
      <w:pPr>
        <w:pStyle w:val="ListParagraph"/>
        <w:numPr>
          <w:ilvl w:val="0"/>
          <w:numId w:val="16"/>
        </w:numP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xml:space="preserve">In the absence of rent control the equilibrium rent would be $750 and 90 apartments. </w:t>
      </w:r>
    </w:p>
    <w:p w14:paraId="2F40B8BA" w14:textId="77777777" w:rsidR="009E60B7" w:rsidRPr="004C0F3D" w:rsidRDefault="009E60B7" w:rsidP="001232D3">
      <w:pPr>
        <w:pStyle w:val="ListParagraph"/>
        <w:ind w:left="1440"/>
        <w:rPr>
          <w:rFonts w:ascii="Times New Roman" w:hAnsi="Times New Roman" w:cs="Times New Roman"/>
          <w:color w:val="262626" w:themeColor="text1" w:themeTint="D9"/>
        </w:rPr>
      </w:pPr>
    </w:p>
    <w:p w14:paraId="60FB80C6" w14:textId="77777777" w:rsidR="009E60B7" w:rsidRPr="004C0F3D" w:rsidRDefault="009E60B7" w:rsidP="001232D3">
      <w:pPr>
        <w:pStyle w:val="ListParagraph"/>
        <w:ind w:left="144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1200-5q=300+5q</w:t>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t xml:space="preserve">         P=1200-5(90)</w:t>
      </w:r>
    </w:p>
    <w:p w14:paraId="2B881787" w14:textId="77777777" w:rsidR="009E60B7" w:rsidRPr="004C0F3D" w:rsidRDefault="009E60B7" w:rsidP="001232D3">
      <w:pPr>
        <w:pStyle w:val="ListParagraph"/>
        <w:ind w:left="144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1200-300=5q+5q</w:t>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t xml:space="preserve">         P=1200-450</w:t>
      </w:r>
    </w:p>
    <w:p w14:paraId="1EFB6997" w14:textId="77777777" w:rsidR="009E60B7" w:rsidRPr="004C0F3D" w:rsidRDefault="009E60B7" w:rsidP="001232D3">
      <w:pPr>
        <w:pStyle w:val="ListParagraph"/>
        <w:ind w:left="144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900=10q</w:t>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t xml:space="preserve">         P=$750</w:t>
      </w:r>
    </w:p>
    <w:p w14:paraId="2E0E8DA3" w14:textId="77777777" w:rsidR="009E60B7" w:rsidRPr="004C0F3D" w:rsidRDefault="009E60B7" w:rsidP="001232D3">
      <w:pPr>
        <w:pStyle w:val="ListParagraph"/>
        <w:ind w:left="144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Q=90</w:t>
      </w:r>
    </w:p>
    <w:p w14:paraId="5CD3A735" w14:textId="77777777" w:rsidR="00362B22" w:rsidRPr="004C0F3D" w:rsidRDefault="00362B22" w:rsidP="001232D3">
      <w:pPr>
        <w:pStyle w:val="ListParagraph"/>
        <w:ind w:left="1440"/>
        <w:rPr>
          <w:rFonts w:ascii="Times New Roman" w:hAnsi="Times New Roman" w:cs="Times New Roman"/>
          <w:color w:val="262626" w:themeColor="text1" w:themeTint="D9"/>
        </w:rPr>
      </w:pPr>
    </w:p>
    <w:p w14:paraId="6B54536C" w14:textId="77777777" w:rsidR="00362B22" w:rsidRPr="004C0F3D" w:rsidRDefault="00685C50" w:rsidP="001232D3">
      <w:pPr>
        <w:ind w:left="709"/>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The algebraic answer of the equilibrium being at $750 and 90 apartments agrees with the equilibrium in the chart, as it is the same without the price ceiling.</w:t>
      </w:r>
    </w:p>
    <w:p w14:paraId="3BBB0931" w14:textId="77777777" w:rsidR="00362B22" w:rsidRPr="004C0F3D" w:rsidRDefault="00362B22" w:rsidP="001232D3">
      <w:pPr>
        <w:rPr>
          <w:rFonts w:ascii="Times New Roman" w:hAnsi="Times New Roman" w:cs="Times New Roman"/>
          <w:color w:val="262626" w:themeColor="text1" w:themeTint="D9"/>
        </w:rPr>
      </w:pPr>
    </w:p>
    <w:p w14:paraId="53DBC5E1" w14:textId="1D114CC6" w:rsidR="0015608E" w:rsidRPr="004C0F3D" w:rsidRDefault="0015608E" w:rsidP="001232D3">
      <w:pPr>
        <w:pStyle w:val="ListParagraph"/>
        <w:numPr>
          <w:ilvl w:val="0"/>
          <w:numId w:val="16"/>
        </w:numP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With the rent control ceiling</w:t>
      </w:r>
      <w:r w:rsidR="00734528" w:rsidRPr="004C0F3D">
        <w:rPr>
          <w:rFonts w:ascii="Times New Roman" w:hAnsi="Times New Roman" w:cs="Times New Roman"/>
          <w:color w:val="262626" w:themeColor="text1" w:themeTint="D9"/>
        </w:rPr>
        <w:t xml:space="preserve"> in place</w:t>
      </w:r>
      <w:r w:rsidRPr="004C0F3D">
        <w:rPr>
          <w:rFonts w:ascii="Times New Roman" w:hAnsi="Times New Roman" w:cs="Times New Roman"/>
          <w:color w:val="262626" w:themeColor="text1" w:themeTint="D9"/>
        </w:rPr>
        <w:t xml:space="preserve"> 20 apartments are being rented.</w:t>
      </w:r>
      <w:r w:rsidR="00734528" w:rsidRPr="004C0F3D">
        <w:rPr>
          <w:rFonts w:ascii="Times New Roman" w:hAnsi="Times New Roman" w:cs="Times New Roman"/>
          <w:color w:val="262626" w:themeColor="text1" w:themeTint="D9"/>
        </w:rPr>
        <w:t xml:space="preserve"> There is a shortage of apartments because only 20 can be supplied with the rent control in place but 160 are demanded so there is a shortage of 140 apartments.</w:t>
      </w:r>
    </w:p>
    <w:p w14:paraId="682295E2" w14:textId="77777777" w:rsidR="00734528" w:rsidRPr="004C0F3D" w:rsidRDefault="00734528" w:rsidP="001232D3">
      <w:pPr>
        <w:pStyle w:val="ListParagraph"/>
        <w:ind w:left="1440"/>
        <w:rPr>
          <w:rFonts w:ascii="Times New Roman" w:hAnsi="Times New Roman" w:cs="Times New Roman"/>
          <w:color w:val="262626" w:themeColor="text1" w:themeTint="D9"/>
        </w:rPr>
      </w:pPr>
    </w:p>
    <w:p w14:paraId="57717366" w14:textId="3664E3AD" w:rsidR="00734528" w:rsidRPr="004C0F3D" w:rsidRDefault="00734528" w:rsidP="001232D3">
      <w:pPr>
        <w:pStyle w:val="ListParagraph"/>
        <w:ind w:left="144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Supplied:</w:t>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t>Demanded:</w:t>
      </w:r>
    </w:p>
    <w:p w14:paraId="577F3299" w14:textId="6E5F53F6" w:rsidR="00734528" w:rsidRPr="004C0F3D" w:rsidRDefault="00734528" w:rsidP="001232D3">
      <w:pPr>
        <w:pStyle w:val="ListParagraph"/>
        <w:ind w:left="144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300+5Q=400</w:t>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t>1200-400=5Q</w:t>
      </w:r>
    </w:p>
    <w:p w14:paraId="72671CF1" w14:textId="7BEAFBEC" w:rsidR="00734528" w:rsidRPr="004C0F3D" w:rsidRDefault="00734528" w:rsidP="001232D3">
      <w:pPr>
        <w:pStyle w:val="ListParagraph"/>
        <w:ind w:left="144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5Q=400-300</w:t>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t>5Q=800</w:t>
      </w:r>
    </w:p>
    <w:p w14:paraId="193BAD8A" w14:textId="00CF8B25" w:rsidR="00734528" w:rsidRPr="004C0F3D" w:rsidRDefault="00734528" w:rsidP="001232D3">
      <w:pPr>
        <w:pStyle w:val="ListParagraph"/>
        <w:ind w:left="144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5Q=100</w:t>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r>
      <w:r w:rsidRPr="004C0F3D">
        <w:rPr>
          <w:rFonts w:ascii="Times New Roman" w:hAnsi="Times New Roman" w:cs="Times New Roman"/>
          <w:color w:val="262626" w:themeColor="text1" w:themeTint="D9"/>
        </w:rPr>
        <w:tab/>
        <w:t>Q=160</w:t>
      </w:r>
    </w:p>
    <w:p w14:paraId="5FD05B37" w14:textId="0AC8E121" w:rsidR="00734528" w:rsidRPr="004C0F3D" w:rsidRDefault="00734528" w:rsidP="001232D3">
      <w:pPr>
        <w:pStyle w:val="ListParagraph"/>
        <w:ind w:left="144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Q=20</w:t>
      </w:r>
    </w:p>
    <w:p w14:paraId="4756C2C0" w14:textId="77777777" w:rsidR="00362B22" w:rsidRPr="004C0F3D" w:rsidRDefault="00362B22" w:rsidP="001232D3">
      <w:pPr>
        <w:rPr>
          <w:rFonts w:ascii="Times New Roman" w:hAnsi="Times New Roman" w:cs="Times New Roman"/>
          <w:color w:val="262626" w:themeColor="text1" w:themeTint="D9"/>
        </w:rPr>
      </w:pPr>
    </w:p>
    <w:p w14:paraId="25386FEB" w14:textId="7DFB9479" w:rsidR="001232D3" w:rsidRPr="004C0F3D" w:rsidRDefault="001232D3" w:rsidP="001232D3">
      <w:pPr>
        <w:pStyle w:val="ListParagraph"/>
        <w:numPr>
          <w:ilvl w:val="0"/>
          <w:numId w:val="16"/>
        </w:numP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The price ceiling creates a higher consumer surplus with a value of 32,000 compared to not having a price ceiling then consumer surplus would have a value of 20,250. The price ceiling does limit producer surplus with a value of 1,000 compared to 20,250 and limits the overall total surplus in the market with a value of 33,000 compared to not having a price ceiling the total surplu</w:t>
      </w:r>
      <w:r w:rsidR="00781E0A" w:rsidRPr="004C0F3D">
        <w:rPr>
          <w:rFonts w:ascii="Times New Roman" w:hAnsi="Times New Roman" w:cs="Times New Roman"/>
          <w:color w:val="262626" w:themeColor="text1" w:themeTint="D9"/>
        </w:rPr>
        <w:t>s in the market would be 40,500 with a deadweight loss value of 7,500.</w:t>
      </w:r>
    </w:p>
    <w:p w14:paraId="33AFB02E" w14:textId="012A4A84" w:rsidR="001232D3" w:rsidRPr="004C0F3D" w:rsidRDefault="001232D3" w:rsidP="001232D3">
      <w:pPr>
        <w:pStyle w:val="ListParagraph"/>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xml:space="preserve"> </w:t>
      </w:r>
    </w:p>
    <w:p w14:paraId="5401220B" w14:textId="2F4DF8FC" w:rsidR="0045476B" w:rsidRPr="004C0F3D" w:rsidRDefault="0045476B" w:rsidP="001232D3">
      <w:pPr>
        <w:pStyle w:val="ListParagraph"/>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Consumer surplus before the price ceiling:</w:t>
      </w:r>
    </w:p>
    <w:p w14:paraId="4BCDC010" w14:textId="3B973F33" w:rsidR="0045476B" w:rsidRPr="004C0F3D" w:rsidRDefault="0045476B"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½ x 90 x 450</w:t>
      </w:r>
    </w:p>
    <w:p w14:paraId="45B4E1CF" w14:textId="2877F102" w:rsidR="0045476B" w:rsidRPr="004C0F3D" w:rsidRDefault="0045476B"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½ x 40</w:t>
      </w:r>
      <w:r w:rsidR="005B7539" w:rsidRPr="004C0F3D">
        <w:rPr>
          <w:rFonts w:ascii="Times New Roman" w:hAnsi="Times New Roman" w:cs="Times New Roman"/>
          <w:color w:val="262626" w:themeColor="text1" w:themeTint="D9"/>
        </w:rPr>
        <w:t>,</w:t>
      </w:r>
      <w:r w:rsidRPr="004C0F3D">
        <w:rPr>
          <w:rFonts w:ascii="Times New Roman" w:hAnsi="Times New Roman" w:cs="Times New Roman"/>
          <w:color w:val="262626" w:themeColor="text1" w:themeTint="D9"/>
        </w:rPr>
        <w:t>500</w:t>
      </w:r>
    </w:p>
    <w:p w14:paraId="474790F3" w14:textId="0901E341" w:rsidR="0045476B" w:rsidRPr="004C0F3D" w:rsidRDefault="0045476B"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20</w:t>
      </w:r>
      <w:r w:rsidR="005B7539" w:rsidRPr="004C0F3D">
        <w:rPr>
          <w:rFonts w:ascii="Times New Roman" w:hAnsi="Times New Roman" w:cs="Times New Roman"/>
          <w:color w:val="262626" w:themeColor="text1" w:themeTint="D9"/>
        </w:rPr>
        <w:t>,</w:t>
      </w:r>
      <w:r w:rsidRPr="004C0F3D">
        <w:rPr>
          <w:rFonts w:ascii="Times New Roman" w:hAnsi="Times New Roman" w:cs="Times New Roman"/>
          <w:color w:val="262626" w:themeColor="text1" w:themeTint="D9"/>
        </w:rPr>
        <w:t>250</w:t>
      </w:r>
    </w:p>
    <w:p w14:paraId="08023AE9" w14:textId="77777777" w:rsidR="0045476B" w:rsidRPr="004C0F3D" w:rsidRDefault="0045476B" w:rsidP="001232D3">
      <w:pPr>
        <w:pStyle w:val="ListParagraph"/>
        <w:ind w:left="1440"/>
        <w:rPr>
          <w:rFonts w:ascii="Times New Roman" w:hAnsi="Times New Roman" w:cs="Times New Roman"/>
          <w:color w:val="262626" w:themeColor="text1" w:themeTint="D9"/>
        </w:rPr>
      </w:pPr>
    </w:p>
    <w:p w14:paraId="42D63640" w14:textId="31CC4E5D" w:rsidR="0045476B" w:rsidRPr="004C0F3D" w:rsidRDefault="0045476B"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Producer surplus before the price ceiling:</w:t>
      </w:r>
    </w:p>
    <w:p w14:paraId="2EEC141C" w14:textId="0A7E6F4B" w:rsidR="0045476B" w:rsidRPr="004C0F3D" w:rsidRDefault="0045476B"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xml:space="preserve">= ½ x </w:t>
      </w:r>
      <w:r w:rsidR="005B7539" w:rsidRPr="004C0F3D">
        <w:rPr>
          <w:rFonts w:ascii="Times New Roman" w:hAnsi="Times New Roman" w:cs="Times New Roman"/>
          <w:color w:val="262626" w:themeColor="text1" w:themeTint="D9"/>
        </w:rPr>
        <w:t>90 x 450</w:t>
      </w:r>
    </w:p>
    <w:p w14:paraId="586DE1DB" w14:textId="510FCD56" w:rsidR="005B7539" w:rsidRPr="004C0F3D" w:rsidRDefault="005B7539"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½ x 40,500</w:t>
      </w:r>
    </w:p>
    <w:p w14:paraId="3F15F9EB" w14:textId="66453B54" w:rsidR="005B7539" w:rsidRPr="004C0F3D" w:rsidRDefault="005B7539"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20,250</w:t>
      </w:r>
    </w:p>
    <w:p w14:paraId="2771286B" w14:textId="77777777" w:rsidR="005B7539" w:rsidRPr="004C0F3D" w:rsidRDefault="005B7539" w:rsidP="001232D3">
      <w:pPr>
        <w:pStyle w:val="ListParagraph"/>
        <w:ind w:left="1440"/>
        <w:rPr>
          <w:rFonts w:ascii="Times New Roman" w:hAnsi="Times New Roman" w:cs="Times New Roman"/>
          <w:color w:val="262626" w:themeColor="text1" w:themeTint="D9"/>
        </w:rPr>
      </w:pPr>
    </w:p>
    <w:p w14:paraId="167911FA" w14:textId="2498EB3D" w:rsidR="005B7539" w:rsidRPr="004C0F3D" w:rsidRDefault="005B7539"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Total surplus in the market before the price ceiling:</w:t>
      </w:r>
    </w:p>
    <w:p w14:paraId="3DB35A38" w14:textId="02FA22A5" w:rsidR="005B7539" w:rsidRPr="004C0F3D" w:rsidRDefault="005B7539"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20,250 + 20,250</w:t>
      </w:r>
    </w:p>
    <w:p w14:paraId="19855549" w14:textId="59BBC7B7" w:rsidR="005B7539" w:rsidRPr="004C0F3D" w:rsidRDefault="005B7539"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40,500</w:t>
      </w:r>
    </w:p>
    <w:p w14:paraId="1C659CA4" w14:textId="77777777" w:rsidR="005B7539" w:rsidRPr="004C0F3D" w:rsidRDefault="005B7539" w:rsidP="001232D3">
      <w:pPr>
        <w:pStyle w:val="ListParagraph"/>
        <w:ind w:left="1440"/>
        <w:rPr>
          <w:rFonts w:ascii="Times New Roman" w:hAnsi="Times New Roman" w:cs="Times New Roman"/>
          <w:color w:val="262626" w:themeColor="text1" w:themeTint="D9"/>
        </w:rPr>
      </w:pPr>
    </w:p>
    <w:p w14:paraId="0136FAED" w14:textId="33BE2763" w:rsidR="005B7539" w:rsidRPr="004C0F3D" w:rsidRDefault="005B7539"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Consumer surplus with the price ceiling:</w:t>
      </w:r>
    </w:p>
    <w:p w14:paraId="3545042E" w14:textId="70527F95" w:rsidR="005B7539" w:rsidRPr="004C0F3D" w:rsidRDefault="005B7539"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½ x 160 x 400</w:t>
      </w:r>
    </w:p>
    <w:p w14:paraId="13B70BF5" w14:textId="3CDB598E" w:rsidR="005B7539" w:rsidRPr="004C0F3D" w:rsidRDefault="005B7539"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½ x 64,000</w:t>
      </w:r>
    </w:p>
    <w:p w14:paraId="7F5C8080" w14:textId="257CD19D" w:rsidR="009E60B7" w:rsidRPr="004C0F3D" w:rsidRDefault="005B7539"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32,000</w:t>
      </w:r>
    </w:p>
    <w:p w14:paraId="46076A10" w14:textId="77777777" w:rsidR="005B7539" w:rsidRPr="004C0F3D" w:rsidRDefault="005B7539" w:rsidP="001232D3">
      <w:pPr>
        <w:pStyle w:val="ListParagraph"/>
        <w:ind w:left="1440"/>
        <w:rPr>
          <w:rFonts w:ascii="Times New Roman" w:hAnsi="Times New Roman" w:cs="Times New Roman"/>
          <w:color w:val="262626" w:themeColor="text1" w:themeTint="D9"/>
        </w:rPr>
      </w:pPr>
    </w:p>
    <w:p w14:paraId="408239CB" w14:textId="380B370D" w:rsidR="005B7539" w:rsidRPr="004C0F3D" w:rsidRDefault="005B7539"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Producer surplus with the price ceiling:</w:t>
      </w:r>
    </w:p>
    <w:p w14:paraId="5EEFFEB4" w14:textId="16456922" w:rsidR="005B7539" w:rsidRPr="004C0F3D" w:rsidRDefault="005B7539"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½ x 20 x 100</w:t>
      </w:r>
    </w:p>
    <w:p w14:paraId="737979E0" w14:textId="66094A54" w:rsidR="005B7539" w:rsidRPr="004C0F3D" w:rsidRDefault="005B7539"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½ x 2</w:t>
      </w:r>
      <w:r w:rsidR="00932370" w:rsidRPr="004C0F3D">
        <w:rPr>
          <w:rFonts w:ascii="Times New Roman" w:hAnsi="Times New Roman" w:cs="Times New Roman"/>
          <w:color w:val="262626" w:themeColor="text1" w:themeTint="D9"/>
        </w:rPr>
        <w:t>,</w:t>
      </w:r>
      <w:r w:rsidRPr="004C0F3D">
        <w:rPr>
          <w:rFonts w:ascii="Times New Roman" w:hAnsi="Times New Roman" w:cs="Times New Roman"/>
          <w:color w:val="262626" w:themeColor="text1" w:themeTint="D9"/>
        </w:rPr>
        <w:t>000</w:t>
      </w:r>
    </w:p>
    <w:p w14:paraId="1E7079A9" w14:textId="0D7553C8" w:rsidR="005B7539" w:rsidRPr="004C0F3D" w:rsidRDefault="005B7539"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w:t>
      </w:r>
      <w:r w:rsidR="00932370" w:rsidRPr="004C0F3D">
        <w:rPr>
          <w:rFonts w:ascii="Times New Roman" w:hAnsi="Times New Roman" w:cs="Times New Roman"/>
          <w:color w:val="262626" w:themeColor="text1" w:themeTint="D9"/>
        </w:rPr>
        <w:t>,</w:t>
      </w:r>
      <w:r w:rsidRPr="004C0F3D">
        <w:rPr>
          <w:rFonts w:ascii="Times New Roman" w:hAnsi="Times New Roman" w:cs="Times New Roman"/>
          <w:color w:val="262626" w:themeColor="text1" w:themeTint="D9"/>
        </w:rPr>
        <w:t>000</w:t>
      </w:r>
    </w:p>
    <w:p w14:paraId="55639637" w14:textId="77777777" w:rsidR="005B7539" w:rsidRPr="004C0F3D" w:rsidRDefault="005B7539" w:rsidP="001232D3">
      <w:pPr>
        <w:pStyle w:val="ListParagraph"/>
        <w:ind w:left="1440"/>
        <w:rPr>
          <w:rFonts w:ascii="Times New Roman" w:hAnsi="Times New Roman" w:cs="Times New Roman"/>
          <w:color w:val="262626" w:themeColor="text1" w:themeTint="D9"/>
        </w:rPr>
      </w:pPr>
    </w:p>
    <w:p w14:paraId="0F14609E" w14:textId="61C948EC" w:rsidR="005B7539" w:rsidRPr="004C0F3D" w:rsidRDefault="005B7539"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Total surplus in the market with the price ceiling:</w:t>
      </w:r>
    </w:p>
    <w:p w14:paraId="1BCB5003" w14:textId="2A89081F" w:rsidR="005B7539" w:rsidRPr="004C0F3D" w:rsidRDefault="005B7539"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32,000 + 1</w:t>
      </w:r>
      <w:r w:rsidR="00932370" w:rsidRPr="004C0F3D">
        <w:rPr>
          <w:rFonts w:ascii="Times New Roman" w:hAnsi="Times New Roman" w:cs="Times New Roman"/>
          <w:color w:val="262626" w:themeColor="text1" w:themeTint="D9"/>
        </w:rPr>
        <w:t>,</w:t>
      </w:r>
      <w:r w:rsidRPr="004C0F3D">
        <w:rPr>
          <w:rFonts w:ascii="Times New Roman" w:hAnsi="Times New Roman" w:cs="Times New Roman"/>
          <w:color w:val="262626" w:themeColor="text1" w:themeTint="D9"/>
        </w:rPr>
        <w:t>000</w:t>
      </w:r>
    </w:p>
    <w:p w14:paraId="01FF6AAB" w14:textId="751C667B" w:rsidR="005B7539" w:rsidRPr="004C0F3D" w:rsidRDefault="005B7539"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33,000</w:t>
      </w:r>
    </w:p>
    <w:p w14:paraId="5F48561C" w14:textId="77777777" w:rsidR="005B7539" w:rsidRPr="004C0F3D" w:rsidRDefault="005B7539" w:rsidP="001232D3">
      <w:pPr>
        <w:pStyle w:val="ListParagraph"/>
        <w:ind w:left="1440"/>
        <w:rPr>
          <w:rFonts w:ascii="Times New Roman" w:hAnsi="Times New Roman" w:cs="Times New Roman"/>
          <w:color w:val="262626" w:themeColor="text1" w:themeTint="D9"/>
        </w:rPr>
      </w:pPr>
    </w:p>
    <w:p w14:paraId="4352D274" w14:textId="28AA613F" w:rsidR="00932370" w:rsidRPr="004C0F3D" w:rsidRDefault="00932370"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Deadweight loss:</w:t>
      </w:r>
    </w:p>
    <w:p w14:paraId="2B6173CC" w14:textId="667DAF16" w:rsidR="00932370" w:rsidRPr="004C0F3D" w:rsidRDefault="00932370"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40,500 – 33,000</w:t>
      </w:r>
    </w:p>
    <w:p w14:paraId="1B10C950" w14:textId="77777777" w:rsidR="00362B22" w:rsidRPr="004C0F3D" w:rsidRDefault="00932370" w:rsidP="001232D3">
      <w:pPr>
        <w:ind w:firstLine="72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=7,500</w:t>
      </w:r>
    </w:p>
    <w:p w14:paraId="3C2591CC" w14:textId="77777777" w:rsidR="00362B22" w:rsidRPr="004C0F3D" w:rsidRDefault="00362B22" w:rsidP="001232D3">
      <w:pPr>
        <w:rPr>
          <w:rFonts w:ascii="Times New Roman" w:hAnsi="Times New Roman" w:cs="Times New Roman"/>
          <w:color w:val="262626" w:themeColor="text1" w:themeTint="D9"/>
        </w:rPr>
      </w:pPr>
    </w:p>
    <w:p w14:paraId="377BD71A" w14:textId="77777777" w:rsidR="00781E0A" w:rsidRPr="004C0F3D" w:rsidRDefault="00781E0A" w:rsidP="001232D3">
      <w:pPr>
        <w:rPr>
          <w:rFonts w:ascii="Times New Roman" w:hAnsi="Times New Roman" w:cs="Times New Roman"/>
          <w:color w:val="262626" w:themeColor="text1" w:themeTint="D9"/>
        </w:rPr>
      </w:pPr>
    </w:p>
    <w:p w14:paraId="24F7BEB6" w14:textId="77777777" w:rsidR="00781E0A" w:rsidRPr="004C0F3D" w:rsidRDefault="00781E0A" w:rsidP="001232D3">
      <w:pPr>
        <w:rPr>
          <w:rFonts w:ascii="Times New Roman" w:hAnsi="Times New Roman" w:cs="Times New Roman"/>
          <w:color w:val="262626" w:themeColor="text1" w:themeTint="D9"/>
        </w:rPr>
      </w:pPr>
    </w:p>
    <w:p w14:paraId="4F5C23C8" w14:textId="77777777" w:rsidR="00781E0A" w:rsidRPr="004C0F3D" w:rsidRDefault="00781E0A" w:rsidP="001232D3">
      <w:pPr>
        <w:rPr>
          <w:rFonts w:ascii="Times New Roman" w:hAnsi="Times New Roman" w:cs="Times New Roman"/>
          <w:color w:val="262626" w:themeColor="text1" w:themeTint="D9"/>
        </w:rPr>
      </w:pPr>
    </w:p>
    <w:p w14:paraId="1A11EF4C" w14:textId="77777777" w:rsidR="00362B22" w:rsidRPr="004C0F3D" w:rsidRDefault="00932370" w:rsidP="001232D3">
      <w:pPr>
        <w:pStyle w:val="ListParagraph"/>
        <w:numPr>
          <w:ilvl w:val="0"/>
          <w:numId w:val="18"/>
        </w:numPr>
        <w:rPr>
          <w:rFonts w:ascii="Times New Roman" w:hAnsi="Times New Roman" w:cs="Times New Roman"/>
          <w:color w:val="262626" w:themeColor="text1" w:themeTint="D9"/>
        </w:rPr>
      </w:pPr>
      <w:r w:rsidRPr="004C0F3D">
        <w:rPr>
          <w:rFonts w:ascii="Times New Roman" w:hAnsi="Times New Roman" w:cs="Times New Roman"/>
          <w:b/>
          <w:color w:val="262626" w:themeColor="text1" w:themeTint="D9"/>
        </w:rPr>
        <w:t>Government Spending and Taxation</w:t>
      </w:r>
    </w:p>
    <w:p w14:paraId="0C9421BD" w14:textId="77777777" w:rsidR="00362B22" w:rsidRPr="004C0F3D" w:rsidRDefault="00362B22" w:rsidP="001232D3">
      <w:pPr>
        <w:pStyle w:val="ListParagraph"/>
        <w:rPr>
          <w:rFonts w:ascii="Times New Roman" w:hAnsi="Times New Roman" w:cs="Times New Roman"/>
          <w:b/>
          <w:color w:val="262626" w:themeColor="text1" w:themeTint="D9"/>
        </w:rPr>
      </w:pPr>
    </w:p>
    <w:p w14:paraId="7FFE5C70" w14:textId="77777777" w:rsidR="00362B22" w:rsidRPr="004C0F3D" w:rsidRDefault="00362B22" w:rsidP="001232D3">
      <w:pPr>
        <w:pStyle w:val="ListParagraph"/>
        <w:numPr>
          <w:ilvl w:val="0"/>
          <w:numId w:val="19"/>
        </w:numP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xml:space="preserve"> </w:t>
      </w:r>
    </w:p>
    <w:p w14:paraId="64A8F6B4" w14:textId="77777777" w:rsidR="00362B22" w:rsidRPr="004C0F3D" w:rsidRDefault="00FB11B5" w:rsidP="001232D3">
      <w:pPr>
        <w:pStyle w:val="ListParagraph"/>
        <w:numPr>
          <w:ilvl w:val="0"/>
          <w:numId w:val="20"/>
        </w:numP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xml:space="preserve">The approximate current annual expenditure level is $276.1 billion in the fiscal year 2012-2013.  </w:t>
      </w:r>
    </w:p>
    <w:p w14:paraId="35BE4CB9" w14:textId="77777777" w:rsidR="00362B22" w:rsidRPr="004C0F3D" w:rsidRDefault="00362B22" w:rsidP="001232D3">
      <w:pPr>
        <w:pStyle w:val="ListParagraph"/>
        <w:ind w:left="1440"/>
        <w:rPr>
          <w:rFonts w:ascii="Times New Roman" w:hAnsi="Times New Roman" w:cs="Times New Roman"/>
          <w:color w:val="262626" w:themeColor="text1" w:themeTint="D9"/>
        </w:rPr>
      </w:pPr>
    </w:p>
    <w:p w14:paraId="7FAD9089" w14:textId="62558447" w:rsidR="00362B22" w:rsidRPr="004C0F3D" w:rsidRDefault="00FB11B5" w:rsidP="001232D3">
      <w:pPr>
        <w:pStyle w:val="ListParagraph"/>
        <w:numPr>
          <w:ilvl w:val="0"/>
          <w:numId w:val="20"/>
        </w:numP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The e</w:t>
      </w:r>
      <w:r w:rsidR="00691B3C" w:rsidRPr="004C0F3D">
        <w:rPr>
          <w:rFonts w:ascii="Times New Roman" w:hAnsi="Times New Roman" w:cs="Times New Roman"/>
          <w:color w:val="262626" w:themeColor="text1" w:themeTint="D9"/>
        </w:rPr>
        <w:t>xpenditure level counts for 15.5% of the governments GDP with 13.8% in program expenses and 1.7% in public debt.</w:t>
      </w:r>
      <w:r w:rsidRPr="004C0F3D">
        <w:rPr>
          <w:rFonts w:ascii="Times New Roman" w:hAnsi="Times New Roman" w:cs="Times New Roman"/>
          <w:color w:val="262626" w:themeColor="text1" w:themeTint="D9"/>
        </w:rPr>
        <w:t xml:space="preserve">  </w:t>
      </w:r>
    </w:p>
    <w:p w14:paraId="434DD9C9" w14:textId="77777777" w:rsidR="00362B22" w:rsidRPr="004C0F3D" w:rsidRDefault="00362B22" w:rsidP="001232D3">
      <w:pPr>
        <w:rPr>
          <w:rFonts w:ascii="Times New Roman" w:hAnsi="Times New Roman" w:cs="Times New Roman"/>
          <w:color w:val="262626" w:themeColor="text1" w:themeTint="D9"/>
        </w:rPr>
      </w:pPr>
    </w:p>
    <w:p w14:paraId="15A01356" w14:textId="3B2C454D" w:rsidR="00781E0A" w:rsidRPr="004C0F3D" w:rsidRDefault="00781E0A" w:rsidP="00781E0A">
      <w:pPr>
        <w:pStyle w:val="ListParagraph"/>
        <w:numPr>
          <w:ilvl w:val="0"/>
          <w:numId w:val="20"/>
        </w:numP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The expenditure level’s share of GDP</w:t>
      </w:r>
      <w:r w:rsidR="00FB11B5" w:rsidRPr="004C0F3D">
        <w:rPr>
          <w:rFonts w:ascii="Times New Roman" w:hAnsi="Times New Roman" w:cs="Times New Roman"/>
          <w:color w:val="262626" w:themeColor="text1" w:themeTint="D9"/>
        </w:rPr>
        <w:t xml:space="preserve"> is divided into program spending</w:t>
      </w:r>
      <w:r w:rsidRPr="004C0F3D">
        <w:rPr>
          <w:rFonts w:ascii="Times New Roman" w:hAnsi="Times New Roman" w:cs="Times New Roman"/>
          <w:color w:val="262626" w:themeColor="text1" w:themeTint="D9"/>
        </w:rPr>
        <w:t xml:space="preserve"> which counts for 13.8% by reducing expenses with the help of the defense’s funding association</w:t>
      </w:r>
      <w:r w:rsidR="00FB11B5" w:rsidRPr="004C0F3D">
        <w:rPr>
          <w:rFonts w:ascii="Times New Roman" w:hAnsi="Times New Roman" w:cs="Times New Roman"/>
          <w:color w:val="262626" w:themeColor="text1" w:themeTint="D9"/>
        </w:rPr>
        <w:t xml:space="preserve"> and spending on debt </w:t>
      </w:r>
      <w:r w:rsidRPr="004C0F3D">
        <w:rPr>
          <w:rFonts w:ascii="Times New Roman" w:hAnsi="Times New Roman" w:cs="Times New Roman"/>
          <w:color w:val="262626" w:themeColor="text1" w:themeTint="D9"/>
        </w:rPr>
        <w:t xml:space="preserve">service that counts for 1.7% </w:t>
      </w:r>
      <w:r w:rsidR="00FB11B5" w:rsidRPr="004C0F3D">
        <w:rPr>
          <w:rFonts w:ascii="Times New Roman" w:hAnsi="Times New Roman" w:cs="Times New Roman"/>
          <w:color w:val="262626" w:themeColor="text1" w:themeTint="D9"/>
        </w:rPr>
        <w:t>by reducing d</w:t>
      </w:r>
      <w:r w:rsidRPr="004C0F3D">
        <w:rPr>
          <w:rFonts w:ascii="Times New Roman" w:hAnsi="Times New Roman" w:cs="Times New Roman"/>
          <w:color w:val="262626" w:themeColor="text1" w:themeTint="D9"/>
        </w:rPr>
        <w:t>epartment spending but still</w:t>
      </w:r>
      <w:r w:rsidR="00FB11B5" w:rsidRPr="004C0F3D">
        <w:rPr>
          <w:rFonts w:ascii="Times New Roman" w:hAnsi="Times New Roman" w:cs="Times New Roman"/>
          <w:color w:val="262626" w:themeColor="text1" w:themeTint="D9"/>
        </w:rPr>
        <w:t xml:space="preserve"> </w:t>
      </w:r>
      <w:r w:rsidRPr="004C0F3D">
        <w:rPr>
          <w:rFonts w:ascii="Times New Roman" w:hAnsi="Times New Roman" w:cs="Times New Roman"/>
          <w:color w:val="262626" w:themeColor="text1" w:themeTint="D9"/>
        </w:rPr>
        <w:t>supporting</w:t>
      </w:r>
      <w:r w:rsidR="00FB11B5" w:rsidRPr="004C0F3D">
        <w:rPr>
          <w:rFonts w:ascii="Times New Roman" w:hAnsi="Times New Roman" w:cs="Times New Roman"/>
          <w:color w:val="262626" w:themeColor="text1" w:themeTint="D9"/>
        </w:rPr>
        <w:t xml:space="preserve"> the growth </w:t>
      </w:r>
      <w:r w:rsidRPr="004C0F3D">
        <w:rPr>
          <w:rFonts w:ascii="Times New Roman" w:hAnsi="Times New Roman" w:cs="Times New Roman"/>
          <w:color w:val="262626" w:themeColor="text1" w:themeTint="D9"/>
        </w:rPr>
        <w:t xml:space="preserve">and creation </w:t>
      </w:r>
      <w:r w:rsidR="00FB11B5" w:rsidRPr="004C0F3D">
        <w:rPr>
          <w:rFonts w:ascii="Times New Roman" w:hAnsi="Times New Roman" w:cs="Times New Roman"/>
          <w:color w:val="262626" w:themeColor="text1" w:themeTint="D9"/>
        </w:rPr>
        <w:t xml:space="preserve">of </w:t>
      </w:r>
      <w:r w:rsidRPr="004C0F3D">
        <w:rPr>
          <w:rFonts w:ascii="Times New Roman" w:hAnsi="Times New Roman" w:cs="Times New Roman"/>
          <w:color w:val="262626" w:themeColor="text1" w:themeTint="D9"/>
        </w:rPr>
        <w:t xml:space="preserve">new </w:t>
      </w:r>
      <w:r w:rsidR="00FB11B5" w:rsidRPr="004C0F3D">
        <w:rPr>
          <w:rFonts w:ascii="Times New Roman" w:hAnsi="Times New Roman" w:cs="Times New Roman"/>
          <w:color w:val="262626" w:themeColor="text1" w:themeTint="D9"/>
        </w:rPr>
        <w:t xml:space="preserve">jobs. </w:t>
      </w:r>
    </w:p>
    <w:p w14:paraId="385E52ED" w14:textId="77777777" w:rsidR="00781E0A" w:rsidRPr="004C0F3D" w:rsidRDefault="00781E0A" w:rsidP="00781E0A">
      <w:pPr>
        <w:pStyle w:val="ListParagraph"/>
        <w:ind w:left="1440"/>
        <w:rPr>
          <w:rFonts w:ascii="Times New Roman" w:hAnsi="Times New Roman" w:cs="Times New Roman"/>
          <w:color w:val="262626" w:themeColor="text1" w:themeTint="D9"/>
        </w:rPr>
      </w:pPr>
    </w:p>
    <w:p w14:paraId="298DCB60" w14:textId="4820E87B" w:rsidR="00362B22" w:rsidRPr="004C0F3D" w:rsidRDefault="00FB11B5" w:rsidP="001232D3">
      <w:pPr>
        <w:pStyle w:val="ListParagraph"/>
        <w:numPr>
          <w:ilvl w:val="0"/>
          <w:numId w:val="20"/>
        </w:numP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The current annual</w:t>
      </w:r>
      <w:r w:rsidR="00691B3C" w:rsidRPr="004C0F3D">
        <w:rPr>
          <w:rFonts w:ascii="Times New Roman" w:hAnsi="Times New Roman" w:cs="Times New Roman"/>
          <w:color w:val="262626" w:themeColor="text1" w:themeTint="D9"/>
        </w:rPr>
        <w:t xml:space="preserve"> revenue level is $248 billion for the fiscal year 2011-12 and $255 billion for the fiscal year 2012-13.</w:t>
      </w:r>
    </w:p>
    <w:p w14:paraId="3E09A820" w14:textId="77777777" w:rsidR="00362B22" w:rsidRPr="004C0F3D" w:rsidRDefault="00362B22" w:rsidP="001232D3">
      <w:pPr>
        <w:rPr>
          <w:rFonts w:ascii="Times New Roman" w:hAnsi="Times New Roman" w:cs="Times New Roman"/>
          <w:color w:val="262626" w:themeColor="text1" w:themeTint="D9"/>
        </w:rPr>
      </w:pPr>
    </w:p>
    <w:p w14:paraId="3E161449" w14:textId="3E615D86" w:rsidR="00362B22" w:rsidRPr="004C0F3D" w:rsidRDefault="00FB11B5" w:rsidP="001232D3">
      <w:pPr>
        <w:pStyle w:val="ListParagraph"/>
        <w:numPr>
          <w:ilvl w:val="0"/>
          <w:numId w:val="20"/>
        </w:numP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The level of debt at the Federal level that we ar</w:t>
      </w:r>
      <w:r w:rsidR="00781E0A" w:rsidRPr="004C0F3D">
        <w:rPr>
          <w:rFonts w:ascii="Times New Roman" w:hAnsi="Times New Roman" w:cs="Times New Roman"/>
          <w:color w:val="262626" w:themeColor="text1" w:themeTint="D9"/>
        </w:rPr>
        <w:t>e condemned to repay is 33.8% for the fiscal year 2011-12 and 33.9% for 2012-13.</w:t>
      </w:r>
    </w:p>
    <w:p w14:paraId="7330ACF4" w14:textId="77777777" w:rsidR="00362B22" w:rsidRPr="004C0F3D" w:rsidRDefault="00362B22" w:rsidP="001232D3">
      <w:pPr>
        <w:rPr>
          <w:rFonts w:ascii="Times New Roman" w:hAnsi="Times New Roman" w:cs="Times New Roman"/>
          <w:color w:val="262626" w:themeColor="text1" w:themeTint="D9"/>
        </w:rPr>
      </w:pPr>
    </w:p>
    <w:p w14:paraId="7B74C42F" w14:textId="7A98415F" w:rsidR="00362B22" w:rsidRPr="004C0F3D" w:rsidRDefault="00781E0A" w:rsidP="001232D3">
      <w:pPr>
        <w:pStyle w:val="ListParagraph"/>
        <w:numPr>
          <w:ilvl w:val="0"/>
          <w:numId w:val="20"/>
        </w:numP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xml:space="preserve">The projected </w:t>
      </w:r>
      <w:r w:rsidR="00A33D89" w:rsidRPr="004C0F3D">
        <w:rPr>
          <w:rFonts w:ascii="Times New Roman" w:hAnsi="Times New Roman" w:cs="Times New Roman"/>
          <w:color w:val="262626" w:themeColor="text1" w:themeTint="D9"/>
        </w:rPr>
        <w:t>deficits i</w:t>
      </w:r>
      <w:r w:rsidR="00FB11B5" w:rsidRPr="004C0F3D">
        <w:rPr>
          <w:rFonts w:ascii="Times New Roman" w:hAnsi="Times New Roman" w:cs="Times New Roman"/>
          <w:color w:val="262626" w:themeColor="text1" w:themeTint="D9"/>
        </w:rPr>
        <w:t>n the fiscal years 2012-2013</w:t>
      </w:r>
      <w:r w:rsidR="00A33D89" w:rsidRPr="004C0F3D">
        <w:rPr>
          <w:rFonts w:ascii="Times New Roman" w:hAnsi="Times New Roman" w:cs="Times New Roman"/>
          <w:color w:val="262626" w:themeColor="text1" w:themeTint="D9"/>
        </w:rPr>
        <w:t xml:space="preserve"> are</w:t>
      </w:r>
      <w:r w:rsidR="00FB11B5" w:rsidRPr="004C0F3D">
        <w:rPr>
          <w:rFonts w:ascii="Times New Roman" w:hAnsi="Times New Roman" w:cs="Times New Roman"/>
          <w:color w:val="262626" w:themeColor="text1" w:themeTint="D9"/>
        </w:rPr>
        <w:t xml:space="preserve"> </w:t>
      </w:r>
      <w:r w:rsidRPr="004C0F3D">
        <w:rPr>
          <w:rFonts w:ascii="Times New Roman" w:hAnsi="Times New Roman" w:cs="Times New Roman"/>
          <w:color w:val="262626" w:themeColor="text1" w:themeTint="D9"/>
        </w:rPr>
        <w:t>planned</w:t>
      </w:r>
      <w:r w:rsidR="00FB11B5" w:rsidRPr="004C0F3D">
        <w:rPr>
          <w:rFonts w:ascii="Times New Roman" w:hAnsi="Times New Roman" w:cs="Times New Roman"/>
          <w:color w:val="262626" w:themeColor="text1" w:themeTint="D9"/>
        </w:rPr>
        <w:t xml:space="preserve"> to </w:t>
      </w:r>
      <w:r w:rsidR="00A33D89" w:rsidRPr="004C0F3D">
        <w:rPr>
          <w:rFonts w:ascii="Times New Roman" w:hAnsi="Times New Roman" w:cs="Times New Roman"/>
          <w:color w:val="262626" w:themeColor="text1" w:themeTint="D9"/>
        </w:rPr>
        <w:t>decrease by $3.8 billion and</w:t>
      </w:r>
      <w:r w:rsidR="00FB11B5" w:rsidRPr="004C0F3D">
        <w:rPr>
          <w:rFonts w:ascii="Times New Roman" w:hAnsi="Times New Roman" w:cs="Times New Roman"/>
          <w:color w:val="262626" w:themeColor="text1" w:themeTint="D9"/>
        </w:rPr>
        <w:t xml:space="preserve"> </w:t>
      </w:r>
      <w:r w:rsidR="00A33D89" w:rsidRPr="004C0F3D">
        <w:rPr>
          <w:rFonts w:ascii="Times New Roman" w:hAnsi="Times New Roman" w:cs="Times New Roman"/>
          <w:color w:val="262626" w:themeColor="text1" w:themeTint="D9"/>
        </w:rPr>
        <w:t xml:space="preserve">it has been </w:t>
      </w:r>
      <w:r w:rsidR="00FB11B5" w:rsidRPr="004C0F3D">
        <w:rPr>
          <w:rFonts w:ascii="Times New Roman" w:hAnsi="Times New Roman" w:cs="Times New Roman"/>
          <w:color w:val="262626" w:themeColor="text1" w:themeTint="D9"/>
        </w:rPr>
        <w:t xml:space="preserve">estimated that the budget will be balanced between 2016-2017. </w:t>
      </w:r>
    </w:p>
    <w:p w14:paraId="47021F8B" w14:textId="77777777" w:rsidR="00362B22" w:rsidRPr="004C0F3D" w:rsidRDefault="00362B22" w:rsidP="001232D3">
      <w:pPr>
        <w:rPr>
          <w:rFonts w:ascii="Times New Roman" w:hAnsi="Times New Roman" w:cs="Times New Roman"/>
          <w:color w:val="262626" w:themeColor="text1" w:themeTint="D9"/>
        </w:rPr>
      </w:pPr>
    </w:p>
    <w:p w14:paraId="3AE5CACD" w14:textId="2799D1F0" w:rsidR="00362B22" w:rsidRPr="004C0F3D" w:rsidRDefault="00FB11B5" w:rsidP="001232D3">
      <w:pPr>
        <w:pStyle w:val="ListParagraph"/>
        <w:numPr>
          <w:ilvl w:val="0"/>
          <w:numId w:val="20"/>
        </w:numP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Big-ticket items as far as federal government spending is concerned are program expenses, transfers to</w:t>
      </w:r>
      <w:r w:rsidR="00A33D89" w:rsidRPr="004C0F3D">
        <w:rPr>
          <w:rFonts w:ascii="Times New Roman" w:hAnsi="Times New Roman" w:cs="Times New Roman"/>
          <w:color w:val="262626" w:themeColor="text1" w:themeTint="D9"/>
        </w:rPr>
        <w:t xml:space="preserve"> other levels of the government and</w:t>
      </w:r>
      <w:r w:rsidRPr="004C0F3D">
        <w:rPr>
          <w:rFonts w:ascii="Times New Roman" w:hAnsi="Times New Roman" w:cs="Times New Roman"/>
          <w:color w:val="262626" w:themeColor="text1" w:themeTint="D9"/>
        </w:rPr>
        <w:t xml:space="preserve"> major transfers to persons, such as the elderly, EI and children’s benefits.</w:t>
      </w:r>
    </w:p>
    <w:p w14:paraId="0DD87F36" w14:textId="77777777" w:rsidR="00362B22" w:rsidRPr="004C0F3D" w:rsidRDefault="00362B22" w:rsidP="001232D3">
      <w:pPr>
        <w:rPr>
          <w:rFonts w:ascii="Times New Roman" w:hAnsi="Times New Roman" w:cs="Times New Roman"/>
          <w:color w:val="262626" w:themeColor="text1" w:themeTint="D9"/>
        </w:rPr>
      </w:pPr>
    </w:p>
    <w:p w14:paraId="04BAA19B" w14:textId="2FBC5E91" w:rsidR="00FB11B5" w:rsidRPr="004C0F3D" w:rsidRDefault="00FB11B5" w:rsidP="001232D3">
      <w:pPr>
        <w:pStyle w:val="ListParagraph"/>
        <w:numPr>
          <w:ilvl w:val="0"/>
          <w:numId w:val="20"/>
        </w:numP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Major sources of revenue as far as the federal government</w:t>
      </w:r>
      <w:r w:rsidR="00A33D89" w:rsidRPr="004C0F3D">
        <w:rPr>
          <w:rFonts w:ascii="Times New Roman" w:hAnsi="Times New Roman" w:cs="Times New Roman"/>
          <w:color w:val="262626" w:themeColor="text1" w:themeTint="D9"/>
        </w:rPr>
        <w:t xml:space="preserve"> is concerned are from income taxes from </w:t>
      </w:r>
      <w:r w:rsidRPr="004C0F3D">
        <w:rPr>
          <w:rFonts w:ascii="Times New Roman" w:hAnsi="Times New Roman" w:cs="Times New Roman"/>
          <w:color w:val="262626" w:themeColor="text1" w:themeTint="D9"/>
        </w:rPr>
        <w:t>persona</w:t>
      </w:r>
      <w:r w:rsidR="00A33D89" w:rsidRPr="004C0F3D">
        <w:rPr>
          <w:rFonts w:ascii="Times New Roman" w:hAnsi="Times New Roman" w:cs="Times New Roman"/>
          <w:color w:val="262626" w:themeColor="text1" w:themeTint="D9"/>
        </w:rPr>
        <w:t>l, corporations and non-residents</w:t>
      </w:r>
      <w:r w:rsidRPr="004C0F3D">
        <w:rPr>
          <w:rFonts w:ascii="Times New Roman" w:hAnsi="Times New Roman" w:cs="Times New Roman"/>
          <w:color w:val="262626" w:themeColor="text1" w:themeTint="D9"/>
        </w:rPr>
        <w:t xml:space="preserve"> and e</w:t>
      </w:r>
      <w:r w:rsidR="00A33D89" w:rsidRPr="004C0F3D">
        <w:rPr>
          <w:rFonts w:ascii="Times New Roman" w:hAnsi="Times New Roman" w:cs="Times New Roman"/>
          <w:color w:val="262626" w:themeColor="text1" w:themeTint="D9"/>
        </w:rPr>
        <w:t>xercise taxes/duties on goods,</w:t>
      </w:r>
      <w:r w:rsidRPr="004C0F3D">
        <w:rPr>
          <w:rFonts w:ascii="Times New Roman" w:hAnsi="Times New Roman" w:cs="Times New Roman"/>
          <w:color w:val="262626" w:themeColor="text1" w:themeTint="D9"/>
        </w:rPr>
        <w:t xml:space="preserve"> services and imports. </w:t>
      </w:r>
    </w:p>
    <w:p w14:paraId="06D668D7" w14:textId="77777777" w:rsidR="00FB11B5" w:rsidRPr="004C0F3D" w:rsidRDefault="00FB11B5" w:rsidP="001232D3">
      <w:pPr>
        <w:pStyle w:val="ListParagraph"/>
        <w:ind w:left="1069"/>
        <w:rPr>
          <w:rFonts w:ascii="Times New Roman" w:hAnsi="Times New Roman" w:cs="Times New Roman"/>
          <w:color w:val="262626" w:themeColor="text1" w:themeTint="D9"/>
        </w:rPr>
      </w:pPr>
    </w:p>
    <w:p w14:paraId="1DFA511A" w14:textId="77777777" w:rsidR="00691B3C" w:rsidRPr="004C0F3D" w:rsidRDefault="00691B3C" w:rsidP="001232D3">
      <w:pPr>
        <w:pStyle w:val="ListParagraph"/>
        <w:numPr>
          <w:ilvl w:val="0"/>
          <w:numId w:val="19"/>
        </w:numPr>
        <w:spacing w:after="20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xml:space="preserve"> </w:t>
      </w:r>
    </w:p>
    <w:p w14:paraId="4C514B3F" w14:textId="77777777" w:rsidR="00A33D89" w:rsidRPr="004C0F3D" w:rsidRDefault="00FB11B5" w:rsidP="00A33D89">
      <w:pPr>
        <w:pStyle w:val="ListParagraph"/>
        <w:numPr>
          <w:ilvl w:val="0"/>
          <w:numId w:val="21"/>
        </w:numPr>
        <w:spacing w:after="20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The projected level of expenditures for budget year 2012-2013 is expected to be $126</w:t>
      </w:r>
      <w:r w:rsidR="008320EF" w:rsidRPr="004C0F3D">
        <w:rPr>
          <w:rFonts w:ascii="Times New Roman" w:hAnsi="Times New Roman" w:cs="Times New Roman"/>
          <w:color w:val="262626" w:themeColor="text1" w:themeTint="D9"/>
        </w:rPr>
        <w:t xml:space="preserve"> billion.</w:t>
      </w:r>
      <w:r w:rsidRPr="004C0F3D">
        <w:rPr>
          <w:rFonts w:ascii="Times New Roman" w:hAnsi="Times New Roman" w:cs="Times New Roman"/>
          <w:color w:val="262626" w:themeColor="text1" w:themeTint="D9"/>
        </w:rPr>
        <w:t xml:space="preserve"> </w:t>
      </w:r>
    </w:p>
    <w:p w14:paraId="2811437E" w14:textId="77777777" w:rsidR="00A33D89" w:rsidRPr="004C0F3D" w:rsidRDefault="00A33D89" w:rsidP="00A33D89">
      <w:pPr>
        <w:pStyle w:val="ListParagraph"/>
        <w:spacing w:after="200"/>
        <w:ind w:left="1440"/>
        <w:rPr>
          <w:rFonts w:ascii="Times New Roman" w:hAnsi="Times New Roman" w:cs="Times New Roman"/>
          <w:color w:val="262626" w:themeColor="text1" w:themeTint="D9"/>
        </w:rPr>
      </w:pPr>
    </w:p>
    <w:p w14:paraId="3956FC0F" w14:textId="77777777" w:rsidR="00A33D89" w:rsidRPr="004C0F3D" w:rsidRDefault="00FB11B5" w:rsidP="00A33D89">
      <w:pPr>
        <w:pStyle w:val="ListParagraph"/>
        <w:numPr>
          <w:ilvl w:val="0"/>
          <w:numId w:val="21"/>
        </w:numPr>
        <w:spacing w:after="20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xml:space="preserve">Six important expenditure areas are health sectors, education sectors, postsecondary and training sectors, children’s and social services sector, justice sector and interest on debt. </w:t>
      </w:r>
    </w:p>
    <w:p w14:paraId="6F48920D" w14:textId="77777777" w:rsidR="00A33D89" w:rsidRPr="004C0F3D" w:rsidRDefault="00A33D89" w:rsidP="00A33D89">
      <w:pPr>
        <w:spacing w:after="200"/>
        <w:rPr>
          <w:rFonts w:ascii="Times New Roman" w:hAnsi="Times New Roman" w:cs="Times New Roman"/>
          <w:color w:val="262626" w:themeColor="text1" w:themeTint="D9"/>
        </w:rPr>
      </w:pPr>
    </w:p>
    <w:p w14:paraId="0DEF1498" w14:textId="5910A9A2" w:rsidR="00691B3C" w:rsidRPr="004C0F3D" w:rsidRDefault="00FB11B5" w:rsidP="00A33D89">
      <w:pPr>
        <w:pStyle w:val="ListParagraph"/>
        <w:numPr>
          <w:ilvl w:val="0"/>
          <w:numId w:val="21"/>
        </w:numPr>
        <w:spacing w:after="20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The projected level of revenue for budget yea</w:t>
      </w:r>
      <w:r w:rsidR="008320EF" w:rsidRPr="004C0F3D">
        <w:rPr>
          <w:rFonts w:ascii="Times New Roman" w:hAnsi="Times New Roman" w:cs="Times New Roman"/>
          <w:color w:val="262626" w:themeColor="text1" w:themeTint="D9"/>
        </w:rPr>
        <w:t>r 2012-2013 is planned to be $111</w:t>
      </w:r>
      <w:r w:rsidRPr="004C0F3D">
        <w:rPr>
          <w:rFonts w:ascii="Times New Roman" w:hAnsi="Times New Roman" w:cs="Times New Roman"/>
          <w:color w:val="262626" w:themeColor="text1" w:themeTint="D9"/>
        </w:rPr>
        <w:t>.</w:t>
      </w:r>
      <w:r w:rsidR="008320EF" w:rsidRPr="004C0F3D">
        <w:rPr>
          <w:rFonts w:ascii="Times New Roman" w:hAnsi="Times New Roman" w:cs="Times New Roman"/>
          <w:color w:val="262626" w:themeColor="text1" w:themeTint="D9"/>
        </w:rPr>
        <w:t>8 billion.</w:t>
      </w:r>
    </w:p>
    <w:p w14:paraId="1C64A486" w14:textId="77777777" w:rsidR="00691B3C" w:rsidRPr="004C0F3D" w:rsidRDefault="00691B3C" w:rsidP="001232D3">
      <w:pPr>
        <w:spacing w:after="200"/>
        <w:rPr>
          <w:rFonts w:ascii="Times New Roman" w:hAnsi="Times New Roman" w:cs="Times New Roman"/>
          <w:color w:val="262626" w:themeColor="text1" w:themeTint="D9"/>
        </w:rPr>
      </w:pPr>
    </w:p>
    <w:p w14:paraId="544AD7EE" w14:textId="34AB8289" w:rsidR="00691B3C" w:rsidRPr="004C0F3D" w:rsidRDefault="00FB11B5" w:rsidP="001232D3">
      <w:pPr>
        <w:pStyle w:val="ListParagraph"/>
        <w:numPr>
          <w:ilvl w:val="0"/>
          <w:numId w:val="21"/>
        </w:numPr>
        <w:spacing w:after="20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xml:space="preserve">The major </w:t>
      </w:r>
      <w:r w:rsidR="00A33D89" w:rsidRPr="004C0F3D">
        <w:rPr>
          <w:rFonts w:ascii="Times New Roman" w:hAnsi="Times New Roman" w:cs="Times New Roman"/>
          <w:color w:val="262626" w:themeColor="text1" w:themeTint="D9"/>
        </w:rPr>
        <w:t>sources of revenue</w:t>
      </w:r>
      <w:r w:rsidR="005A5B25" w:rsidRPr="004C0F3D">
        <w:rPr>
          <w:rFonts w:ascii="Times New Roman" w:hAnsi="Times New Roman" w:cs="Times New Roman"/>
          <w:color w:val="262626" w:themeColor="text1" w:themeTint="D9"/>
        </w:rPr>
        <w:t xml:space="preserve"> for the provincial government a</w:t>
      </w:r>
      <w:r w:rsidR="00A33D89" w:rsidRPr="004C0F3D">
        <w:rPr>
          <w:rFonts w:ascii="Times New Roman" w:hAnsi="Times New Roman" w:cs="Times New Roman"/>
          <w:color w:val="262626" w:themeColor="text1" w:themeTint="D9"/>
        </w:rPr>
        <w:t>re</w:t>
      </w:r>
      <w:r w:rsidRPr="004C0F3D">
        <w:rPr>
          <w:rFonts w:ascii="Times New Roman" w:hAnsi="Times New Roman" w:cs="Times New Roman"/>
          <w:color w:val="262626" w:themeColor="text1" w:themeTint="D9"/>
        </w:rPr>
        <w:t xml:space="preserve"> through health care, charities, Ontario first nations and gambling/ lottery. </w:t>
      </w:r>
      <w:r w:rsidR="005A5B25" w:rsidRPr="004C0F3D">
        <w:rPr>
          <w:rFonts w:ascii="Times New Roman" w:hAnsi="Times New Roman" w:cs="Times New Roman"/>
          <w:color w:val="262626" w:themeColor="text1" w:themeTint="D9"/>
        </w:rPr>
        <w:t xml:space="preserve">Transfers from the Federal government </w:t>
      </w:r>
      <w:proofErr w:type="gramStart"/>
      <w:r w:rsidR="005A5B25" w:rsidRPr="004C0F3D">
        <w:rPr>
          <w:rFonts w:ascii="Times New Roman" w:hAnsi="Times New Roman" w:cs="Times New Roman"/>
          <w:color w:val="262626" w:themeColor="text1" w:themeTint="D9"/>
        </w:rPr>
        <w:t>are made to encourage provincial expenditures but are also budgeted and</w:t>
      </w:r>
      <w:proofErr w:type="gramEnd"/>
      <w:r w:rsidR="005A5B25" w:rsidRPr="004C0F3D">
        <w:rPr>
          <w:rFonts w:ascii="Times New Roman" w:hAnsi="Times New Roman" w:cs="Times New Roman"/>
          <w:color w:val="262626" w:themeColor="text1" w:themeTint="D9"/>
        </w:rPr>
        <w:t xml:space="preserve"> limited to a certain amount.</w:t>
      </w:r>
    </w:p>
    <w:p w14:paraId="0ACD9C1E" w14:textId="77777777" w:rsidR="00691B3C" w:rsidRPr="004C0F3D" w:rsidRDefault="00691B3C" w:rsidP="001232D3">
      <w:pPr>
        <w:spacing w:after="200"/>
        <w:rPr>
          <w:rFonts w:ascii="Times New Roman" w:hAnsi="Times New Roman" w:cs="Times New Roman"/>
          <w:color w:val="262626" w:themeColor="text1" w:themeTint="D9"/>
        </w:rPr>
      </w:pPr>
    </w:p>
    <w:p w14:paraId="45CCA668" w14:textId="14F24A25" w:rsidR="00691B3C" w:rsidRPr="004C0F3D" w:rsidRDefault="00FB11B5" w:rsidP="001232D3">
      <w:pPr>
        <w:pStyle w:val="ListParagraph"/>
        <w:numPr>
          <w:ilvl w:val="0"/>
          <w:numId w:val="21"/>
        </w:numPr>
        <w:spacing w:after="20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The deficit for t</w:t>
      </w:r>
      <w:r w:rsidR="008320EF" w:rsidRPr="004C0F3D">
        <w:rPr>
          <w:rFonts w:ascii="Times New Roman" w:hAnsi="Times New Roman" w:cs="Times New Roman"/>
          <w:color w:val="262626" w:themeColor="text1" w:themeTint="D9"/>
        </w:rPr>
        <w:t>he fiscal year 2011-2012 was $16</w:t>
      </w:r>
      <w:r w:rsidRPr="004C0F3D">
        <w:rPr>
          <w:rFonts w:ascii="Times New Roman" w:hAnsi="Times New Roman" w:cs="Times New Roman"/>
          <w:color w:val="262626" w:themeColor="text1" w:themeTint="D9"/>
        </w:rPr>
        <w:t xml:space="preserve">.3 </w:t>
      </w:r>
      <w:r w:rsidR="00362B22" w:rsidRPr="004C0F3D">
        <w:rPr>
          <w:rFonts w:ascii="Times New Roman" w:hAnsi="Times New Roman" w:cs="Times New Roman"/>
          <w:color w:val="262626" w:themeColor="text1" w:themeTint="D9"/>
        </w:rPr>
        <w:t>billion, which</w:t>
      </w:r>
      <w:r w:rsidRPr="004C0F3D">
        <w:rPr>
          <w:rFonts w:ascii="Times New Roman" w:hAnsi="Times New Roman" w:cs="Times New Roman"/>
          <w:color w:val="262626" w:themeColor="text1" w:themeTint="D9"/>
        </w:rPr>
        <w:t xml:space="preserve"> was lower than its forecast in the 2011 budget by $1 billion.</w:t>
      </w:r>
    </w:p>
    <w:p w14:paraId="6A073BC0" w14:textId="77777777" w:rsidR="00691B3C" w:rsidRPr="004C0F3D" w:rsidRDefault="00691B3C" w:rsidP="001232D3">
      <w:pPr>
        <w:spacing w:after="200"/>
        <w:rPr>
          <w:rFonts w:ascii="Times New Roman" w:hAnsi="Times New Roman" w:cs="Times New Roman"/>
          <w:color w:val="262626" w:themeColor="text1" w:themeTint="D9"/>
        </w:rPr>
      </w:pPr>
    </w:p>
    <w:p w14:paraId="62BF8543" w14:textId="7A446C3C" w:rsidR="00FB11B5" w:rsidRPr="004C0F3D" w:rsidRDefault="00FB11B5" w:rsidP="001232D3">
      <w:pPr>
        <w:pStyle w:val="ListParagraph"/>
        <w:numPr>
          <w:ilvl w:val="0"/>
          <w:numId w:val="21"/>
        </w:numPr>
        <w:spacing w:after="200"/>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The projected level of the defici</w:t>
      </w:r>
      <w:r w:rsidR="005A5B25" w:rsidRPr="004C0F3D">
        <w:rPr>
          <w:rFonts w:ascii="Times New Roman" w:hAnsi="Times New Roman" w:cs="Times New Roman"/>
          <w:color w:val="262626" w:themeColor="text1" w:themeTint="D9"/>
        </w:rPr>
        <w:t>t for budget year 2012-2013 is expected</w:t>
      </w:r>
      <w:r w:rsidRPr="004C0F3D">
        <w:rPr>
          <w:rFonts w:ascii="Times New Roman" w:hAnsi="Times New Roman" w:cs="Times New Roman"/>
          <w:color w:val="262626" w:themeColor="text1" w:themeTint="D9"/>
        </w:rPr>
        <w:t xml:space="preserve"> to be $13.3 billion.  </w:t>
      </w:r>
    </w:p>
    <w:p w14:paraId="23115098" w14:textId="77777777" w:rsidR="00F91DA6" w:rsidRPr="004C0F3D" w:rsidRDefault="00F91DA6" w:rsidP="001232D3">
      <w:pPr>
        <w:rPr>
          <w:rFonts w:ascii="Times New Roman" w:hAnsi="Times New Roman" w:cs="Times New Roman"/>
          <w:color w:val="262626" w:themeColor="text1" w:themeTint="D9"/>
        </w:rPr>
      </w:pPr>
    </w:p>
    <w:p w14:paraId="465E9D5D" w14:textId="77777777" w:rsidR="00F370E6" w:rsidRPr="004C0F3D" w:rsidRDefault="00F370E6" w:rsidP="001232D3">
      <w:pPr>
        <w:rPr>
          <w:rFonts w:ascii="Times New Roman" w:hAnsi="Times New Roman" w:cs="Times New Roman"/>
          <w:color w:val="262626" w:themeColor="text1" w:themeTint="D9"/>
        </w:rPr>
      </w:pPr>
    </w:p>
    <w:p w14:paraId="5D4D2C97" w14:textId="5C98E414" w:rsidR="00F370E6" w:rsidRPr="004C0F3D" w:rsidRDefault="00F370E6" w:rsidP="001232D3">
      <w:pPr>
        <w:pStyle w:val="ListParagraph"/>
        <w:numPr>
          <w:ilvl w:val="0"/>
          <w:numId w:val="18"/>
        </w:numPr>
        <w:rPr>
          <w:rFonts w:ascii="Times New Roman" w:hAnsi="Times New Roman" w:cs="Times New Roman"/>
          <w:b/>
          <w:color w:val="262626" w:themeColor="text1" w:themeTint="D9"/>
        </w:rPr>
      </w:pPr>
      <w:r w:rsidRPr="004C0F3D">
        <w:rPr>
          <w:rFonts w:ascii="Times New Roman" w:hAnsi="Times New Roman" w:cs="Times New Roman"/>
          <w:b/>
          <w:color w:val="262626" w:themeColor="text1" w:themeTint="D9"/>
        </w:rPr>
        <w:t>Production and Costs</w:t>
      </w:r>
    </w:p>
    <w:p w14:paraId="157588B9" w14:textId="77777777" w:rsidR="00691B3C" w:rsidRPr="004C0F3D" w:rsidRDefault="00691B3C" w:rsidP="001232D3">
      <w:pPr>
        <w:rPr>
          <w:rFonts w:ascii="Times New Roman" w:hAnsi="Times New Roman" w:cs="Times New Roman"/>
          <w:color w:val="262626" w:themeColor="text1" w:themeTint="D9"/>
        </w:rPr>
      </w:pPr>
    </w:p>
    <w:p w14:paraId="299CE994" w14:textId="3FC11E4A" w:rsidR="00124D8F" w:rsidRPr="004C0F3D" w:rsidRDefault="00124D8F" w:rsidP="001232D3">
      <w:pPr>
        <w:pStyle w:val="ListParagraph"/>
        <w:numPr>
          <w:ilvl w:val="0"/>
          <w:numId w:val="22"/>
        </w:numP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Price= $100   Total Fixed Cost= $200</w:t>
      </w:r>
    </w:p>
    <w:p w14:paraId="7072B305" w14:textId="77777777" w:rsidR="00F370E6" w:rsidRPr="004C0F3D" w:rsidRDefault="00F370E6" w:rsidP="001232D3">
      <w:pPr>
        <w:rPr>
          <w:rFonts w:ascii="Times New Roman" w:hAnsi="Times New Roman" w:cs="Times New Roman"/>
          <w:color w:val="262626" w:themeColor="text1" w:themeTint="D9"/>
        </w:rPr>
      </w:pPr>
    </w:p>
    <w:tbl>
      <w:tblPr>
        <w:tblStyle w:val="TableGrid"/>
        <w:tblW w:w="0" w:type="auto"/>
        <w:tblLook w:val="04A0" w:firstRow="1" w:lastRow="0" w:firstColumn="1" w:lastColumn="0" w:noHBand="0" w:noVBand="1"/>
      </w:tblPr>
      <w:tblGrid>
        <w:gridCol w:w="1476"/>
        <w:gridCol w:w="1476"/>
        <w:gridCol w:w="1476"/>
        <w:gridCol w:w="1476"/>
        <w:gridCol w:w="1476"/>
        <w:gridCol w:w="1476"/>
      </w:tblGrid>
      <w:tr w:rsidR="00AA6D23" w:rsidRPr="004C0F3D" w14:paraId="6A03DC5B" w14:textId="77777777" w:rsidTr="00AA6D23">
        <w:tc>
          <w:tcPr>
            <w:tcW w:w="1476" w:type="dxa"/>
          </w:tcPr>
          <w:p w14:paraId="13273A89" w14:textId="4D6C19BE"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Workers</w:t>
            </w:r>
          </w:p>
        </w:tc>
        <w:tc>
          <w:tcPr>
            <w:tcW w:w="1476" w:type="dxa"/>
          </w:tcPr>
          <w:p w14:paraId="62FD4C6B" w14:textId="47247F9E"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Output</w:t>
            </w:r>
          </w:p>
        </w:tc>
        <w:tc>
          <w:tcPr>
            <w:tcW w:w="1476" w:type="dxa"/>
          </w:tcPr>
          <w:p w14:paraId="2A699CFC" w14:textId="5E40A8F6"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Marginal Product</w:t>
            </w:r>
          </w:p>
        </w:tc>
        <w:tc>
          <w:tcPr>
            <w:tcW w:w="1476" w:type="dxa"/>
          </w:tcPr>
          <w:p w14:paraId="30B8298B" w14:textId="719EDA07"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Total Cost</w:t>
            </w:r>
          </w:p>
        </w:tc>
        <w:tc>
          <w:tcPr>
            <w:tcW w:w="1476" w:type="dxa"/>
          </w:tcPr>
          <w:p w14:paraId="241E839A" w14:textId="761F37A0"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Average Total Cost</w:t>
            </w:r>
          </w:p>
        </w:tc>
        <w:tc>
          <w:tcPr>
            <w:tcW w:w="1476" w:type="dxa"/>
          </w:tcPr>
          <w:p w14:paraId="41AB7713" w14:textId="26A5E359"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Marginal Cost</w:t>
            </w:r>
          </w:p>
        </w:tc>
      </w:tr>
      <w:tr w:rsidR="00AA6D23" w:rsidRPr="004C0F3D" w14:paraId="096B99D6" w14:textId="77777777" w:rsidTr="00AA6D23">
        <w:tc>
          <w:tcPr>
            <w:tcW w:w="1476" w:type="dxa"/>
          </w:tcPr>
          <w:p w14:paraId="312981B3" w14:textId="450F884D"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0</w:t>
            </w:r>
          </w:p>
        </w:tc>
        <w:tc>
          <w:tcPr>
            <w:tcW w:w="1476" w:type="dxa"/>
          </w:tcPr>
          <w:p w14:paraId="2061866C" w14:textId="172080EA"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0</w:t>
            </w:r>
          </w:p>
        </w:tc>
        <w:tc>
          <w:tcPr>
            <w:tcW w:w="1476" w:type="dxa"/>
          </w:tcPr>
          <w:p w14:paraId="586EA145" w14:textId="24C4455C"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w:t>
            </w:r>
          </w:p>
        </w:tc>
        <w:tc>
          <w:tcPr>
            <w:tcW w:w="1476" w:type="dxa"/>
          </w:tcPr>
          <w:p w14:paraId="272DAB36" w14:textId="6201AEA7"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200</w:t>
            </w:r>
            <w:r w:rsidR="00124D8F" w:rsidRPr="004C0F3D">
              <w:rPr>
                <w:rFonts w:ascii="Times New Roman" w:hAnsi="Times New Roman" w:cs="Times New Roman"/>
                <w:color w:val="262626" w:themeColor="text1" w:themeTint="D9"/>
              </w:rPr>
              <w:t>.00</w:t>
            </w:r>
          </w:p>
        </w:tc>
        <w:tc>
          <w:tcPr>
            <w:tcW w:w="1476" w:type="dxa"/>
          </w:tcPr>
          <w:p w14:paraId="1E0DF39C" w14:textId="23E18AFC" w:rsidR="00AA6D23"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w:t>
            </w:r>
          </w:p>
        </w:tc>
        <w:tc>
          <w:tcPr>
            <w:tcW w:w="1476" w:type="dxa"/>
          </w:tcPr>
          <w:p w14:paraId="18477BF8" w14:textId="7C94F89A" w:rsidR="00AA6D23"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w:t>
            </w:r>
          </w:p>
        </w:tc>
      </w:tr>
      <w:tr w:rsidR="00AA6D23" w:rsidRPr="004C0F3D" w14:paraId="6E3C0182" w14:textId="77777777" w:rsidTr="00AA6D23">
        <w:tc>
          <w:tcPr>
            <w:tcW w:w="1476" w:type="dxa"/>
          </w:tcPr>
          <w:p w14:paraId="7FF957D1" w14:textId="7FECC9EF"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w:t>
            </w:r>
          </w:p>
        </w:tc>
        <w:tc>
          <w:tcPr>
            <w:tcW w:w="1476" w:type="dxa"/>
          </w:tcPr>
          <w:p w14:paraId="1BAAEC28" w14:textId="54FE4D66"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20</w:t>
            </w:r>
          </w:p>
        </w:tc>
        <w:tc>
          <w:tcPr>
            <w:tcW w:w="1476" w:type="dxa"/>
          </w:tcPr>
          <w:p w14:paraId="07327E7F" w14:textId="18A5A880"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20</w:t>
            </w:r>
          </w:p>
        </w:tc>
        <w:tc>
          <w:tcPr>
            <w:tcW w:w="1476" w:type="dxa"/>
          </w:tcPr>
          <w:p w14:paraId="372B77F3" w14:textId="7596147C"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300</w:t>
            </w:r>
            <w:r w:rsidR="00124D8F" w:rsidRPr="004C0F3D">
              <w:rPr>
                <w:rFonts w:ascii="Times New Roman" w:hAnsi="Times New Roman" w:cs="Times New Roman"/>
                <w:color w:val="262626" w:themeColor="text1" w:themeTint="D9"/>
              </w:rPr>
              <w:t>.00</w:t>
            </w:r>
          </w:p>
        </w:tc>
        <w:tc>
          <w:tcPr>
            <w:tcW w:w="1476" w:type="dxa"/>
          </w:tcPr>
          <w:p w14:paraId="19A56665" w14:textId="11804645" w:rsidR="00AA6D23"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15.00</w:t>
            </w:r>
          </w:p>
        </w:tc>
        <w:tc>
          <w:tcPr>
            <w:tcW w:w="1476" w:type="dxa"/>
          </w:tcPr>
          <w:p w14:paraId="7955DE3F" w14:textId="3CA6941F" w:rsidR="00AA6D23" w:rsidRPr="004C0F3D" w:rsidRDefault="004C10A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5.00</w:t>
            </w:r>
          </w:p>
        </w:tc>
      </w:tr>
      <w:tr w:rsidR="00AA6D23" w:rsidRPr="004C0F3D" w14:paraId="7C56A47F" w14:textId="77777777" w:rsidTr="00AA6D23">
        <w:tc>
          <w:tcPr>
            <w:tcW w:w="1476" w:type="dxa"/>
          </w:tcPr>
          <w:p w14:paraId="0F12C45A" w14:textId="3A0BDF78"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2</w:t>
            </w:r>
          </w:p>
        </w:tc>
        <w:tc>
          <w:tcPr>
            <w:tcW w:w="1476" w:type="dxa"/>
          </w:tcPr>
          <w:p w14:paraId="5E03685E" w14:textId="3AEC2B54"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50</w:t>
            </w:r>
          </w:p>
        </w:tc>
        <w:tc>
          <w:tcPr>
            <w:tcW w:w="1476" w:type="dxa"/>
          </w:tcPr>
          <w:p w14:paraId="43C7B66A" w14:textId="263DF451"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30</w:t>
            </w:r>
          </w:p>
        </w:tc>
        <w:tc>
          <w:tcPr>
            <w:tcW w:w="1476" w:type="dxa"/>
          </w:tcPr>
          <w:p w14:paraId="5FADD94C" w14:textId="199CC565"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400</w:t>
            </w:r>
            <w:r w:rsidR="00124D8F" w:rsidRPr="004C0F3D">
              <w:rPr>
                <w:rFonts w:ascii="Times New Roman" w:hAnsi="Times New Roman" w:cs="Times New Roman"/>
                <w:color w:val="262626" w:themeColor="text1" w:themeTint="D9"/>
              </w:rPr>
              <w:t>.00</w:t>
            </w:r>
          </w:p>
        </w:tc>
        <w:tc>
          <w:tcPr>
            <w:tcW w:w="1476" w:type="dxa"/>
          </w:tcPr>
          <w:p w14:paraId="2B761BD1" w14:textId="01148F8D" w:rsidR="00AA6D23"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8.00</w:t>
            </w:r>
          </w:p>
        </w:tc>
        <w:tc>
          <w:tcPr>
            <w:tcW w:w="1476" w:type="dxa"/>
          </w:tcPr>
          <w:p w14:paraId="6D15E748" w14:textId="0BD61657" w:rsidR="00AA6D23" w:rsidRPr="004C0F3D" w:rsidRDefault="004C10A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3.33</w:t>
            </w:r>
          </w:p>
        </w:tc>
      </w:tr>
      <w:tr w:rsidR="00AA6D23" w:rsidRPr="004C0F3D" w14:paraId="7ECD3977" w14:textId="77777777" w:rsidTr="00AA6D23">
        <w:tc>
          <w:tcPr>
            <w:tcW w:w="1476" w:type="dxa"/>
          </w:tcPr>
          <w:p w14:paraId="22F19958" w14:textId="7488CBFE"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3</w:t>
            </w:r>
          </w:p>
        </w:tc>
        <w:tc>
          <w:tcPr>
            <w:tcW w:w="1476" w:type="dxa"/>
          </w:tcPr>
          <w:p w14:paraId="29948C87" w14:textId="1147173A"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90</w:t>
            </w:r>
          </w:p>
        </w:tc>
        <w:tc>
          <w:tcPr>
            <w:tcW w:w="1476" w:type="dxa"/>
          </w:tcPr>
          <w:p w14:paraId="42DFDC6D" w14:textId="31D29BA5"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40</w:t>
            </w:r>
          </w:p>
        </w:tc>
        <w:tc>
          <w:tcPr>
            <w:tcW w:w="1476" w:type="dxa"/>
          </w:tcPr>
          <w:p w14:paraId="21182315" w14:textId="2E4D8058"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500</w:t>
            </w:r>
            <w:r w:rsidR="00124D8F" w:rsidRPr="004C0F3D">
              <w:rPr>
                <w:rFonts w:ascii="Times New Roman" w:hAnsi="Times New Roman" w:cs="Times New Roman"/>
                <w:color w:val="262626" w:themeColor="text1" w:themeTint="D9"/>
              </w:rPr>
              <w:t>.00</w:t>
            </w:r>
          </w:p>
        </w:tc>
        <w:tc>
          <w:tcPr>
            <w:tcW w:w="1476" w:type="dxa"/>
          </w:tcPr>
          <w:p w14:paraId="36069C2B" w14:textId="07FF1E24" w:rsidR="00AA6D23"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5.56</w:t>
            </w:r>
          </w:p>
        </w:tc>
        <w:tc>
          <w:tcPr>
            <w:tcW w:w="1476" w:type="dxa"/>
          </w:tcPr>
          <w:p w14:paraId="36A1F8A9" w14:textId="237045C0" w:rsidR="00AA6D23" w:rsidRPr="004C0F3D" w:rsidRDefault="004C10A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2.50</w:t>
            </w:r>
          </w:p>
        </w:tc>
      </w:tr>
      <w:tr w:rsidR="00AA6D23" w:rsidRPr="004C0F3D" w14:paraId="12F3550D" w14:textId="77777777" w:rsidTr="00AA6D23">
        <w:tc>
          <w:tcPr>
            <w:tcW w:w="1476" w:type="dxa"/>
          </w:tcPr>
          <w:p w14:paraId="222294C6" w14:textId="3F06C177"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4</w:t>
            </w:r>
          </w:p>
        </w:tc>
        <w:tc>
          <w:tcPr>
            <w:tcW w:w="1476" w:type="dxa"/>
          </w:tcPr>
          <w:p w14:paraId="23B2443A" w14:textId="6F52BA26"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120</w:t>
            </w:r>
          </w:p>
        </w:tc>
        <w:tc>
          <w:tcPr>
            <w:tcW w:w="1476" w:type="dxa"/>
          </w:tcPr>
          <w:p w14:paraId="08F025D0" w14:textId="77A9E912"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30</w:t>
            </w:r>
          </w:p>
        </w:tc>
        <w:tc>
          <w:tcPr>
            <w:tcW w:w="1476" w:type="dxa"/>
          </w:tcPr>
          <w:p w14:paraId="7FE74DA3" w14:textId="6E4182D6"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600</w:t>
            </w:r>
            <w:r w:rsidR="00124D8F" w:rsidRPr="004C0F3D">
              <w:rPr>
                <w:rFonts w:ascii="Times New Roman" w:hAnsi="Times New Roman" w:cs="Times New Roman"/>
                <w:color w:val="262626" w:themeColor="text1" w:themeTint="D9"/>
              </w:rPr>
              <w:t>.00</w:t>
            </w:r>
          </w:p>
        </w:tc>
        <w:tc>
          <w:tcPr>
            <w:tcW w:w="1476" w:type="dxa"/>
          </w:tcPr>
          <w:p w14:paraId="679A6571" w14:textId="0CD3B678" w:rsidR="00AA6D23"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5.00</w:t>
            </w:r>
          </w:p>
        </w:tc>
        <w:tc>
          <w:tcPr>
            <w:tcW w:w="1476" w:type="dxa"/>
          </w:tcPr>
          <w:p w14:paraId="29328A60" w14:textId="6CD8F92C" w:rsidR="00AA6D23" w:rsidRPr="004C0F3D" w:rsidRDefault="004C10A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3.33</w:t>
            </w:r>
          </w:p>
        </w:tc>
      </w:tr>
      <w:tr w:rsidR="00AA6D23" w:rsidRPr="004C0F3D" w14:paraId="59BB4856" w14:textId="77777777" w:rsidTr="00AA6D23">
        <w:tc>
          <w:tcPr>
            <w:tcW w:w="1476" w:type="dxa"/>
          </w:tcPr>
          <w:p w14:paraId="1C1294D6" w14:textId="0138C52E"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w:t>
            </w:r>
          </w:p>
        </w:tc>
        <w:tc>
          <w:tcPr>
            <w:tcW w:w="1476" w:type="dxa"/>
          </w:tcPr>
          <w:p w14:paraId="0FE4A9AA" w14:textId="53BC38D8"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140</w:t>
            </w:r>
          </w:p>
        </w:tc>
        <w:tc>
          <w:tcPr>
            <w:tcW w:w="1476" w:type="dxa"/>
          </w:tcPr>
          <w:p w14:paraId="524DA304" w14:textId="4C5F5977"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20</w:t>
            </w:r>
          </w:p>
        </w:tc>
        <w:tc>
          <w:tcPr>
            <w:tcW w:w="1476" w:type="dxa"/>
          </w:tcPr>
          <w:p w14:paraId="0773BC81" w14:textId="624547E6"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700</w:t>
            </w:r>
            <w:r w:rsidR="00124D8F" w:rsidRPr="004C0F3D">
              <w:rPr>
                <w:rFonts w:ascii="Times New Roman" w:hAnsi="Times New Roman" w:cs="Times New Roman"/>
                <w:color w:val="262626" w:themeColor="text1" w:themeTint="D9"/>
              </w:rPr>
              <w:t>.00</w:t>
            </w:r>
          </w:p>
        </w:tc>
        <w:tc>
          <w:tcPr>
            <w:tcW w:w="1476" w:type="dxa"/>
          </w:tcPr>
          <w:p w14:paraId="7E13517D" w14:textId="310BCD72" w:rsidR="00AA6D23"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5.00</w:t>
            </w:r>
          </w:p>
        </w:tc>
        <w:tc>
          <w:tcPr>
            <w:tcW w:w="1476" w:type="dxa"/>
          </w:tcPr>
          <w:p w14:paraId="462A2431" w14:textId="695C17BA" w:rsidR="00AA6D23" w:rsidRPr="004C0F3D" w:rsidRDefault="004C10A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5.00</w:t>
            </w:r>
          </w:p>
        </w:tc>
      </w:tr>
      <w:tr w:rsidR="00AA6D23" w:rsidRPr="004C0F3D" w14:paraId="1D9AC01E" w14:textId="77777777" w:rsidTr="00AA6D23">
        <w:tc>
          <w:tcPr>
            <w:tcW w:w="1476" w:type="dxa"/>
          </w:tcPr>
          <w:p w14:paraId="00D2F199" w14:textId="79F12C1B"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6</w:t>
            </w:r>
          </w:p>
        </w:tc>
        <w:tc>
          <w:tcPr>
            <w:tcW w:w="1476" w:type="dxa"/>
          </w:tcPr>
          <w:p w14:paraId="378B32B4" w14:textId="76DD85D1"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150</w:t>
            </w:r>
          </w:p>
        </w:tc>
        <w:tc>
          <w:tcPr>
            <w:tcW w:w="1476" w:type="dxa"/>
          </w:tcPr>
          <w:p w14:paraId="7224FF1A" w14:textId="00F802E0"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10</w:t>
            </w:r>
          </w:p>
        </w:tc>
        <w:tc>
          <w:tcPr>
            <w:tcW w:w="1476" w:type="dxa"/>
          </w:tcPr>
          <w:p w14:paraId="105B7A57" w14:textId="16E41BA6"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800</w:t>
            </w:r>
            <w:r w:rsidR="00124D8F" w:rsidRPr="004C0F3D">
              <w:rPr>
                <w:rFonts w:ascii="Times New Roman" w:hAnsi="Times New Roman" w:cs="Times New Roman"/>
                <w:color w:val="262626" w:themeColor="text1" w:themeTint="D9"/>
              </w:rPr>
              <w:t>.00</w:t>
            </w:r>
          </w:p>
        </w:tc>
        <w:tc>
          <w:tcPr>
            <w:tcW w:w="1476" w:type="dxa"/>
          </w:tcPr>
          <w:p w14:paraId="207112AE" w14:textId="50A52EF7" w:rsidR="00AA6D23"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5.33</w:t>
            </w:r>
          </w:p>
        </w:tc>
        <w:tc>
          <w:tcPr>
            <w:tcW w:w="1476" w:type="dxa"/>
          </w:tcPr>
          <w:p w14:paraId="2CE66418" w14:textId="60CCD372" w:rsidR="00AA6D23" w:rsidRPr="004C0F3D" w:rsidRDefault="004C10A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10.00</w:t>
            </w:r>
          </w:p>
        </w:tc>
      </w:tr>
      <w:tr w:rsidR="00AA6D23" w:rsidRPr="004C0F3D" w14:paraId="022480C1" w14:textId="77777777" w:rsidTr="00AA6D23">
        <w:tc>
          <w:tcPr>
            <w:tcW w:w="1476" w:type="dxa"/>
          </w:tcPr>
          <w:p w14:paraId="54C8F8BE" w14:textId="34360311"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7</w:t>
            </w:r>
          </w:p>
        </w:tc>
        <w:tc>
          <w:tcPr>
            <w:tcW w:w="1476" w:type="dxa"/>
          </w:tcPr>
          <w:p w14:paraId="3CFB738E" w14:textId="2B638A7A"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155</w:t>
            </w:r>
          </w:p>
        </w:tc>
        <w:tc>
          <w:tcPr>
            <w:tcW w:w="1476" w:type="dxa"/>
          </w:tcPr>
          <w:p w14:paraId="158CE2F5" w14:textId="4592FA48"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w:t>
            </w:r>
          </w:p>
        </w:tc>
        <w:tc>
          <w:tcPr>
            <w:tcW w:w="1476" w:type="dxa"/>
          </w:tcPr>
          <w:p w14:paraId="58EB98B6" w14:textId="480561A8" w:rsidR="00AA6D23" w:rsidRPr="004C0F3D" w:rsidRDefault="00AA6D23"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900</w:t>
            </w:r>
            <w:r w:rsidR="00124D8F" w:rsidRPr="004C0F3D">
              <w:rPr>
                <w:rFonts w:ascii="Times New Roman" w:hAnsi="Times New Roman" w:cs="Times New Roman"/>
                <w:color w:val="262626" w:themeColor="text1" w:themeTint="D9"/>
              </w:rPr>
              <w:t>.00</w:t>
            </w:r>
          </w:p>
        </w:tc>
        <w:tc>
          <w:tcPr>
            <w:tcW w:w="1476" w:type="dxa"/>
          </w:tcPr>
          <w:p w14:paraId="614E5170" w14:textId="6C07A6C0" w:rsidR="00AA6D23"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5.80</w:t>
            </w:r>
          </w:p>
        </w:tc>
        <w:tc>
          <w:tcPr>
            <w:tcW w:w="1476" w:type="dxa"/>
          </w:tcPr>
          <w:p w14:paraId="14970EEE" w14:textId="0E0B9624" w:rsidR="00AA6D23" w:rsidRPr="004C0F3D" w:rsidRDefault="004C10A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2</w:t>
            </w:r>
            <w:r w:rsidR="00124D8F" w:rsidRPr="004C0F3D">
              <w:rPr>
                <w:rFonts w:ascii="Times New Roman" w:hAnsi="Times New Roman" w:cs="Times New Roman"/>
                <w:color w:val="262626" w:themeColor="text1" w:themeTint="D9"/>
              </w:rPr>
              <w:t>0</w:t>
            </w:r>
            <w:r w:rsidR="00D51206" w:rsidRPr="004C0F3D">
              <w:rPr>
                <w:rFonts w:ascii="Times New Roman" w:hAnsi="Times New Roman" w:cs="Times New Roman"/>
                <w:color w:val="262626" w:themeColor="text1" w:themeTint="D9"/>
              </w:rPr>
              <w:t>.00</w:t>
            </w:r>
          </w:p>
        </w:tc>
      </w:tr>
    </w:tbl>
    <w:p w14:paraId="07899DD4" w14:textId="77777777" w:rsidR="00F370E6" w:rsidRPr="004C0F3D" w:rsidRDefault="00F370E6" w:rsidP="001232D3">
      <w:pPr>
        <w:pStyle w:val="ListParagraph"/>
        <w:ind w:left="0"/>
        <w:rPr>
          <w:rFonts w:ascii="Times New Roman" w:hAnsi="Times New Roman" w:cs="Times New Roman"/>
          <w:color w:val="262626" w:themeColor="text1" w:themeTint="D9"/>
        </w:rPr>
      </w:pPr>
    </w:p>
    <w:p w14:paraId="50A6F75F" w14:textId="01A10FA3" w:rsidR="00124D8F" w:rsidRPr="004C0F3D" w:rsidRDefault="00124D8F" w:rsidP="001232D3">
      <w:pPr>
        <w:pStyle w:val="ListParagraph"/>
        <w:numPr>
          <w:ilvl w:val="0"/>
          <w:numId w:val="22"/>
        </w:numP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Price= $150   Total Fixed Cost= $200</w:t>
      </w:r>
    </w:p>
    <w:tbl>
      <w:tblPr>
        <w:tblStyle w:val="TableGrid"/>
        <w:tblW w:w="0" w:type="auto"/>
        <w:tblLook w:val="04A0" w:firstRow="1" w:lastRow="0" w:firstColumn="1" w:lastColumn="0" w:noHBand="0" w:noVBand="1"/>
      </w:tblPr>
      <w:tblGrid>
        <w:gridCol w:w="1476"/>
        <w:gridCol w:w="1476"/>
        <w:gridCol w:w="1476"/>
        <w:gridCol w:w="1476"/>
        <w:gridCol w:w="1476"/>
        <w:gridCol w:w="1476"/>
      </w:tblGrid>
      <w:tr w:rsidR="00124D8F" w:rsidRPr="004C0F3D" w14:paraId="19C73957" w14:textId="77777777" w:rsidTr="00124D8F">
        <w:tc>
          <w:tcPr>
            <w:tcW w:w="1476" w:type="dxa"/>
          </w:tcPr>
          <w:p w14:paraId="692B6614"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Workers</w:t>
            </w:r>
          </w:p>
        </w:tc>
        <w:tc>
          <w:tcPr>
            <w:tcW w:w="1476" w:type="dxa"/>
          </w:tcPr>
          <w:p w14:paraId="40F7FC76"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Output</w:t>
            </w:r>
          </w:p>
        </w:tc>
        <w:tc>
          <w:tcPr>
            <w:tcW w:w="1476" w:type="dxa"/>
          </w:tcPr>
          <w:p w14:paraId="049D03A0"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Marginal Product</w:t>
            </w:r>
          </w:p>
        </w:tc>
        <w:tc>
          <w:tcPr>
            <w:tcW w:w="1476" w:type="dxa"/>
          </w:tcPr>
          <w:p w14:paraId="16A0D2EA"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Total Cost</w:t>
            </w:r>
          </w:p>
        </w:tc>
        <w:tc>
          <w:tcPr>
            <w:tcW w:w="1476" w:type="dxa"/>
          </w:tcPr>
          <w:p w14:paraId="32C820EB"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Average Total Cost</w:t>
            </w:r>
          </w:p>
        </w:tc>
        <w:tc>
          <w:tcPr>
            <w:tcW w:w="1476" w:type="dxa"/>
          </w:tcPr>
          <w:p w14:paraId="42A39CE8"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Marginal Cost</w:t>
            </w:r>
          </w:p>
        </w:tc>
      </w:tr>
      <w:tr w:rsidR="00124D8F" w:rsidRPr="004C0F3D" w14:paraId="4FF1843F" w14:textId="77777777" w:rsidTr="00124D8F">
        <w:tc>
          <w:tcPr>
            <w:tcW w:w="1476" w:type="dxa"/>
          </w:tcPr>
          <w:p w14:paraId="0AEF75E8"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0</w:t>
            </w:r>
          </w:p>
        </w:tc>
        <w:tc>
          <w:tcPr>
            <w:tcW w:w="1476" w:type="dxa"/>
          </w:tcPr>
          <w:p w14:paraId="1F8AFAB5"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0</w:t>
            </w:r>
          </w:p>
        </w:tc>
        <w:tc>
          <w:tcPr>
            <w:tcW w:w="1476" w:type="dxa"/>
          </w:tcPr>
          <w:p w14:paraId="31C0B8CA"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w:t>
            </w:r>
          </w:p>
        </w:tc>
        <w:tc>
          <w:tcPr>
            <w:tcW w:w="1476" w:type="dxa"/>
          </w:tcPr>
          <w:p w14:paraId="497DD85A" w14:textId="11782D21"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200</w:t>
            </w:r>
            <w:r w:rsidR="00D51206" w:rsidRPr="004C0F3D">
              <w:rPr>
                <w:rFonts w:ascii="Times New Roman" w:hAnsi="Times New Roman" w:cs="Times New Roman"/>
                <w:color w:val="262626" w:themeColor="text1" w:themeTint="D9"/>
              </w:rPr>
              <w:t>.00</w:t>
            </w:r>
          </w:p>
        </w:tc>
        <w:tc>
          <w:tcPr>
            <w:tcW w:w="1476" w:type="dxa"/>
          </w:tcPr>
          <w:p w14:paraId="7BE1CCA8"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w:t>
            </w:r>
          </w:p>
        </w:tc>
        <w:tc>
          <w:tcPr>
            <w:tcW w:w="1476" w:type="dxa"/>
          </w:tcPr>
          <w:p w14:paraId="207552AD"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w:t>
            </w:r>
          </w:p>
        </w:tc>
      </w:tr>
      <w:tr w:rsidR="00124D8F" w:rsidRPr="004C0F3D" w14:paraId="336AE5C2" w14:textId="77777777" w:rsidTr="00124D8F">
        <w:tc>
          <w:tcPr>
            <w:tcW w:w="1476" w:type="dxa"/>
          </w:tcPr>
          <w:p w14:paraId="7F6B5713"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w:t>
            </w:r>
          </w:p>
        </w:tc>
        <w:tc>
          <w:tcPr>
            <w:tcW w:w="1476" w:type="dxa"/>
          </w:tcPr>
          <w:p w14:paraId="53F86D36"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20</w:t>
            </w:r>
          </w:p>
        </w:tc>
        <w:tc>
          <w:tcPr>
            <w:tcW w:w="1476" w:type="dxa"/>
          </w:tcPr>
          <w:p w14:paraId="7C828D73"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20</w:t>
            </w:r>
          </w:p>
        </w:tc>
        <w:tc>
          <w:tcPr>
            <w:tcW w:w="1476" w:type="dxa"/>
          </w:tcPr>
          <w:p w14:paraId="37797701" w14:textId="4A67F64C"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350</w:t>
            </w:r>
            <w:r w:rsidR="00D51206" w:rsidRPr="004C0F3D">
              <w:rPr>
                <w:rFonts w:ascii="Times New Roman" w:hAnsi="Times New Roman" w:cs="Times New Roman"/>
                <w:color w:val="262626" w:themeColor="text1" w:themeTint="D9"/>
              </w:rPr>
              <w:t>.00</w:t>
            </w:r>
          </w:p>
        </w:tc>
        <w:tc>
          <w:tcPr>
            <w:tcW w:w="1476" w:type="dxa"/>
          </w:tcPr>
          <w:p w14:paraId="49D72F83" w14:textId="15C0C3C8"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17.50</w:t>
            </w:r>
          </w:p>
        </w:tc>
        <w:tc>
          <w:tcPr>
            <w:tcW w:w="1476" w:type="dxa"/>
          </w:tcPr>
          <w:p w14:paraId="5F469FBC" w14:textId="1DBA072B" w:rsidR="00124D8F" w:rsidRPr="004C0F3D" w:rsidRDefault="004C10A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7.50</w:t>
            </w:r>
          </w:p>
        </w:tc>
      </w:tr>
      <w:tr w:rsidR="00124D8F" w:rsidRPr="004C0F3D" w14:paraId="33A882E7" w14:textId="77777777" w:rsidTr="00124D8F">
        <w:tc>
          <w:tcPr>
            <w:tcW w:w="1476" w:type="dxa"/>
          </w:tcPr>
          <w:p w14:paraId="26FD23FC"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2</w:t>
            </w:r>
          </w:p>
        </w:tc>
        <w:tc>
          <w:tcPr>
            <w:tcW w:w="1476" w:type="dxa"/>
          </w:tcPr>
          <w:p w14:paraId="585A5296"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50</w:t>
            </w:r>
          </w:p>
        </w:tc>
        <w:tc>
          <w:tcPr>
            <w:tcW w:w="1476" w:type="dxa"/>
          </w:tcPr>
          <w:p w14:paraId="1C1F2EBE"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30</w:t>
            </w:r>
          </w:p>
        </w:tc>
        <w:tc>
          <w:tcPr>
            <w:tcW w:w="1476" w:type="dxa"/>
          </w:tcPr>
          <w:p w14:paraId="7350F83A" w14:textId="11609B01"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500</w:t>
            </w:r>
            <w:r w:rsidR="00D51206" w:rsidRPr="004C0F3D">
              <w:rPr>
                <w:rFonts w:ascii="Times New Roman" w:hAnsi="Times New Roman" w:cs="Times New Roman"/>
                <w:color w:val="262626" w:themeColor="text1" w:themeTint="D9"/>
              </w:rPr>
              <w:t>.00</w:t>
            </w:r>
          </w:p>
        </w:tc>
        <w:tc>
          <w:tcPr>
            <w:tcW w:w="1476" w:type="dxa"/>
          </w:tcPr>
          <w:p w14:paraId="044FB4AC" w14:textId="342D75B3"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10.00</w:t>
            </w:r>
          </w:p>
        </w:tc>
        <w:tc>
          <w:tcPr>
            <w:tcW w:w="1476" w:type="dxa"/>
          </w:tcPr>
          <w:p w14:paraId="00D2D7AC" w14:textId="609C4A21" w:rsidR="00124D8F" w:rsidRPr="004C0F3D" w:rsidRDefault="004C10A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w:t>
            </w:r>
            <w:r w:rsidR="00D51206" w:rsidRPr="004C0F3D">
              <w:rPr>
                <w:rFonts w:ascii="Times New Roman" w:hAnsi="Times New Roman" w:cs="Times New Roman"/>
                <w:color w:val="262626" w:themeColor="text1" w:themeTint="D9"/>
              </w:rPr>
              <w:t>.00</w:t>
            </w:r>
          </w:p>
        </w:tc>
      </w:tr>
      <w:tr w:rsidR="00124D8F" w:rsidRPr="004C0F3D" w14:paraId="4093D7FA" w14:textId="77777777" w:rsidTr="00124D8F">
        <w:tc>
          <w:tcPr>
            <w:tcW w:w="1476" w:type="dxa"/>
          </w:tcPr>
          <w:p w14:paraId="62B2B235"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3</w:t>
            </w:r>
          </w:p>
        </w:tc>
        <w:tc>
          <w:tcPr>
            <w:tcW w:w="1476" w:type="dxa"/>
          </w:tcPr>
          <w:p w14:paraId="7C6B7BDF"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90</w:t>
            </w:r>
          </w:p>
        </w:tc>
        <w:tc>
          <w:tcPr>
            <w:tcW w:w="1476" w:type="dxa"/>
          </w:tcPr>
          <w:p w14:paraId="427C0FA6"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40</w:t>
            </w:r>
          </w:p>
        </w:tc>
        <w:tc>
          <w:tcPr>
            <w:tcW w:w="1476" w:type="dxa"/>
          </w:tcPr>
          <w:p w14:paraId="2C71340A" w14:textId="42271D3A"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650</w:t>
            </w:r>
            <w:r w:rsidR="00D51206" w:rsidRPr="004C0F3D">
              <w:rPr>
                <w:rFonts w:ascii="Times New Roman" w:hAnsi="Times New Roman" w:cs="Times New Roman"/>
                <w:color w:val="262626" w:themeColor="text1" w:themeTint="D9"/>
              </w:rPr>
              <w:t>.00</w:t>
            </w:r>
          </w:p>
        </w:tc>
        <w:tc>
          <w:tcPr>
            <w:tcW w:w="1476" w:type="dxa"/>
          </w:tcPr>
          <w:p w14:paraId="0DE62A38" w14:textId="59A7EA4F"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7.22</w:t>
            </w:r>
          </w:p>
        </w:tc>
        <w:tc>
          <w:tcPr>
            <w:tcW w:w="1476" w:type="dxa"/>
          </w:tcPr>
          <w:p w14:paraId="51EE5DDD" w14:textId="69AC9AC0" w:rsidR="00124D8F" w:rsidRPr="004C0F3D" w:rsidRDefault="004C10A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3.75</w:t>
            </w:r>
          </w:p>
        </w:tc>
      </w:tr>
      <w:tr w:rsidR="00124D8F" w:rsidRPr="004C0F3D" w14:paraId="50D918D3" w14:textId="77777777" w:rsidTr="00124D8F">
        <w:tc>
          <w:tcPr>
            <w:tcW w:w="1476" w:type="dxa"/>
          </w:tcPr>
          <w:p w14:paraId="02D172DB"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4</w:t>
            </w:r>
          </w:p>
        </w:tc>
        <w:tc>
          <w:tcPr>
            <w:tcW w:w="1476" w:type="dxa"/>
          </w:tcPr>
          <w:p w14:paraId="382FF7A7"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120</w:t>
            </w:r>
          </w:p>
        </w:tc>
        <w:tc>
          <w:tcPr>
            <w:tcW w:w="1476" w:type="dxa"/>
          </w:tcPr>
          <w:p w14:paraId="233C8F13"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30</w:t>
            </w:r>
          </w:p>
        </w:tc>
        <w:tc>
          <w:tcPr>
            <w:tcW w:w="1476" w:type="dxa"/>
          </w:tcPr>
          <w:p w14:paraId="6549885E" w14:textId="719905D2"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800</w:t>
            </w:r>
            <w:r w:rsidR="00D51206" w:rsidRPr="004C0F3D">
              <w:rPr>
                <w:rFonts w:ascii="Times New Roman" w:hAnsi="Times New Roman" w:cs="Times New Roman"/>
                <w:color w:val="262626" w:themeColor="text1" w:themeTint="D9"/>
              </w:rPr>
              <w:t>.00</w:t>
            </w:r>
          </w:p>
        </w:tc>
        <w:tc>
          <w:tcPr>
            <w:tcW w:w="1476" w:type="dxa"/>
          </w:tcPr>
          <w:p w14:paraId="51016E64" w14:textId="1067A315"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6.67</w:t>
            </w:r>
          </w:p>
        </w:tc>
        <w:tc>
          <w:tcPr>
            <w:tcW w:w="1476" w:type="dxa"/>
          </w:tcPr>
          <w:p w14:paraId="3EF4CFEA" w14:textId="3F8E3A53" w:rsidR="00124D8F" w:rsidRPr="004C0F3D" w:rsidRDefault="004C10A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w:t>
            </w:r>
            <w:r w:rsidR="00D51206" w:rsidRPr="004C0F3D">
              <w:rPr>
                <w:rFonts w:ascii="Times New Roman" w:hAnsi="Times New Roman" w:cs="Times New Roman"/>
                <w:color w:val="262626" w:themeColor="text1" w:themeTint="D9"/>
              </w:rPr>
              <w:t>.00</w:t>
            </w:r>
          </w:p>
        </w:tc>
      </w:tr>
      <w:tr w:rsidR="00124D8F" w:rsidRPr="004C0F3D" w14:paraId="045B555D" w14:textId="77777777" w:rsidTr="00124D8F">
        <w:tc>
          <w:tcPr>
            <w:tcW w:w="1476" w:type="dxa"/>
          </w:tcPr>
          <w:p w14:paraId="339A482B"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w:t>
            </w:r>
          </w:p>
        </w:tc>
        <w:tc>
          <w:tcPr>
            <w:tcW w:w="1476" w:type="dxa"/>
          </w:tcPr>
          <w:p w14:paraId="40CF7A94"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140</w:t>
            </w:r>
          </w:p>
        </w:tc>
        <w:tc>
          <w:tcPr>
            <w:tcW w:w="1476" w:type="dxa"/>
          </w:tcPr>
          <w:p w14:paraId="729E5B40"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20</w:t>
            </w:r>
          </w:p>
        </w:tc>
        <w:tc>
          <w:tcPr>
            <w:tcW w:w="1476" w:type="dxa"/>
          </w:tcPr>
          <w:p w14:paraId="401F9E23" w14:textId="16813BA2"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950</w:t>
            </w:r>
            <w:r w:rsidR="00D51206" w:rsidRPr="004C0F3D">
              <w:rPr>
                <w:rFonts w:ascii="Times New Roman" w:hAnsi="Times New Roman" w:cs="Times New Roman"/>
                <w:color w:val="262626" w:themeColor="text1" w:themeTint="D9"/>
              </w:rPr>
              <w:t>.00</w:t>
            </w:r>
          </w:p>
        </w:tc>
        <w:tc>
          <w:tcPr>
            <w:tcW w:w="1476" w:type="dxa"/>
          </w:tcPr>
          <w:p w14:paraId="1802702C" w14:textId="4E0ED2D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6.79</w:t>
            </w:r>
          </w:p>
        </w:tc>
        <w:tc>
          <w:tcPr>
            <w:tcW w:w="1476" w:type="dxa"/>
          </w:tcPr>
          <w:p w14:paraId="3095F817" w14:textId="178D5A71" w:rsidR="00124D8F" w:rsidRPr="004C0F3D" w:rsidRDefault="004C10A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7.</w:t>
            </w:r>
            <w:r w:rsidR="00124D8F" w:rsidRPr="004C0F3D">
              <w:rPr>
                <w:rFonts w:ascii="Times New Roman" w:hAnsi="Times New Roman" w:cs="Times New Roman"/>
                <w:color w:val="262626" w:themeColor="text1" w:themeTint="D9"/>
              </w:rPr>
              <w:t>50</w:t>
            </w:r>
          </w:p>
        </w:tc>
      </w:tr>
      <w:tr w:rsidR="00124D8F" w:rsidRPr="004C0F3D" w14:paraId="763B14BB" w14:textId="77777777" w:rsidTr="00124D8F">
        <w:tc>
          <w:tcPr>
            <w:tcW w:w="1476" w:type="dxa"/>
          </w:tcPr>
          <w:p w14:paraId="3EE67D71"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6</w:t>
            </w:r>
          </w:p>
        </w:tc>
        <w:tc>
          <w:tcPr>
            <w:tcW w:w="1476" w:type="dxa"/>
          </w:tcPr>
          <w:p w14:paraId="2B673BC8"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150</w:t>
            </w:r>
          </w:p>
        </w:tc>
        <w:tc>
          <w:tcPr>
            <w:tcW w:w="1476" w:type="dxa"/>
          </w:tcPr>
          <w:p w14:paraId="326D386E"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10</w:t>
            </w:r>
          </w:p>
        </w:tc>
        <w:tc>
          <w:tcPr>
            <w:tcW w:w="1476" w:type="dxa"/>
          </w:tcPr>
          <w:p w14:paraId="231AA676" w14:textId="76D97084"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1100</w:t>
            </w:r>
            <w:r w:rsidR="00D51206" w:rsidRPr="004C0F3D">
              <w:rPr>
                <w:rFonts w:ascii="Times New Roman" w:hAnsi="Times New Roman" w:cs="Times New Roman"/>
                <w:color w:val="262626" w:themeColor="text1" w:themeTint="D9"/>
              </w:rPr>
              <w:t>.00</w:t>
            </w:r>
          </w:p>
        </w:tc>
        <w:tc>
          <w:tcPr>
            <w:tcW w:w="1476" w:type="dxa"/>
          </w:tcPr>
          <w:p w14:paraId="5070AFD1" w14:textId="5E4C2AB3"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7.33</w:t>
            </w:r>
          </w:p>
        </w:tc>
        <w:tc>
          <w:tcPr>
            <w:tcW w:w="1476" w:type="dxa"/>
          </w:tcPr>
          <w:p w14:paraId="0E15D28D" w14:textId="59789B0F" w:rsidR="00124D8F" w:rsidRPr="004C0F3D" w:rsidRDefault="004C10A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15</w:t>
            </w:r>
            <w:r w:rsidR="00D51206" w:rsidRPr="004C0F3D">
              <w:rPr>
                <w:rFonts w:ascii="Times New Roman" w:hAnsi="Times New Roman" w:cs="Times New Roman"/>
                <w:color w:val="262626" w:themeColor="text1" w:themeTint="D9"/>
              </w:rPr>
              <w:t>.00</w:t>
            </w:r>
          </w:p>
        </w:tc>
      </w:tr>
      <w:tr w:rsidR="00124D8F" w:rsidRPr="004C0F3D" w14:paraId="19045B4D" w14:textId="77777777" w:rsidTr="00124D8F">
        <w:tc>
          <w:tcPr>
            <w:tcW w:w="1476" w:type="dxa"/>
          </w:tcPr>
          <w:p w14:paraId="53973BE6"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7</w:t>
            </w:r>
          </w:p>
        </w:tc>
        <w:tc>
          <w:tcPr>
            <w:tcW w:w="1476" w:type="dxa"/>
          </w:tcPr>
          <w:p w14:paraId="6BE1CB08"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155</w:t>
            </w:r>
          </w:p>
        </w:tc>
        <w:tc>
          <w:tcPr>
            <w:tcW w:w="1476" w:type="dxa"/>
          </w:tcPr>
          <w:p w14:paraId="5036E200" w14:textId="7777777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w:t>
            </w:r>
          </w:p>
        </w:tc>
        <w:tc>
          <w:tcPr>
            <w:tcW w:w="1476" w:type="dxa"/>
          </w:tcPr>
          <w:p w14:paraId="6488E9A6" w14:textId="0EBE80C7"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1250</w:t>
            </w:r>
            <w:r w:rsidR="00D51206" w:rsidRPr="004C0F3D">
              <w:rPr>
                <w:rFonts w:ascii="Times New Roman" w:hAnsi="Times New Roman" w:cs="Times New Roman"/>
                <w:color w:val="262626" w:themeColor="text1" w:themeTint="D9"/>
              </w:rPr>
              <w:t>.00</w:t>
            </w:r>
          </w:p>
        </w:tc>
        <w:tc>
          <w:tcPr>
            <w:tcW w:w="1476" w:type="dxa"/>
          </w:tcPr>
          <w:p w14:paraId="7378625D" w14:textId="0246679D" w:rsidR="00124D8F" w:rsidRPr="004C0F3D" w:rsidRDefault="00124D8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8.06</w:t>
            </w:r>
          </w:p>
        </w:tc>
        <w:tc>
          <w:tcPr>
            <w:tcW w:w="1476" w:type="dxa"/>
          </w:tcPr>
          <w:p w14:paraId="6C627A8D" w14:textId="1FC34A05" w:rsidR="00124D8F" w:rsidRPr="004C0F3D" w:rsidRDefault="004C10A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3</w:t>
            </w:r>
            <w:r w:rsidR="00124D8F" w:rsidRPr="004C0F3D">
              <w:rPr>
                <w:rFonts w:ascii="Times New Roman" w:hAnsi="Times New Roman" w:cs="Times New Roman"/>
                <w:color w:val="262626" w:themeColor="text1" w:themeTint="D9"/>
              </w:rPr>
              <w:t>0</w:t>
            </w:r>
            <w:r w:rsidR="00D51206" w:rsidRPr="004C0F3D">
              <w:rPr>
                <w:rFonts w:ascii="Times New Roman" w:hAnsi="Times New Roman" w:cs="Times New Roman"/>
                <w:color w:val="262626" w:themeColor="text1" w:themeTint="D9"/>
              </w:rPr>
              <w:t>.00</w:t>
            </w:r>
          </w:p>
        </w:tc>
      </w:tr>
    </w:tbl>
    <w:p w14:paraId="306CE2A9" w14:textId="77777777" w:rsidR="00124D8F" w:rsidRPr="004C0F3D" w:rsidRDefault="00124D8F" w:rsidP="001232D3">
      <w:pPr>
        <w:rPr>
          <w:rFonts w:ascii="Times New Roman" w:hAnsi="Times New Roman" w:cs="Times New Roman"/>
          <w:color w:val="262626" w:themeColor="text1" w:themeTint="D9"/>
        </w:rPr>
      </w:pPr>
    </w:p>
    <w:p w14:paraId="34A20F60" w14:textId="77777777" w:rsidR="004F4A4A" w:rsidRPr="004F4A4A" w:rsidRDefault="004F4A4A" w:rsidP="004F4A4A">
      <w:pPr>
        <w:rPr>
          <w:rFonts w:ascii="Times New Roman" w:hAnsi="Times New Roman" w:cs="Times New Roman"/>
          <w:color w:val="262626" w:themeColor="text1" w:themeTint="D9"/>
        </w:rPr>
      </w:pPr>
    </w:p>
    <w:p w14:paraId="4834B3D6" w14:textId="77777777" w:rsidR="004F4A4A" w:rsidRDefault="004F4A4A" w:rsidP="004F4A4A">
      <w:pPr>
        <w:pStyle w:val="ListParagraph"/>
        <w:rPr>
          <w:rFonts w:ascii="Times New Roman" w:hAnsi="Times New Roman" w:cs="Times New Roman"/>
          <w:color w:val="262626" w:themeColor="text1" w:themeTint="D9"/>
        </w:rPr>
      </w:pPr>
    </w:p>
    <w:p w14:paraId="28E3EA0B" w14:textId="77777777" w:rsidR="004F4A4A" w:rsidRDefault="004F4A4A" w:rsidP="004F4A4A">
      <w:pPr>
        <w:pStyle w:val="ListParagraph"/>
        <w:rPr>
          <w:rFonts w:ascii="Times New Roman" w:hAnsi="Times New Roman" w:cs="Times New Roman"/>
          <w:color w:val="262626" w:themeColor="text1" w:themeTint="D9"/>
        </w:rPr>
      </w:pPr>
    </w:p>
    <w:p w14:paraId="5077DB6D" w14:textId="0A8AEFC4" w:rsidR="00D51206" w:rsidRPr="004F4A4A" w:rsidRDefault="00D51206" w:rsidP="004F4A4A">
      <w:pPr>
        <w:pStyle w:val="ListParagraph"/>
        <w:numPr>
          <w:ilvl w:val="0"/>
          <w:numId w:val="22"/>
        </w:numPr>
        <w:rPr>
          <w:rFonts w:ascii="Times New Roman" w:hAnsi="Times New Roman" w:cs="Times New Roman"/>
          <w:color w:val="262626" w:themeColor="text1" w:themeTint="D9"/>
        </w:rPr>
      </w:pPr>
      <w:r w:rsidRPr="004F4A4A">
        <w:rPr>
          <w:rFonts w:ascii="Times New Roman" w:hAnsi="Times New Roman" w:cs="Times New Roman"/>
          <w:color w:val="262626" w:themeColor="text1" w:themeTint="D9"/>
        </w:rPr>
        <w:t>Price= $100   Total Fixed Cost= $300</w:t>
      </w:r>
    </w:p>
    <w:tbl>
      <w:tblPr>
        <w:tblStyle w:val="TableGrid"/>
        <w:tblW w:w="0" w:type="auto"/>
        <w:tblLook w:val="04A0" w:firstRow="1" w:lastRow="0" w:firstColumn="1" w:lastColumn="0" w:noHBand="0" w:noVBand="1"/>
      </w:tblPr>
      <w:tblGrid>
        <w:gridCol w:w="1476"/>
        <w:gridCol w:w="1476"/>
        <w:gridCol w:w="1476"/>
        <w:gridCol w:w="1476"/>
        <w:gridCol w:w="1476"/>
        <w:gridCol w:w="1476"/>
      </w:tblGrid>
      <w:tr w:rsidR="00D51206" w:rsidRPr="004C0F3D" w14:paraId="49D8AB71" w14:textId="77777777" w:rsidTr="00D51206">
        <w:tc>
          <w:tcPr>
            <w:tcW w:w="1476" w:type="dxa"/>
          </w:tcPr>
          <w:p w14:paraId="5BFF8364"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Workers</w:t>
            </w:r>
          </w:p>
        </w:tc>
        <w:tc>
          <w:tcPr>
            <w:tcW w:w="1476" w:type="dxa"/>
          </w:tcPr>
          <w:p w14:paraId="74606A51"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Output</w:t>
            </w:r>
          </w:p>
        </w:tc>
        <w:tc>
          <w:tcPr>
            <w:tcW w:w="1476" w:type="dxa"/>
          </w:tcPr>
          <w:p w14:paraId="31DBA135"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Marginal Product</w:t>
            </w:r>
          </w:p>
        </w:tc>
        <w:tc>
          <w:tcPr>
            <w:tcW w:w="1476" w:type="dxa"/>
          </w:tcPr>
          <w:p w14:paraId="51C44ACA"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Total Cost</w:t>
            </w:r>
          </w:p>
        </w:tc>
        <w:tc>
          <w:tcPr>
            <w:tcW w:w="1476" w:type="dxa"/>
          </w:tcPr>
          <w:p w14:paraId="72760DBB"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Average Total Cost</w:t>
            </w:r>
          </w:p>
        </w:tc>
        <w:tc>
          <w:tcPr>
            <w:tcW w:w="1476" w:type="dxa"/>
          </w:tcPr>
          <w:p w14:paraId="35F9C3C8"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Marginal Cost</w:t>
            </w:r>
          </w:p>
        </w:tc>
      </w:tr>
      <w:tr w:rsidR="00D51206" w:rsidRPr="004C0F3D" w14:paraId="7B1BD5D2" w14:textId="77777777" w:rsidTr="00D51206">
        <w:tc>
          <w:tcPr>
            <w:tcW w:w="1476" w:type="dxa"/>
          </w:tcPr>
          <w:p w14:paraId="1835FB73"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0</w:t>
            </w:r>
          </w:p>
        </w:tc>
        <w:tc>
          <w:tcPr>
            <w:tcW w:w="1476" w:type="dxa"/>
          </w:tcPr>
          <w:p w14:paraId="69FC25BE"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0</w:t>
            </w:r>
          </w:p>
        </w:tc>
        <w:tc>
          <w:tcPr>
            <w:tcW w:w="1476" w:type="dxa"/>
          </w:tcPr>
          <w:p w14:paraId="0940E85B"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w:t>
            </w:r>
          </w:p>
        </w:tc>
        <w:tc>
          <w:tcPr>
            <w:tcW w:w="1476" w:type="dxa"/>
          </w:tcPr>
          <w:p w14:paraId="1A1EA7FA" w14:textId="38E68F4F"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300.00</w:t>
            </w:r>
          </w:p>
        </w:tc>
        <w:tc>
          <w:tcPr>
            <w:tcW w:w="1476" w:type="dxa"/>
          </w:tcPr>
          <w:p w14:paraId="251EEF26"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w:t>
            </w:r>
          </w:p>
        </w:tc>
        <w:tc>
          <w:tcPr>
            <w:tcW w:w="1476" w:type="dxa"/>
          </w:tcPr>
          <w:p w14:paraId="2EC949AA"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w:t>
            </w:r>
          </w:p>
        </w:tc>
      </w:tr>
      <w:tr w:rsidR="00D51206" w:rsidRPr="004C0F3D" w14:paraId="4E534514" w14:textId="77777777" w:rsidTr="00D51206">
        <w:tc>
          <w:tcPr>
            <w:tcW w:w="1476" w:type="dxa"/>
          </w:tcPr>
          <w:p w14:paraId="75E6DC09"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w:t>
            </w:r>
          </w:p>
        </w:tc>
        <w:tc>
          <w:tcPr>
            <w:tcW w:w="1476" w:type="dxa"/>
          </w:tcPr>
          <w:p w14:paraId="34944420"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20</w:t>
            </w:r>
          </w:p>
        </w:tc>
        <w:tc>
          <w:tcPr>
            <w:tcW w:w="1476" w:type="dxa"/>
          </w:tcPr>
          <w:p w14:paraId="37064708"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20</w:t>
            </w:r>
          </w:p>
        </w:tc>
        <w:tc>
          <w:tcPr>
            <w:tcW w:w="1476" w:type="dxa"/>
          </w:tcPr>
          <w:p w14:paraId="06DFDBB8" w14:textId="1A0C9F95"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400.00</w:t>
            </w:r>
          </w:p>
        </w:tc>
        <w:tc>
          <w:tcPr>
            <w:tcW w:w="1476" w:type="dxa"/>
          </w:tcPr>
          <w:p w14:paraId="54FCE534" w14:textId="40F4DCEE"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20.00</w:t>
            </w:r>
          </w:p>
        </w:tc>
        <w:tc>
          <w:tcPr>
            <w:tcW w:w="1476" w:type="dxa"/>
          </w:tcPr>
          <w:p w14:paraId="04F1E10C" w14:textId="41E18879" w:rsidR="00D51206" w:rsidRPr="004C0F3D" w:rsidRDefault="004C10A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w:t>
            </w:r>
            <w:r w:rsidR="00D51206" w:rsidRPr="004C0F3D">
              <w:rPr>
                <w:rFonts w:ascii="Times New Roman" w:hAnsi="Times New Roman" w:cs="Times New Roman"/>
                <w:color w:val="262626" w:themeColor="text1" w:themeTint="D9"/>
              </w:rPr>
              <w:t>.00</w:t>
            </w:r>
          </w:p>
        </w:tc>
      </w:tr>
      <w:tr w:rsidR="00D51206" w:rsidRPr="004C0F3D" w14:paraId="4B770D86" w14:textId="77777777" w:rsidTr="00D51206">
        <w:tc>
          <w:tcPr>
            <w:tcW w:w="1476" w:type="dxa"/>
          </w:tcPr>
          <w:p w14:paraId="6B8DE130"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2</w:t>
            </w:r>
          </w:p>
        </w:tc>
        <w:tc>
          <w:tcPr>
            <w:tcW w:w="1476" w:type="dxa"/>
          </w:tcPr>
          <w:p w14:paraId="3D04CEDF"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50</w:t>
            </w:r>
          </w:p>
        </w:tc>
        <w:tc>
          <w:tcPr>
            <w:tcW w:w="1476" w:type="dxa"/>
          </w:tcPr>
          <w:p w14:paraId="7C811228"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30</w:t>
            </w:r>
          </w:p>
        </w:tc>
        <w:tc>
          <w:tcPr>
            <w:tcW w:w="1476" w:type="dxa"/>
          </w:tcPr>
          <w:p w14:paraId="7EA27DDE" w14:textId="21B7B96D"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500.00</w:t>
            </w:r>
          </w:p>
        </w:tc>
        <w:tc>
          <w:tcPr>
            <w:tcW w:w="1476" w:type="dxa"/>
          </w:tcPr>
          <w:p w14:paraId="3AC398DF" w14:textId="1978D199"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10.00</w:t>
            </w:r>
          </w:p>
        </w:tc>
        <w:tc>
          <w:tcPr>
            <w:tcW w:w="1476" w:type="dxa"/>
          </w:tcPr>
          <w:p w14:paraId="7CCC7A26" w14:textId="544B8711" w:rsidR="00D51206" w:rsidRPr="004C0F3D" w:rsidRDefault="004C10A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3.33</w:t>
            </w:r>
          </w:p>
        </w:tc>
      </w:tr>
      <w:tr w:rsidR="00D51206" w:rsidRPr="004C0F3D" w14:paraId="4AE0691D" w14:textId="77777777" w:rsidTr="00D51206">
        <w:tc>
          <w:tcPr>
            <w:tcW w:w="1476" w:type="dxa"/>
          </w:tcPr>
          <w:p w14:paraId="314EA220"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3</w:t>
            </w:r>
          </w:p>
        </w:tc>
        <w:tc>
          <w:tcPr>
            <w:tcW w:w="1476" w:type="dxa"/>
          </w:tcPr>
          <w:p w14:paraId="30AE744D"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90</w:t>
            </w:r>
          </w:p>
        </w:tc>
        <w:tc>
          <w:tcPr>
            <w:tcW w:w="1476" w:type="dxa"/>
          </w:tcPr>
          <w:p w14:paraId="2FB07D2C"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40</w:t>
            </w:r>
          </w:p>
        </w:tc>
        <w:tc>
          <w:tcPr>
            <w:tcW w:w="1476" w:type="dxa"/>
          </w:tcPr>
          <w:p w14:paraId="20BEDA9A" w14:textId="1674BCF9"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600.00</w:t>
            </w:r>
          </w:p>
        </w:tc>
        <w:tc>
          <w:tcPr>
            <w:tcW w:w="1476" w:type="dxa"/>
          </w:tcPr>
          <w:p w14:paraId="54D502B6" w14:textId="0BA4459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6.67</w:t>
            </w:r>
          </w:p>
        </w:tc>
        <w:tc>
          <w:tcPr>
            <w:tcW w:w="1476" w:type="dxa"/>
          </w:tcPr>
          <w:p w14:paraId="0AD5E5E0" w14:textId="022C0F8C" w:rsidR="00D51206" w:rsidRPr="004C0F3D" w:rsidRDefault="004C10A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2.5</w:t>
            </w:r>
            <w:r w:rsidR="00D51206" w:rsidRPr="004C0F3D">
              <w:rPr>
                <w:rFonts w:ascii="Times New Roman" w:hAnsi="Times New Roman" w:cs="Times New Roman"/>
                <w:color w:val="262626" w:themeColor="text1" w:themeTint="D9"/>
              </w:rPr>
              <w:t>0</w:t>
            </w:r>
          </w:p>
        </w:tc>
      </w:tr>
      <w:tr w:rsidR="00D51206" w:rsidRPr="004C0F3D" w14:paraId="414F495C" w14:textId="77777777" w:rsidTr="00D51206">
        <w:tc>
          <w:tcPr>
            <w:tcW w:w="1476" w:type="dxa"/>
          </w:tcPr>
          <w:p w14:paraId="1E2D53DB"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4</w:t>
            </w:r>
          </w:p>
        </w:tc>
        <w:tc>
          <w:tcPr>
            <w:tcW w:w="1476" w:type="dxa"/>
          </w:tcPr>
          <w:p w14:paraId="4BF6B5A0"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120</w:t>
            </w:r>
          </w:p>
        </w:tc>
        <w:tc>
          <w:tcPr>
            <w:tcW w:w="1476" w:type="dxa"/>
          </w:tcPr>
          <w:p w14:paraId="52A29663"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30</w:t>
            </w:r>
          </w:p>
        </w:tc>
        <w:tc>
          <w:tcPr>
            <w:tcW w:w="1476" w:type="dxa"/>
          </w:tcPr>
          <w:p w14:paraId="427036F2" w14:textId="0F2EFA59"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700.00</w:t>
            </w:r>
          </w:p>
        </w:tc>
        <w:tc>
          <w:tcPr>
            <w:tcW w:w="1476" w:type="dxa"/>
          </w:tcPr>
          <w:p w14:paraId="65F8B9BA" w14:textId="1D4F08AA"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5.83</w:t>
            </w:r>
          </w:p>
        </w:tc>
        <w:tc>
          <w:tcPr>
            <w:tcW w:w="1476" w:type="dxa"/>
          </w:tcPr>
          <w:p w14:paraId="11FA1048" w14:textId="64AEFC93" w:rsidR="00D51206" w:rsidRPr="004C0F3D" w:rsidRDefault="004C10A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3.33</w:t>
            </w:r>
          </w:p>
        </w:tc>
      </w:tr>
      <w:tr w:rsidR="00D51206" w:rsidRPr="004C0F3D" w14:paraId="3AE90914" w14:textId="77777777" w:rsidTr="00D51206">
        <w:tc>
          <w:tcPr>
            <w:tcW w:w="1476" w:type="dxa"/>
          </w:tcPr>
          <w:p w14:paraId="19BE38E6"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w:t>
            </w:r>
          </w:p>
        </w:tc>
        <w:tc>
          <w:tcPr>
            <w:tcW w:w="1476" w:type="dxa"/>
          </w:tcPr>
          <w:p w14:paraId="3199874D"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140</w:t>
            </w:r>
          </w:p>
        </w:tc>
        <w:tc>
          <w:tcPr>
            <w:tcW w:w="1476" w:type="dxa"/>
          </w:tcPr>
          <w:p w14:paraId="69E87434"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20</w:t>
            </w:r>
          </w:p>
        </w:tc>
        <w:tc>
          <w:tcPr>
            <w:tcW w:w="1476" w:type="dxa"/>
          </w:tcPr>
          <w:p w14:paraId="15BEE9ED" w14:textId="208A9150"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800.00</w:t>
            </w:r>
          </w:p>
        </w:tc>
        <w:tc>
          <w:tcPr>
            <w:tcW w:w="1476" w:type="dxa"/>
          </w:tcPr>
          <w:p w14:paraId="5820E650" w14:textId="76721226"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5.71</w:t>
            </w:r>
          </w:p>
        </w:tc>
        <w:tc>
          <w:tcPr>
            <w:tcW w:w="1476" w:type="dxa"/>
          </w:tcPr>
          <w:p w14:paraId="01307444" w14:textId="6A8E3C08" w:rsidR="00D51206" w:rsidRPr="004C0F3D" w:rsidRDefault="004C10A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w:t>
            </w:r>
            <w:r w:rsidR="00D51206" w:rsidRPr="004C0F3D">
              <w:rPr>
                <w:rFonts w:ascii="Times New Roman" w:hAnsi="Times New Roman" w:cs="Times New Roman"/>
                <w:color w:val="262626" w:themeColor="text1" w:themeTint="D9"/>
              </w:rPr>
              <w:t>.00</w:t>
            </w:r>
          </w:p>
        </w:tc>
      </w:tr>
      <w:tr w:rsidR="00D51206" w:rsidRPr="004C0F3D" w14:paraId="576E22F1" w14:textId="77777777" w:rsidTr="00D51206">
        <w:tc>
          <w:tcPr>
            <w:tcW w:w="1476" w:type="dxa"/>
          </w:tcPr>
          <w:p w14:paraId="190E1CD6"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6</w:t>
            </w:r>
          </w:p>
        </w:tc>
        <w:tc>
          <w:tcPr>
            <w:tcW w:w="1476" w:type="dxa"/>
          </w:tcPr>
          <w:p w14:paraId="4D74F124"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150</w:t>
            </w:r>
          </w:p>
        </w:tc>
        <w:tc>
          <w:tcPr>
            <w:tcW w:w="1476" w:type="dxa"/>
          </w:tcPr>
          <w:p w14:paraId="1A53E326"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10</w:t>
            </w:r>
          </w:p>
        </w:tc>
        <w:tc>
          <w:tcPr>
            <w:tcW w:w="1476" w:type="dxa"/>
          </w:tcPr>
          <w:p w14:paraId="1F3DDFF4" w14:textId="31E938C2"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900.00</w:t>
            </w:r>
          </w:p>
        </w:tc>
        <w:tc>
          <w:tcPr>
            <w:tcW w:w="1476" w:type="dxa"/>
          </w:tcPr>
          <w:p w14:paraId="23C5617E" w14:textId="405B22A6"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6.00</w:t>
            </w:r>
          </w:p>
        </w:tc>
        <w:tc>
          <w:tcPr>
            <w:tcW w:w="1476" w:type="dxa"/>
          </w:tcPr>
          <w:p w14:paraId="6639EE0C" w14:textId="77F0476E" w:rsidR="00D51206" w:rsidRPr="004C0F3D" w:rsidRDefault="004C10A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w:t>
            </w:r>
            <w:r w:rsidR="00D51206" w:rsidRPr="004C0F3D">
              <w:rPr>
                <w:rFonts w:ascii="Times New Roman" w:hAnsi="Times New Roman" w:cs="Times New Roman"/>
                <w:color w:val="262626" w:themeColor="text1" w:themeTint="D9"/>
              </w:rPr>
              <w:t>0.00</w:t>
            </w:r>
          </w:p>
        </w:tc>
      </w:tr>
      <w:tr w:rsidR="00D51206" w:rsidRPr="004C0F3D" w14:paraId="28AF05AC" w14:textId="77777777" w:rsidTr="00D51206">
        <w:tc>
          <w:tcPr>
            <w:tcW w:w="1476" w:type="dxa"/>
          </w:tcPr>
          <w:p w14:paraId="373F5690"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7</w:t>
            </w:r>
          </w:p>
        </w:tc>
        <w:tc>
          <w:tcPr>
            <w:tcW w:w="1476" w:type="dxa"/>
          </w:tcPr>
          <w:p w14:paraId="13E89214"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155</w:t>
            </w:r>
          </w:p>
        </w:tc>
        <w:tc>
          <w:tcPr>
            <w:tcW w:w="1476" w:type="dxa"/>
          </w:tcPr>
          <w:p w14:paraId="5C38D2D8" w14:textId="77777777"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5</w:t>
            </w:r>
          </w:p>
        </w:tc>
        <w:tc>
          <w:tcPr>
            <w:tcW w:w="1476" w:type="dxa"/>
          </w:tcPr>
          <w:p w14:paraId="0AFD908C" w14:textId="51E1F9F5"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1000.00</w:t>
            </w:r>
          </w:p>
        </w:tc>
        <w:tc>
          <w:tcPr>
            <w:tcW w:w="1476" w:type="dxa"/>
          </w:tcPr>
          <w:p w14:paraId="3C9F09CD" w14:textId="502E2DDA" w:rsidR="00D51206" w:rsidRPr="004C0F3D" w:rsidRDefault="00D51206"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6.45</w:t>
            </w:r>
          </w:p>
        </w:tc>
        <w:tc>
          <w:tcPr>
            <w:tcW w:w="1476" w:type="dxa"/>
          </w:tcPr>
          <w:p w14:paraId="3C47C721" w14:textId="5E9FE3DD" w:rsidR="00D51206" w:rsidRPr="004C0F3D" w:rsidRDefault="004C10AF" w:rsidP="001232D3">
            <w:pPr>
              <w:pStyle w:val="ListParagraph"/>
              <w:ind w:left="0"/>
              <w:jc w:val="cente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2</w:t>
            </w:r>
            <w:r w:rsidR="00D51206" w:rsidRPr="004C0F3D">
              <w:rPr>
                <w:rFonts w:ascii="Times New Roman" w:hAnsi="Times New Roman" w:cs="Times New Roman"/>
                <w:color w:val="262626" w:themeColor="text1" w:themeTint="D9"/>
              </w:rPr>
              <w:t>0.00</w:t>
            </w:r>
          </w:p>
        </w:tc>
      </w:tr>
    </w:tbl>
    <w:p w14:paraId="2129CF39" w14:textId="77777777" w:rsidR="00D51206" w:rsidRPr="004C0F3D" w:rsidRDefault="00D51206" w:rsidP="001232D3">
      <w:pPr>
        <w:rPr>
          <w:rFonts w:ascii="Times New Roman" w:hAnsi="Times New Roman" w:cs="Times New Roman"/>
          <w:color w:val="262626" w:themeColor="text1" w:themeTint="D9"/>
        </w:rPr>
      </w:pPr>
    </w:p>
    <w:p w14:paraId="4C1A1D12" w14:textId="0FB046CB" w:rsidR="00D51206" w:rsidRPr="004C0F3D" w:rsidRDefault="00D51206" w:rsidP="001232D3">
      <w:pPr>
        <w:pStyle w:val="ListParagraph"/>
        <w:numPr>
          <w:ilvl w:val="0"/>
          <w:numId w:val="22"/>
        </w:numP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All three tables have the same marginal product values, because the amount of output being produced remains constant throughout all three tables</w:t>
      </w:r>
      <w:r w:rsidR="00A07C3B" w:rsidRPr="004C0F3D">
        <w:rPr>
          <w:rFonts w:ascii="Times New Roman" w:hAnsi="Times New Roman" w:cs="Times New Roman"/>
          <w:color w:val="262626" w:themeColor="text1" w:themeTint="D9"/>
        </w:rPr>
        <w:t xml:space="preserve"> and the marginal product begins to diminish once there are four workers and the output reached 120 units</w:t>
      </w:r>
      <w:r w:rsidRPr="004C0F3D">
        <w:rPr>
          <w:rFonts w:ascii="Times New Roman" w:hAnsi="Times New Roman" w:cs="Times New Roman"/>
          <w:color w:val="262626" w:themeColor="text1" w:themeTint="D9"/>
        </w:rPr>
        <w:t xml:space="preserve">. </w:t>
      </w:r>
      <w:r w:rsidR="00E90A72" w:rsidRPr="004C0F3D">
        <w:rPr>
          <w:rFonts w:ascii="Times New Roman" w:hAnsi="Times New Roman" w:cs="Times New Roman"/>
          <w:color w:val="262626" w:themeColor="text1" w:themeTint="D9"/>
        </w:rPr>
        <w:t>The only difference is the fixed and variable costs</w:t>
      </w:r>
      <w:r w:rsidR="00330CEC" w:rsidRPr="004C0F3D">
        <w:rPr>
          <w:rFonts w:ascii="Times New Roman" w:hAnsi="Times New Roman" w:cs="Times New Roman"/>
          <w:color w:val="262626" w:themeColor="text1" w:themeTint="D9"/>
        </w:rPr>
        <w:t>,</w:t>
      </w:r>
      <w:r w:rsidR="00E90A72" w:rsidRPr="004C0F3D">
        <w:rPr>
          <w:rFonts w:ascii="Times New Roman" w:hAnsi="Times New Roman" w:cs="Times New Roman"/>
          <w:color w:val="262626" w:themeColor="text1" w:themeTint="D9"/>
        </w:rPr>
        <w:t xml:space="preserve"> which does not </w:t>
      </w:r>
      <w:r w:rsidR="00A07C3B" w:rsidRPr="004C0F3D">
        <w:rPr>
          <w:rFonts w:ascii="Times New Roman" w:hAnsi="Times New Roman" w:cs="Times New Roman"/>
          <w:color w:val="262626" w:themeColor="text1" w:themeTint="D9"/>
        </w:rPr>
        <w:t>affect</w:t>
      </w:r>
      <w:r w:rsidR="00E90A72" w:rsidRPr="004C0F3D">
        <w:rPr>
          <w:rFonts w:ascii="Times New Roman" w:hAnsi="Times New Roman" w:cs="Times New Roman"/>
          <w:color w:val="262626" w:themeColor="text1" w:themeTint="D9"/>
        </w:rPr>
        <w:t xml:space="preserve"> the marginal product since the marginal product is the extra output produced by an additional unit of input.</w:t>
      </w:r>
    </w:p>
    <w:p w14:paraId="6B4D448E" w14:textId="77777777" w:rsidR="00E90A72" w:rsidRPr="004C0F3D" w:rsidRDefault="00E90A72" w:rsidP="001232D3">
      <w:pPr>
        <w:rPr>
          <w:rFonts w:ascii="Times New Roman" w:hAnsi="Times New Roman" w:cs="Times New Roman"/>
          <w:color w:val="262626" w:themeColor="text1" w:themeTint="D9"/>
        </w:rPr>
      </w:pPr>
    </w:p>
    <w:p w14:paraId="1B5B5017" w14:textId="0947859A" w:rsidR="00E90A72" w:rsidRPr="004C0F3D" w:rsidRDefault="00330CEC" w:rsidP="001232D3">
      <w:pPr>
        <w:pStyle w:val="ListParagraph"/>
        <w:numPr>
          <w:ilvl w:val="0"/>
          <w:numId w:val="22"/>
        </w:numP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As the total cost and amount of output increases the total average cost of all three tables decreases an</w:t>
      </w:r>
      <w:r w:rsidR="005A5B25" w:rsidRPr="004C0F3D">
        <w:rPr>
          <w:rFonts w:ascii="Times New Roman" w:hAnsi="Times New Roman" w:cs="Times New Roman"/>
          <w:color w:val="262626" w:themeColor="text1" w:themeTint="D9"/>
        </w:rPr>
        <w:t>d then begins to increase again creating a saucer shape because when marginal cost is below the average total cost the average total cost decreases and when marginal cost is above the average total cost they both increase creating a saucer shape curve and economies of scale.</w:t>
      </w:r>
    </w:p>
    <w:p w14:paraId="37BD7062" w14:textId="77777777" w:rsidR="00330CEC" w:rsidRPr="004C0F3D" w:rsidRDefault="00330CEC" w:rsidP="001232D3">
      <w:pPr>
        <w:rPr>
          <w:rFonts w:ascii="Times New Roman" w:hAnsi="Times New Roman" w:cs="Times New Roman"/>
          <w:color w:val="262626" w:themeColor="text1" w:themeTint="D9"/>
        </w:rPr>
      </w:pPr>
    </w:p>
    <w:p w14:paraId="69A9F233" w14:textId="7B1A5C4A" w:rsidR="00330CEC" w:rsidRPr="004C0F3D" w:rsidRDefault="004C10AF" w:rsidP="001232D3">
      <w:pPr>
        <w:pStyle w:val="ListParagraph"/>
        <w:numPr>
          <w:ilvl w:val="0"/>
          <w:numId w:val="22"/>
        </w:numP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The marginal cost of all three tables begins to decrease and then starts to increase again when there are four workers and an output of 120. Tables one and three have the same marginal cost because they both have a variable cost of $100 when they employee another worker and both charts have the same marginal product values which is used to calculate the marginal cost.</w:t>
      </w:r>
    </w:p>
    <w:p w14:paraId="6CAB0A33" w14:textId="77777777" w:rsidR="00A07C3B" w:rsidRPr="004C0F3D" w:rsidRDefault="00A07C3B" w:rsidP="001232D3">
      <w:pPr>
        <w:rPr>
          <w:rFonts w:ascii="Times New Roman" w:hAnsi="Times New Roman" w:cs="Times New Roman"/>
          <w:color w:val="262626" w:themeColor="text1" w:themeTint="D9"/>
        </w:rPr>
      </w:pPr>
    </w:p>
    <w:p w14:paraId="7B4936F2" w14:textId="6357541F" w:rsidR="00A07C3B" w:rsidRPr="004C0F3D" w:rsidRDefault="0052465C" w:rsidP="001232D3">
      <w:pPr>
        <w:pStyle w:val="ListParagraph"/>
        <w:numPr>
          <w:ilvl w:val="0"/>
          <w:numId w:val="22"/>
        </w:numP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The saucer shaped marginal cost curve is related to the n-shaped marginal product curve. As one curve starts to increase the other curve will start to decrease and when one of the curves is at its maximum point the othe</w:t>
      </w:r>
      <w:r w:rsidR="0046615C" w:rsidRPr="004C0F3D">
        <w:rPr>
          <w:rFonts w:ascii="Times New Roman" w:hAnsi="Times New Roman" w:cs="Times New Roman"/>
          <w:color w:val="262626" w:themeColor="text1" w:themeTint="D9"/>
        </w:rPr>
        <w:t xml:space="preserve">r curve is at its minimum point. Marginal cost rises with the quantity of output </w:t>
      </w:r>
      <w:r w:rsidR="00B52DBE" w:rsidRPr="004C0F3D">
        <w:rPr>
          <w:rFonts w:ascii="Times New Roman" w:hAnsi="Times New Roman" w:cs="Times New Roman"/>
          <w:color w:val="262626" w:themeColor="text1" w:themeTint="D9"/>
        </w:rPr>
        <w:t>produced, which</w:t>
      </w:r>
      <w:r w:rsidR="0046615C" w:rsidRPr="004C0F3D">
        <w:rPr>
          <w:rFonts w:ascii="Times New Roman" w:hAnsi="Times New Roman" w:cs="Times New Roman"/>
          <w:color w:val="262626" w:themeColor="text1" w:themeTint="D9"/>
        </w:rPr>
        <w:t xml:space="preserve"> reflects the property of diminishing marginal product. </w:t>
      </w:r>
    </w:p>
    <w:p w14:paraId="066D4D7F" w14:textId="77777777" w:rsidR="00C67169" w:rsidRPr="004C0F3D" w:rsidRDefault="00C67169" w:rsidP="001232D3">
      <w:pPr>
        <w:rPr>
          <w:rFonts w:ascii="Times New Roman" w:hAnsi="Times New Roman" w:cs="Times New Roman"/>
          <w:color w:val="262626" w:themeColor="text1" w:themeTint="D9"/>
        </w:rPr>
      </w:pPr>
    </w:p>
    <w:p w14:paraId="5E37315B" w14:textId="04637E1E" w:rsidR="00C67169" w:rsidRPr="004C0F3D" w:rsidRDefault="00691B3C" w:rsidP="001232D3">
      <w:pPr>
        <w:pStyle w:val="ListParagraph"/>
        <w:numPr>
          <w:ilvl w:val="0"/>
          <w:numId w:val="22"/>
        </w:numP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xml:space="preserve"> </w:t>
      </w:r>
      <w:r w:rsidR="005A5B25" w:rsidRPr="004C0F3D">
        <w:rPr>
          <w:rFonts w:ascii="Times New Roman" w:hAnsi="Times New Roman" w:cs="Times New Roman"/>
          <w:color w:val="262626" w:themeColor="text1" w:themeTint="D9"/>
        </w:rPr>
        <w:t>In case a) and b) both the variable cost of the employees getting paid and the fixed cost have an affect on total cost which has an overall effect on average total cost and the marginal cost. This is because the fixed and variable cost set out the total cost and the average total cost is derived from the total cost and the marginal cost is derived from the change in total cost and the change in quantity.</w:t>
      </w:r>
    </w:p>
    <w:p w14:paraId="4B81645E" w14:textId="77777777" w:rsidR="00C67169" w:rsidRPr="004C0F3D" w:rsidRDefault="00C67169" w:rsidP="001232D3">
      <w:pPr>
        <w:rPr>
          <w:rFonts w:ascii="Times New Roman" w:hAnsi="Times New Roman" w:cs="Times New Roman"/>
          <w:color w:val="262626" w:themeColor="text1" w:themeTint="D9"/>
        </w:rPr>
      </w:pPr>
    </w:p>
    <w:p w14:paraId="1D5C76F6" w14:textId="5560D965" w:rsidR="00E965F2" w:rsidRPr="004F4A4A" w:rsidRDefault="00691B3C" w:rsidP="004F4A4A">
      <w:pPr>
        <w:pStyle w:val="ListParagraph"/>
        <w:numPr>
          <w:ilvl w:val="0"/>
          <w:numId w:val="22"/>
        </w:numPr>
        <w:rPr>
          <w:rFonts w:ascii="Times New Roman" w:hAnsi="Times New Roman" w:cs="Times New Roman"/>
          <w:color w:val="262626" w:themeColor="text1" w:themeTint="D9"/>
        </w:rPr>
      </w:pPr>
      <w:r w:rsidRPr="004C0F3D">
        <w:rPr>
          <w:rFonts w:ascii="Times New Roman" w:hAnsi="Times New Roman" w:cs="Times New Roman"/>
          <w:color w:val="262626" w:themeColor="text1" w:themeTint="D9"/>
        </w:rPr>
        <w:t xml:space="preserve"> </w:t>
      </w:r>
      <w:r w:rsidR="00E965F2" w:rsidRPr="004C0F3D">
        <w:rPr>
          <w:rFonts w:ascii="Times New Roman" w:hAnsi="Times New Roman" w:cs="Times New Roman"/>
          <w:color w:val="262626" w:themeColor="text1" w:themeTint="D9"/>
        </w:rPr>
        <w:t>In case a) and c) the fixed cost has an affect on both graphs because both share the same variable cost value but the fixed cost changes the total cost values between the two charts which also affects the average total cost and marginal cost.</w:t>
      </w:r>
    </w:p>
    <w:p w14:paraId="3217A636" w14:textId="77777777" w:rsidR="00C67169" w:rsidRPr="004C0F3D" w:rsidRDefault="00C67169" w:rsidP="001232D3">
      <w:pPr>
        <w:rPr>
          <w:rFonts w:ascii="Times New Roman" w:hAnsi="Times New Roman" w:cs="Times New Roman"/>
          <w:color w:val="262626" w:themeColor="text1" w:themeTint="D9"/>
        </w:rPr>
      </w:pPr>
    </w:p>
    <w:p w14:paraId="3E32780F" w14:textId="403CA28B" w:rsidR="00C67169" w:rsidRPr="004C0F3D" w:rsidRDefault="00C67169" w:rsidP="001232D3">
      <w:pPr>
        <w:pStyle w:val="ListParagraph"/>
        <w:numPr>
          <w:ilvl w:val="0"/>
          <w:numId w:val="22"/>
        </w:numPr>
        <w:rPr>
          <w:rFonts w:ascii="Times New Roman" w:hAnsi="Times New Roman" w:cs="Times New Roman"/>
          <w:color w:val="262626" w:themeColor="text1" w:themeTint="D9"/>
        </w:rPr>
      </w:pPr>
    </w:p>
    <w:p w14:paraId="1E1AA437" w14:textId="0E5832A4" w:rsidR="00C67169" w:rsidRPr="004C0F3D" w:rsidRDefault="00691B3C" w:rsidP="001232D3">
      <w:pPr>
        <w:rPr>
          <w:rFonts w:ascii="Times New Roman" w:hAnsi="Times New Roman" w:cs="Times New Roman"/>
          <w:color w:val="262626" w:themeColor="text1" w:themeTint="D9"/>
        </w:rPr>
      </w:pPr>
      <w:r w:rsidRPr="004C0F3D">
        <w:rPr>
          <w:rFonts w:ascii="Times New Roman" w:hAnsi="Times New Roman" w:cs="Times New Roman"/>
          <w:vanish/>
          <w:color w:val="262626" w:themeColor="text1" w:themeTint="D9"/>
        </w:rPr>
        <w:t xml:space="preserve"> revenue level is $248 billion for the fiscal year 2011-12 and $255 billion for the fiscal year 2012-13.</w:t>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Pr="004C0F3D">
        <w:rPr>
          <w:rFonts w:ascii="Times New Roman" w:hAnsi="Times New Roman" w:cs="Times New Roman"/>
          <w:vanish/>
          <w:color w:val="262626" w:themeColor="text1" w:themeTint="D9"/>
        </w:rPr>
        <w:pgNum/>
      </w:r>
      <w:r w:rsidR="00C67169" w:rsidRPr="004C0F3D">
        <w:rPr>
          <w:noProof/>
          <w:color w:val="262626" w:themeColor="text1" w:themeTint="D9"/>
        </w:rPr>
        <w:drawing>
          <wp:inline distT="0" distB="0" distL="0" distR="0" wp14:anchorId="689B7C4A" wp14:editId="64242177">
            <wp:extent cx="5481536" cy="2796702"/>
            <wp:effectExtent l="0" t="0" r="30480" b="2286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D61782B" w14:textId="77777777" w:rsidR="00B52DBE" w:rsidRPr="004C0F3D" w:rsidRDefault="00B52DBE" w:rsidP="001232D3">
      <w:pPr>
        <w:pStyle w:val="ListParagraph"/>
        <w:ind w:left="1440"/>
        <w:rPr>
          <w:rFonts w:ascii="Times New Roman" w:hAnsi="Times New Roman" w:cs="Times New Roman"/>
          <w:color w:val="262626" w:themeColor="text1" w:themeTint="D9"/>
        </w:rPr>
      </w:pPr>
    </w:p>
    <w:p w14:paraId="0F4BD66D" w14:textId="03B27226" w:rsidR="00B52DBE" w:rsidRPr="00691B3C" w:rsidRDefault="00691B3C" w:rsidP="00691B3C">
      <w:pPr>
        <w:rPr>
          <w:rFonts w:ascii="Times New Roman" w:hAnsi="Times New Roman" w:cs="Times New Roman"/>
        </w:rPr>
      </w:pPr>
      <w:r>
        <w:rPr>
          <w:noProof/>
        </w:rPr>
        <w:drawing>
          <wp:inline distT="0" distB="0" distL="0" distR="0" wp14:anchorId="6FD1D918" wp14:editId="53612DC4">
            <wp:extent cx="5481536" cy="3086100"/>
            <wp:effectExtent l="0" t="0" r="30480" b="127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Pr>
          <w:rFonts w:ascii="Times New Roman" w:hAnsi="Times New Roman" w:cs="Times New Roman"/>
          <w:vanish/>
        </w:rPr>
        <w:t xml:space="preserve"> revenue level is $248 billion for the fiscal year 2011-12 and $255 billion for the fiscal year 2012-13.</w:t>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p>
    <w:sectPr w:rsidR="00B52DBE" w:rsidRPr="00691B3C" w:rsidSect="00CC786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385D36"/>
    <w:multiLevelType w:val="hybridMultilevel"/>
    <w:tmpl w:val="A00C88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A44A47"/>
    <w:multiLevelType w:val="hybridMultilevel"/>
    <w:tmpl w:val="789EB0A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285F23"/>
    <w:multiLevelType w:val="hybridMultilevel"/>
    <w:tmpl w:val="D498789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85711A1"/>
    <w:multiLevelType w:val="hybridMultilevel"/>
    <w:tmpl w:val="695EC5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CE45FE"/>
    <w:multiLevelType w:val="hybridMultilevel"/>
    <w:tmpl w:val="E026C01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5D952A2"/>
    <w:multiLevelType w:val="hybridMultilevel"/>
    <w:tmpl w:val="BF00F8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D87EEE"/>
    <w:multiLevelType w:val="hybridMultilevel"/>
    <w:tmpl w:val="A6F0CAD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1A1D7453"/>
    <w:multiLevelType w:val="hybridMultilevel"/>
    <w:tmpl w:val="C7189CD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21806470"/>
    <w:multiLevelType w:val="hybridMultilevel"/>
    <w:tmpl w:val="54C803E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D1D6549"/>
    <w:multiLevelType w:val="hybridMultilevel"/>
    <w:tmpl w:val="B2141F8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A3334E"/>
    <w:multiLevelType w:val="hybridMultilevel"/>
    <w:tmpl w:val="10166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B2E1A66"/>
    <w:multiLevelType w:val="hybridMultilevel"/>
    <w:tmpl w:val="866677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00F4D0D"/>
    <w:multiLevelType w:val="hybridMultilevel"/>
    <w:tmpl w:val="6268962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4C837BAF"/>
    <w:multiLevelType w:val="hybridMultilevel"/>
    <w:tmpl w:val="63FACCC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53B51784"/>
    <w:multiLevelType w:val="hybridMultilevel"/>
    <w:tmpl w:val="D3B0883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6CF78CD"/>
    <w:multiLevelType w:val="hybridMultilevel"/>
    <w:tmpl w:val="63FACCC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6AC43099"/>
    <w:multiLevelType w:val="hybridMultilevel"/>
    <w:tmpl w:val="8088400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709C6B63"/>
    <w:multiLevelType w:val="hybridMultilevel"/>
    <w:tmpl w:val="3148175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76BA1351"/>
    <w:multiLevelType w:val="hybridMultilevel"/>
    <w:tmpl w:val="D4987892"/>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7A3F1FD1"/>
    <w:multiLevelType w:val="hybridMultilevel"/>
    <w:tmpl w:val="3C62E53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7AAF6F7B"/>
    <w:multiLevelType w:val="hybridMultilevel"/>
    <w:tmpl w:val="859E6D12"/>
    <w:lvl w:ilvl="0" w:tplc="6310D05E">
      <w:start w:val="1"/>
      <w:numFmt w:val="decimal"/>
      <w:lvlText w:val="%1."/>
      <w:lvlJc w:val="left"/>
      <w:pPr>
        <w:ind w:left="360" w:hanging="360"/>
      </w:pPr>
      <w:rPr>
        <w:rFonts w:hint="default"/>
        <w:b/>
      </w:rPr>
    </w:lvl>
    <w:lvl w:ilvl="1" w:tplc="ED9299D6">
      <w:start w:val="1"/>
      <w:numFmt w:val="lowerLetter"/>
      <w:lvlText w:val="%2."/>
      <w:lvlJc w:val="left"/>
      <w:pPr>
        <w:ind w:left="1069" w:hanging="360"/>
      </w:pPr>
      <w:rPr>
        <w:b w:val="0"/>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7C447D4B"/>
    <w:multiLevelType w:val="hybridMultilevel"/>
    <w:tmpl w:val="15A0E3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11"/>
  </w:num>
  <w:num w:numId="5">
    <w:abstractNumId w:val="20"/>
  </w:num>
  <w:num w:numId="6">
    <w:abstractNumId w:val="9"/>
  </w:num>
  <w:num w:numId="7">
    <w:abstractNumId w:val="17"/>
  </w:num>
  <w:num w:numId="8">
    <w:abstractNumId w:val="13"/>
  </w:num>
  <w:num w:numId="9">
    <w:abstractNumId w:val="18"/>
  </w:num>
  <w:num w:numId="10">
    <w:abstractNumId w:val="8"/>
  </w:num>
  <w:num w:numId="11">
    <w:abstractNumId w:val="19"/>
  </w:num>
  <w:num w:numId="12">
    <w:abstractNumId w:val="7"/>
  </w:num>
  <w:num w:numId="13">
    <w:abstractNumId w:val="21"/>
  </w:num>
  <w:num w:numId="14">
    <w:abstractNumId w:val="2"/>
  </w:num>
  <w:num w:numId="15">
    <w:abstractNumId w:val="22"/>
  </w:num>
  <w:num w:numId="16">
    <w:abstractNumId w:val="15"/>
  </w:num>
  <w:num w:numId="17">
    <w:abstractNumId w:val="6"/>
  </w:num>
  <w:num w:numId="18">
    <w:abstractNumId w:val="4"/>
  </w:num>
  <w:num w:numId="19">
    <w:abstractNumId w:val="10"/>
  </w:num>
  <w:num w:numId="20">
    <w:abstractNumId w:val="14"/>
  </w:num>
  <w:num w:numId="21">
    <w:abstractNumId w:val="16"/>
  </w:num>
  <w:num w:numId="22">
    <w:abstractNumId w:val="1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B5C"/>
    <w:rsid w:val="001232D3"/>
    <w:rsid w:val="00124D8F"/>
    <w:rsid w:val="0015608E"/>
    <w:rsid w:val="00330CEC"/>
    <w:rsid w:val="00352534"/>
    <w:rsid w:val="00362B22"/>
    <w:rsid w:val="0045476B"/>
    <w:rsid w:val="0046615C"/>
    <w:rsid w:val="004C0F3D"/>
    <w:rsid w:val="004C10AF"/>
    <w:rsid w:val="004F4A4A"/>
    <w:rsid w:val="0052465C"/>
    <w:rsid w:val="005A5B25"/>
    <w:rsid w:val="005B7539"/>
    <w:rsid w:val="00633875"/>
    <w:rsid w:val="00685C50"/>
    <w:rsid w:val="00685F7E"/>
    <w:rsid w:val="00691B3C"/>
    <w:rsid w:val="00734528"/>
    <w:rsid w:val="00781E0A"/>
    <w:rsid w:val="008320EF"/>
    <w:rsid w:val="00932370"/>
    <w:rsid w:val="009E60B7"/>
    <w:rsid w:val="00A07C3B"/>
    <w:rsid w:val="00A33D89"/>
    <w:rsid w:val="00AA6D23"/>
    <w:rsid w:val="00B52DBE"/>
    <w:rsid w:val="00C67169"/>
    <w:rsid w:val="00CC7865"/>
    <w:rsid w:val="00D51206"/>
    <w:rsid w:val="00DF0623"/>
    <w:rsid w:val="00E44263"/>
    <w:rsid w:val="00E90A72"/>
    <w:rsid w:val="00E93676"/>
    <w:rsid w:val="00E965F2"/>
    <w:rsid w:val="00F370E6"/>
    <w:rsid w:val="00F74B5C"/>
    <w:rsid w:val="00F91DA6"/>
    <w:rsid w:val="00FB11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2E3885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B5C"/>
    <w:pPr>
      <w:ind w:left="720"/>
      <w:contextualSpacing/>
    </w:pPr>
  </w:style>
  <w:style w:type="paragraph" w:styleId="BalloonText">
    <w:name w:val="Balloon Text"/>
    <w:basedOn w:val="Normal"/>
    <w:link w:val="BalloonTextChar"/>
    <w:uiPriority w:val="99"/>
    <w:semiHidden/>
    <w:unhideWhenUsed/>
    <w:rsid w:val="0035253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52534"/>
    <w:rPr>
      <w:rFonts w:ascii="Lucida Grande" w:hAnsi="Lucida Grande" w:cs="Lucida Grande"/>
      <w:sz w:val="18"/>
      <w:szCs w:val="18"/>
    </w:rPr>
  </w:style>
  <w:style w:type="table" w:styleId="TableGrid">
    <w:name w:val="Table Grid"/>
    <w:basedOn w:val="TableNormal"/>
    <w:uiPriority w:val="59"/>
    <w:rsid w:val="00AA6D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B5C"/>
    <w:pPr>
      <w:ind w:left="720"/>
      <w:contextualSpacing/>
    </w:pPr>
  </w:style>
  <w:style w:type="paragraph" w:styleId="BalloonText">
    <w:name w:val="Balloon Text"/>
    <w:basedOn w:val="Normal"/>
    <w:link w:val="BalloonTextChar"/>
    <w:uiPriority w:val="99"/>
    <w:semiHidden/>
    <w:unhideWhenUsed/>
    <w:rsid w:val="0035253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52534"/>
    <w:rPr>
      <w:rFonts w:ascii="Lucida Grande" w:hAnsi="Lucida Grande" w:cs="Lucida Grande"/>
      <w:sz w:val="18"/>
      <w:szCs w:val="18"/>
    </w:rPr>
  </w:style>
  <w:style w:type="table" w:styleId="TableGrid">
    <w:name w:val="Table Grid"/>
    <w:basedOn w:val="TableNormal"/>
    <w:uiPriority w:val="59"/>
    <w:rsid w:val="00AA6D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355186">
      <w:bodyDiv w:val="1"/>
      <w:marLeft w:val="0"/>
      <w:marRight w:val="0"/>
      <w:marTop w:val="0"/>
      <w:marBottom w:val="0"/>
      <w:divBdr>
        <w:top w:val="none" w:sz="0" w:space="0" w:color="auto"/>
        <w:left w:val="none" w:sz="0" w:space="0" w:color="auto"/>
        <w:bottom w:val="none" w:sz="0" w:space="0" w:color="auto"/>
        <w:right w:val="none" w:sz="0" w:space="0" w:color="auto"/>
      </w:divBdr>
    </w:div>
    <w:div w:id="18341076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hart" Target="charts/chart1.xml"/><Relationship Id="rId7" Type="http://schemas.openxmlformats.org/officeDocument/2006/relationships/chart" Target="charts/chart2.xml"/><Relationship Id="rId8" Type="http://schemas.openxmlformats.org/officeDocument/2006/relationships/chart" Target="charts/chart3.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JordannAbrams:Documents:first%20year:ECO%201104:eco%20#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JordannAbrams:Documents:first%20year:ECO%201104:eco%2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scatterChart>
        <c:scatterStyle val="lineMarker"/>
        <c:varyColors val="0"/>
        <c:ser>
          <c:idx val="0"/>
          <c:order val="0"/>
          <c:tx>
            <c:strRef>
              <c:f>Sheet2!$B$1</c:f>
              <c:strCache>
                <c:ptCount val="1"/>
                <c:pt idx="0">
                  <c:v>Demand</c:v>
                </c:pt>
              </c:strCache>
            </c:strRef>
          </c:tx>
          <c:marker>
            <c:symbol val="none"/>
          </c:marker>
          <c:xVal>
            <c:numRef>
              <c:f>Sheet2!$A$2:$A$50</c:f>
              <c:numCache>
                <c:formatCode>General</c:formatCode>
                <c:ptCount val="49"/>
                <c:pt idx="0">
                  <c:v>0.0</c:v>
                </c:pt>
                <c:pt idx="1">
                  <c:v>5.0</c:v>
                </c:pt>
                <c:pt idx="2">
                  <c:v>10.0</c:v>
                </c:pt>
                <c:pt idx="3">
                  <c:v>15.0</c:v>
                </c:pt>
                <c:pt idx="4">
                  <c:v>20.0</c:v>
                </c:pt>
                <c:pt idx="5">
                  <c:v>25.0</c:v>
                </c:pt>
                <c:pt idx="6">
                  <c:v>30.0</c:v>
                </c:pt>
                <c:pt idx="7">
                  <c:v>35.0</c:v>
                </c:pt>
                <c:pt idx="8">
                  <c:v>40.0</c:v>
                </c:pt>
                <c:pt idx="9">
                  <c:v>45.0</c:v>
                </c:pt>
                <c:pt idx="10">
                  <c:v>50.0</c:v>
                </c:pt>
                <c:pt idx="11">
                  <c:v>55.0</c:v>
                </c:pt>
                <c:pt idx="12">
                  <c:v>60.0</c:v>
                </c:pt>
                <c:pt idx="13">
                  <c:v>65.0</c:v>
                </c:pt>
                <c:pt idx="14">
                  <c:v>70.0</c:v>
                </c:pt>
                <c:pt idx="15">
                  <c:v>75.0</c:v>
                </c:pt>
                <c:pt idx="16">
                  <c:v>80.0</c:v>
                </c:pt>
                <c:pt idx="17">
                  <c:v>85.0</c:v>
                </c:pt>
                <c:pt idx="18">
                  <c:v>90.0</c:v>
                </c:pt>
                <c:pt idx="19">
                  <c:v>95.0</c:v>
                </c:pt>
                <c:pt idx="20">
                  <c:v>100.0</c:v>
                </c:pt>
                <c:pt idx="21">
                  <c:v>105.0</c:v>
                </c:pt>
                <c:pt idx="22">
                  <c:v>110.0</c:v>
                </c:pt>
                <c:pt idx="23">
                  <c:v>115.0</c:v>
                </c:pt>
                <c:pt idx="24">
                  <c:v>120.0</c:v>
                </c:pt>
                <c:pt idx="25">
                  <c:v>125.0</c:v>
                </c:pt>
                <c:pt idx="26">
                  <c:v>130.0</c:v>
                </c:pt>
                <c:pt idx="27">
                  <c:v>135.0</c:v>
                </c:pt>
                <c:pt idx="28">
                  <c:v>140.0</c:v>
                </c:pt>
                <c:pt idx="29">
                  <c:v>145.0</c:v>
                </c:pt>
                <c:pt idx="30">
                  <c:v>150.0</c:v>
                </c:pt>
                <c:pt idx="31">
                  <c:v>155.0</c:v>
                </c:pt>
                <c:pt idx="32">
                  <c:v>160.0</c:v>
                </c:pt>
                <c:pt idx="33">
                  <c:v>165.0</c:v>
                </c:pt>
                <c:pt idx="34">
                  <c:v>170.0</c:v>
                </c:pt>
                <c:pt idx="35">
                  <c:v>175.0</c:v>
                </c:pt>
                <c:pt idx="36">
                  <c:v>180.0</c:v>
                </c:pt>
                <c:pt idx="37">
                  <c:v>185.0</c:v>
                </c:pt>
                <c:pt idx="38">
                  <c:v>190.0</c:v>
                </c:pt>
                <c:pt idx="39">
                  <c:v>195.0</c:v>
                </c:pt>
                <c:pt idx="40">
                  <c:v>200.0</c:v>
                </c:pt>
                <c:pt idx="41">
                  <c:v>205.0</c:v>
                </c:pt>
                <c:pt idx="42">
                  <c:v>210.0</c:v>
                </c:pt>
                <c:pt idx="43">
                  <c:v>215.0</c:v>
                </c:pt>
                <c:pt idx="44">
                  <c:v>220.0</c:v>
                </c:pt>
                <c:pt idx="45">
                  <c:v>225.0</c:v>
                </c:pt>
                <c:pt idx="46">
                  <c:v>230.0</c:v>
                </c:pt>
                <c:pt idx="47">
                  <c:v>235.0</c:v>
                </c:pt>
                <c:pt idx="48">
                  <c:v>240.0</c:v>
                </c:pt>
              </c:numCache>
            </c:numRef>
          </c:xVal>
          <c:yVal>
            <c:numRef>
              <c:f>Sheet2!$B$2:$B$50</c:f>
              <c:numCache>
                <c:formatCode>General</c:formatCode>
                <c:ptCount val="49"/>
                <c:pt idx="0">
                  <c:v>1200.0</c:v>
                </c:pt>
                <c:pt idx="1">
                  <c:v>1175.0</c:v>
                </c:pt>
                <c:pt idx="2">
                  <c:v>1150.0</c:v>
                </c:pt>
                <c:pt idx="3">
                  <c:v>1125.0</c:v>
                </c:pt>
                <c:pt idx="4">
                  <c:v>1100.0</c:v>
                </c:pt>
                <c:pt idx="5">
                  <c:v>1075.0</c:v>
                </c:pt>
                <c:pt idx="6">
                  <c:v>1050.0</c:v>
                </c:pt>
                <c:pt idx="7">
                  <c:v>1025.0</c:v>
                </c:pt>
                <c:pt idx="8">
                  <c:v>1000.0</c:v>
                </c:pt>
                <c:pt idx="9">
                  <c:v>975.0</c:v>
                </c:pt>
                <c:pt idx="10">
                  <c:v>950.0</c:v>
                </c:pt>
                <c:pt idx="11">
                  <c:v>925.0</c:v>
                </c:pt>
                <c:pt idx="12">
                  <c:v>900.0</c:v>
                </c:pt>
                <c:pt idx="13">
                  <c:v>875.0</c:v>
                </c:pt>
                <c:pt idx="14">
                  <c:v>850.0</c:v>
                </c:pt>
                <c:pt idx="15">
                  <c:v>825.0</c:v>
                </c:pt>
                <c:pt idx="16">
                  <c:v>800.0</c:v>
                </c:pt>
                <c:pt idx="17">
                  <c:v>775.0</c:v>
                </c:pt>
                <c:pt idx="18">
                  <c:v>750.0</c:v>
                </c:pt>
                <c:pt idx="19">
                  <c:v>725.0</c:v>
                </c:pt>
                <c:pt idx="20">
                  <c:v>700.0</c:v>
                </c:pt>
                <c:pt idx="21">
                  <c:v>675.0</c:v>
                </c:pt>
                <c:pt idx="22">
                  <c:v>650.0</c:v>
                </c:pt>
                <c:pt idx="23">
                  <c:v>625.0</c:v>
                </c:pt>
                <c:pt idx="24">
                  <c:v>600.0</c:v>
                </c:pt>
                <c:pt idx="25">
                  <c:v>575.0</c:v>
                </c:pt>
                <c:pt idx="26">
                  <c:v>550.0</c:v>
                </c:pt>
                <c:pt idx="27">
                  <c:v>525.0</c:v>
                </c:pt>
                <c:pt idx="28">
                  <c:v>500.0</c:v>
                </c:pt>
                <c:pt idx="29">
                  <c:v>475.0</c:v>
                </c:pt>
                <c:pt idx="30">
                  <c:v>450.0</c:v>
                </c:pt>
                <c:pt idx="31">
                  <c:v>425.0</c:v>
                </c:pt>
                <c:pt idx="32">
                  <c:v>400.0</c:v>
                </c:pt>
                <c:pt idx="33">
                  <c:v>375.0</c:v>
                </c:pt>
                <c:pt idx="34">
                  <c:v>350.0</c:v>
                </c:pt>
                <c:pt idx="35">
                  <c:v>325.0</c:v>
                </c:pt>
                <c:pt idx="36">
                  <c:v>300.0</c:v>
                </c:pt>
                <c:pt idx="37">
                  <c:v>275.0</c:v>
                </c:pt>
                <c:pt idx="38">
                  <c:v>250.0</c:v>
                </c:pt>
                <c:pt idx="39">
                  <c:v>225.0</c:v>
                </c:pt>
                <c:pt idx="40">
                  <c:v>200.0</c:v>
                </c:pt>
                <c:pt idx="41">
                  <c:v>175.0</c:v>
                </c:pt>
                <c:pt idx="42">
                  <c:v>150.0</c:v>
                </c:pt>
                <c:pt idx="43">
                  <c:v>125.0</c:v>
                </c:pt>
                <c:pt idx="44">
                  <c:v>100.0</c:v>
                </c:pt>
                <c:pt idx="45">
                  <c:v>75.0</c:v>
                </c:pt>
                <c:pt idx="46">
                  <c:v>50.0</c:v>
                </c:pt>
                <c:pt idx="47">
                  <c:v>25.0</c:v>
                </c:pt>
                <c:pt idx="48">
                  <c:v>0.0</c:v>
                </c:pt>
              </c:numCache>
            </c:numRef>
          </c:yVal>
          <c:smooth val="0"/>
        </c:ser>
        <c:ser>
          <c:idx val="1"/>
          <c:order val="1"/>
          <c:tx>
            <c:strRef>
              <c:f>Sheet2!$C$1</c:f>
              <c:strCache>
                <c:ptCount val="1"/>
                <c:pt idx="0">
                  <c:v>Supply</c:v>
                </c:pt>
              </c:strCache>
            </c:strRef>
          </c:tx>
          <c:marker>
            <c:symbol val="none"/>
          </c:marker>
          <c:xVal>
            <c:numRef>
              <c:f>Sheet2!$A$2:$A$50</c:f>
              <c:numCache>
                <c:formatCode>General</c:formatCode>
                <c:ptCount val="49"/>
                <c:pt idx="0">
                  <c:v>0.0</c:v>
                </c:pt>
                <c:pt idx="1">
                  <c:v>5.0</c:v>
                </c:pt>
                <c:pt idx="2">
                  <c:v>10.0</c:v>
                </c:pt>
                <c:pt idx="3">
                  <c:v>15.0</c:v>
                </c:pt>
                <c:pt idx="4">
                  <c:v>20.0</c:v>
                </c:pt>
                <c:pt idx="5">
                  <c:v>25.0</c:v>
                </c:pt>
                <c:pt idx="6">
                  <c:v>30.0</c:v>
                </c:pt>
                <c:pt idx="7">
                  <c:v>35.0</c:v>
                </c:pt>
                <c:pt idx="8">
                  <c:v>40.0</c:v>
                </c:pt>
                <c:pt idx="9">
                  <c:v>45.0</c:v>
                </c:pt>
                <c:pt idx="10">
                  <c:v>50.0</c:v>
                </c:pt>
                <c:pt idx="11">
                  <c:v>55.0</c:v>
                </c:pt>
                <c:pt idx="12">
                  <c:v>60.0</c:v>
                </c:pt>
                <c:pt idx="13">
                  <c:v>65.0</c:v>
                </c:pt>
                <c:pt idx="14">
                  <c:v>70.0</c:v>
                </c:pt>
                <c:pt idx="15">
                  <c:v>75.0</c:v>
                </c:pt>
                <c:pt idx="16">
                  <c:v>80.0</c:v>
                </c:pt>
                <c:pt idx="17">
                  <c:v>85.0</c:v>
                </c:pt>
                <c:pt idx="18">
                  <c:v>90.0</c:v>
                </c:pt>
                <c:pt idx="19">
                  <c:v>95.0</c:v>
                </c:pt>
                <c:pt idx="20">
                  <c:v>100.0</c:v>
                </c:pt>
                <c:pt idx="21">
                  <c:v>105.0</c:v>
                </c:pt>
                <c:pt idx="22">
                  <c:v>110.0</c:v>
                </c:pt>
                <c:pt idx="23">
                  <c:v>115.0</c:v>
                </c:pt>
                <c:pt idx="24">
                  <c:v>120.0</c:v>
                </c:pt>
                <c:pt idx="25">
                  <c:v>125.0</c:v>
                </c:pt>
                <c:pt idx="26">
                  <c:v>130.0</c:v>
                </c:pt>
                <c:pt idx="27">
                  <c:v>135.0</c:v>
                </c:pt>
                <c:pt idx="28">
                  <c:v>140.0</c:v>
                </c:pt>
                <c:pt idx="29">
                  <c:v>145.0</c:v>
                </c:pt>
                <c:pt idx="30">
                  <c:v>150.0</c:v>
                </c:pt>
                <c:pt idx="31">
                  <c:v>155.0</c:v>
                </c:pt>
                <c:pt idx="32">
                  <c:v>160.0</c:v>
                </c:pt>
                <c:pt idx="33">
                  <c:v>165.0</c:v>
                </c:pt>
                <c:pt idx="34">
                  <c:v>170.0</c:v>
                </c:pt>
                <c:pt idx="35">
                  <c:v>175.0</c:v>
                </c:pt>
                <c:pt idx="36">
                  <c:v>180.0</c:v>
                </c:pt>
                <c:pt idx="37">
                  <c:v>185.0</c:v>
                </c:pt>
                <c:pt idx="38">
                  <c:v>190.0</c:v>
                </c:pt>
                <c:pt idx="39">
                  <c:v>195.0</c:v>
                </c:pt>
                <c:pt idx="40">
                  <c:v>200.0</c:v>
                </c:pt>
                <c:pt idx="41">
                  <c:v>205.0</c:v>
                </c:pt>
                <c:pt idx="42">
                  <c:v>210.0</c:v>
                </c:pt>
                <c:pt idx="43">
                  <c:v>215.0</c:v>
                </c:pt>
                <c:pt idx="44">
                  <c:v>220.0</c:v>
                </c:pt>
                <c:pt idx="45">
                  <c:v>225.0</c:v>
                </c:pt>
                <c:pt idx="46">
                  <c:v>230.0</c:v>
                </c:pt>
                <c:pt idx="47">
                  <c:v>235.0</c:v>
                </c:pt>
                <c:pt idx="48">
                  <c:v>240.0</c:v>
                </c:pt>
              </c:numCache>
            </c:numRef>
          </c:xVal>
          <c:yVal>
            <c:numRef>
              <c:f>Sheet2!$C$2:$C$50</c:f>
              <c:numCache>
                <c:formatCode>General</c:formatCode>
                <c:ptCount val="49"/>
                <c:pt idx="0">
                  <c:v>300.0</c:v>
                </c:pt>
                <c:pt idx="1">
                  <c:v>325.0</c:v>
                </c:pt>
                <c:pt idx="2">
                  <c:v>350.0</c:v>
                </c:pt>
                <c:pt idx="3">
                  <c:v>375.0</c:v>
                </c:pt>
                <c:pt idx="4">
                  <c:v>400.0</c:v>
                </c:pt>
                <c:pt idx="5">
                  <c:v>425.0</c:v>
                </c:pt>
                <c:pt idx="6">
                  <c:v>450.0</c:v>
                </c:pt>
                <c:pt idx="7">
                  <c:v>475.0</c:v>
                </c:pt>
                <c:pt idx="8">
                  <c:v>500.0</c:v>
                </c:pt>
                <c:pt idx="9">
                  <c:v>525.0</c:v>
                </c:pt>
                <c:pt idx="10">
                  <c:v>550.0</c:v>
                </c:pt>
                <c:pt idx="11">
                  <c:v>575.0</c:v>
                </c:pt>
                <c:pt idx="12">
                  <c:v>600.0</c:v>
                </c:pt>
                <c:pt idx="13">
                  <c:v>625.0</c:v>
                </c:pt>
                <c:pt idx="14">
                  <c:v>650.0</c:v>
                </c:pt>
                <c:pt idx="15">
                  <c:v>675.0</c:v>
                </c:pt>
                <c:pt idx="16">
                  <c:v>700.0</c:v>
                </c:pt>
                <c:pt idx="17">
                  <c:v>725.0</c:v>
                </c:pt>
                <c:pt idx="18">
                  <c:v>750.0</c:v>
                </c:pt>
                <c:pt idx="19">
                  <c:v>775.0</c:v>
                </c:pt>
                <c:pt idx="20">
                  <c:v>800.0</c:v>
                </c:pt>
                <c:pt idx="21">
                  <c:v>825.0</c:v>
                </c:pt>
                <c:pt idx="22">
                  <c:v>850.0</c:v>
                </c:pt>
                <c:pt idx="23">
                  <c:v>875.0</c:v>
                </c:pt>
                <c:pt idx="24">
                  <c:v>900.0</c:v>
                </c:pt>
                <c:pt idx="25">
                  <c:v>925.0</c:v>
                </c:pt>
                <c:pt idx="26">
                  <c:v>950.0</c:v>
                </c:pt>
                <c:pt idx="27">
                  <c:v>975.0</c:v>
                </c:pt>
                <c:pt idx="28">
                  <c:v>1000.0</c:v>
                </c:pt>
                <c:pt idx="29">
                  <c:v>1025.0</c:v>
                </c:pt>
                <c:pt idx="30">
                  <c:v>1050.0</c:v>
                </c:pt>
                <c:pt idx="31">
                  <c:v>1075.0</c:v>
                </c:pt>
                <c:pt idx="32">
                  <c:v>1100.0</c:v>
                </c:pt>
                <c:pt idx="33">
                  <c:v>1125.0</c:v>
                </c:pt>
                <c:pt idx="34">
                  <c:v>1150.0</c:v>
                </c:pt>
                <c:pt idx="35">
                  <c:v>1175.0</c:v>
                </c:pt>
                <c:pt idx="36">
                  <c:v>1200.0</c:v>
                </c:pt>
                <c:pt idx="37">
                  <c:v>1225.0</c:v>
                </c:pt>
                <c:pt idx="38">
                  <c:v>1250.0</c:v>
                </c:pt>
                <c:pt idx="39">
                  <c:v>1275.0</c:v>
                </c:pt>
                <c:pt idx="40">
                  <c:v>1300.0</c:v>
                </c:pt>
                <c:pt idx="41">
                  <c:v>1325.0</c:v>
                </c:pt>
                <c:pt idx="42">
                  <c:v>1350.0</c:v>
                </c:pt>
                <c:pt idx="43">
                  <c:v>1375.0</c:v>
                </c:pt>
                <c:pt idx="44">
                  <c:v>1400.0</c:v>
                </c:pt>
                <c:pt idx="45">
                  <c:v>1425.0</c:v>
                </c:pt>
                <c:pt idx="46">
                  <c:v>1450.0</c:v>
                </c:pt>
                <c:pt idx="47">
                  <c:v>1475.0</c:v>
                </c:pt>
                <c:pt idx="48">
                  <c:v>1500.0</c:v>
                </c:pt>
              </c:numCache>
            </c:numRef>
          </c:yVal>
          <c:smooth val="0"/>
        </c:ser>
        <c:ser>
          <c:idx val="2"/>
          <c:order val="2"/>
          <c:tx>
            <c:strRef>
              <c:f>Sheet2!$D$1</c:f>
              <c:strCache>
                <c:ptCount val="1"/>
                <c:pt idx="0">
                  <c:v>Price Ceiling</c:v>
                </c:pt>
              </c:strCache>
            </c:strRef>
          </c:tx>
          <c:marker>
            <c:symbol val="none"/>
          </c:marker>
          <c:xVal>
            <c:numRef>
              <c:f>Sheet2!$A$2:$A$50</c:f>
              <c:numCache>
                <c:formatCode>General</c:formatCode>
                <c:ptCount val="49"/>
                <c:pt idx="0">
                  <c:v>0.0</c:v>
                </c:pt>
                <c:pt idx="1">
                  <c:v>5.0</c:v>
                </c:pt>
                <c:pt idx="2">
                  <c:v>10.0</c:v>
                </c:pt>
                <c:pt idx="3">
                  <c:v>15.0</c:v>
                </c:pt>
                <c:pt idx="4">
                  <c:v>20.0</c:v>
                </c:pt>
                <c:pt idx="5">
                  <c:v>25.0</c:v>
                </c:pt>
                <c:pt idx="6">
                  <c:v>30.0</c:v>
                </c:pt>
                <c:pt idx="7">
                  <c:v>35.0</c:v>
                </c:pt>
                <c:pt idx="8">
                  <c:v>40.0</c:v>
                </c:pt>
                <c:pt idx="9">
                  <c:v>45.0</c:v>
                </c:pt>
                <c:pt idx="10">
                  <c:v>50.0</c:v>
                </c:pt>
                <c:pt idx="11">
                  <c:v>55.0</c:v>
                </c:pt>
                <c:pt idx="12">
                  <c:v>60.0</c:v>
                </c:pt>
                <c:pt idx="13">
                  <c:v>65.0</c:v>
                </c:pt>
                <c:pt idx="14">
                  <c:v>70.0</c:v>
                </c:pt>
                <c:pt idx="15">
                  <c:v>75.0</c:v>
                </c:pt>
                <c:pt idx="16">
                  <c:v>80.0</c:v>
                </c:pt>
                <c:pt idx="17">
                  <c:v>85.0</c:v>
                </c:pt>
                <c:pt idx="18">
                  <c:v>90.0</c:v>
                </c:pt>
                <c:pt idx="19">
                  <c:v>95.0</c:v>
                </c:pt>
                <c:pt idx="20">
                  <c:v>100.0</c:v>
                </c:pt>
                <c:pt idx="21">
                  <c:v>105.0</c:v>
                </c:pt>
                <c:pt idx="22">
                  <c:v>110.0</c:v>
                </c:pt>
                <c:pt idx="23">
                  <c:v>115.0</c:v>
                </c:pt>
                <c:pt idx="24">
                  <c:v>120.0</c:v>
                </c:pt>
                <c:pt idx="25">
                  <c:v>125.0</c:v>
                </c:pt>
                <c:pt idx="26">
                  <c:v>130.0</c:v>
                </c:pt>
                <c:pt idx="27">
                  <c:v>135.0</c:v>
                </c:pt>
                <c:pt idx="28">
                  <c:v>140.0</c:v>
                </c:pt>
                <c:pt idx="29">
                  <c:v>145.0</c:v>
                </c:pt>
                <c:pt idx="30">
                  <c:v>150.0</c:v>
                </c:pt>
                <c:pt idx="31">
                  <c:v>155.0</c:v>
                </c:pt>
                <c:pt idx="32">
                  <c:v>160.0</c:v>
                </c:pt>
                <c:pt idx="33">
                  <c:v>165.0</c:v>
                </c:pt>
                <c:pt idx="34">
                  <c:v>170.0</c:v>
                </c:pt>
                <c:pt idx="35">
                  <c:v>175.0</c:v>
                </c:pt>
                <c:pt idx="36">
                  <c:v>180.0</c:v>
                </c:pt>
                <c:pt idx="37">
                  <c:v>185.0</c:v>
                </c:pt>
                <c:pt idx="38">
                  <c:v>190.0</c:v>
                </c:pt>
                <c:pt idx="39">
                  <c:v>195.0</c:v>
                </c:pt>
                <c:pt idx="40">
                  <c:v>200.0</c:v>
                </c:pt>
                <c:pt idx="41">
                  <c:v>205.0</c:v>
                </c:pt>
                <c:pt idx="42">
                  <c:v>210.0</c:v>
                </c:pt>
                <c:pt idx="43">
                  <c:v>215.0</c:v>
                </c:pt>
                <c:pt idx="44">
                  <c:v>220.0</c:v>
                </c:pt>
                <c:pt idx="45">
                  <c:v>225.0</c:v>
                </c:pt>
                <c:pt idx="46">
                  <c:v>230.0</c:v>
                </c:pt>
                <c:pt idx="47">
                  <c:v>235.0</c:v>
                </c:pt>
                <c:pt idx="48">
                  <c:v>240.0</c:v>
                </c:pt>
              </c:numCache>
            </c:numRef>
          </c:xVal>
          <c:yVal>
            <c:numRef>
              <c:f>Sheet2!$D$2:$D$50</c:f>
              <c:numCache>
                <c:formatCode>General</c:formatCode>
                <c:ptCount val="49"/>
                <c:pt idx="0">
                  <c:v>400.0</c:v>
                </c:pt>
                <c:pt idx="1">
                  <c:v>400.0</c:v>
                </c:pt>
                <c:pt idx="2">
                  <c:v>400.0</c:v>
                </c:pt>
                <c:pt idx="3">
                  <c:v>400.0</c:v>
                </c:pt>
                <c:pt idx="4">
                  <c:v>400.0</c:v>
                </c:pt>
                <c:pt idx="5">
                  <c:v>400.0</c:v>
                </c:pt>
                <c:pt idx="6">
                  <c:v>400.0</c:v>
                </c:pt>
                <c:pt idx="7">
                  <c:v>400.0</c:v>
                </c:pt>
                <c:pt idx="8">
                  <c:v>400.0</c:v>
                </c:pt>
                <c:pt idx="9">
                  <c:v>400.0</c:v>
                </c:pt>
                <c:pt idx="10">
                  <c:v>400.0</c:v>
                </c:pt>
                <c:pt idx="11">
                  <c:v>400.0</c:v>
                </c:pt>
                <c:pt idx="12">
                  <c:v>400.0</c:v>
                </c:pt>
                <c:pt idx="13">
                  <c:v>400.0</c:v>
                </c:pt>
                <c:pt idx="14">
                  <c:v>400.0</c:v>
                </c:pt>
                <c:pt idx="15">
                  <c:v>400.0</c:v>
                </c:pt>
                <c:pt idx="16">
                  <c:v>400.0</c:v>
                </c:pt>
                <c:pt idx="17">
                  <c:v>400.0</c:v>
                </c:pt>
                <c:pt idx="18">
                  <c:v>400.0</c:v>
                </c:pt>
                <c:pt idx="19">
                  <c:v>400.0</c:v>
                </c:pt>
                <c:pt idx="20">
                  <c:v>400.0</c:v>
                </c:pt>
                <c:pt idx="21">
                  <c:v>400.0</c:v>
                </c:pt>
                <c:pt idx="22">
                  <c:v>400.0</c:v>
                </c:pt>
                <c:pt idx="23">
                  <c:v>400.0</c:v>
                </c:pt>
                <c:pt idx="24">
                  <c:v>400.0</c:v>
                </c:pt>
                <c:pt idx="25">
                  <c:v>400.0</c:v>
                </c:pt>
                <c:pt idx="26">
                  <c:v>400.0</c:v>
                </c:pt>
                <c:pt idx="27">
                  <c:v>400.0</c:v>
                </c:pt>
                <c:pt idx="28">
                  <c:v>400.0</c:v>
                </c:pt>
                <c:pt idx="29">
                  <c:v>400.0</c:v>
                </c:pt>
                <c:pt idx="30">
                  <c:v>400.0</c:v>
                </c:pt>
                <c:pt idx="31">
                  <c:v>400.0</c:v>
                </c:pt>
                <c:pt idx="32">
                  <c:v>400.0</c:v>
                </c:pt>
                <c:pt idx="33">
                  <c:v>400.0</c:v>
                </c:pt>
                <c:pt idx="34">
                  <c:v>400.0</c:v>
                </c:pt>
                <c:pt idx="35">
                  <c:v>400.0</c:v>
                </c:pt>
                <c:pt idx="36">
                  <c:v>400.0</c:v>
                </c:pt>
                <c:pt idx="37">
                  <c:v>400.0</c:v>
                </c:pt>
                <c:pt idx="38">
                  <c:v>400.0</c:v>
                </c:pt>
                <c:pt idx="39">
                  <c:v>400.0</c:v>
                </c:pt>
                <c:pt idx="40">
                  <c:v>400.0</c:v>
                </c:pt>
                <c:pt idx="41">
                  <c:v>400.0</c:v>
                </c:pt>
                <c:pt idx="42">
                  <c:v>400.0</c:v>
                </c:pt>
                <c:pt idx="43">
                  <c:v>400.0</c:v>
                </c:pt>
                <c:pt idx="44">
                  <c:v>400.0</c:v>
                </c:pt>
                <c:pt idx="45">
                  <c:v>400.0</c:v>
                </c:pt>
                <c:pt idx="46">
                  <c:v>400.0</c:v>
                </c:pt>
                <c:pt idx="47">
                  <c:v>400.0</c:v>
                </c:pt>
                <c:pt idx="48">
                  <c:v>400.0</c:v>
                </c:pt>
              </c:numCache>
            </c:numRef>
          </c:yVal>
          <c:smooth val="0"/>
        </c:ser>
        <c:dLbls>
          <c:showLegendKey val="0"/>
          <c:showVal val="0"/>
          <c:showCatName val="0"/>
          <c:showSerName val="0"/>
          <c:showPercent val="0"/>
          <c:showBubbleSize val="0"/>
        </c:dLbls>
        <c:axId val="2091348824"/>
        <c:axId val="2091354312"/>
      </c:scatterChart>
      <c:valAx>
        <c:axId val="2091348824"/>
        <c:scaling>
          <c:orientation val="minMax"/>
          <c:max val="240.0"/>
        </c:scaling>
        <c:delete val="0"/>
        <c:axPos val="b"/>
        <c:title>
          <c:tx>
            <c:rich>
              <a:bodyPr/>
              <a:lstStyle/>
              <a:p>
                <a:pPr>
                  <a:defRPr/>
                </a:pPr>
                <a:r>
                  <a:rPr lang="en-US"/>
                  <a:t>Quantity</a:t>
                </a:r>
              </a:p>
            </c:rich>
          </c:tx>
          <c:layout/>
          <c:overlay val="0"/>
        </c:title>
        <c:numFmt formatCode="General" sourceLinked="1"/>
        <c:majorTickMark val="out"/>
        <c:minorTickMark val="none"/>
        <c:tickLblPos val="nextTo"/>
        <c:crossAx val="2091354312"/>
        <c:crosses val="autoZero"/>
        <c:crossBetween val="midCat"/>
        <c:majorUnit val="20.0"/>
      </c:valAx>
      <c:valAx>
        <c:axId val="2091354312"/>
        <c:scaling>
          <c:orientation val="minMax"/>
          <c:max val="1550.0"/>
          <c:min val="0.0"/>
        </c:scaling>
        <c:delete val="0"/>
        <c:axPos val="l"/>
        <c:majorGridlines/>
        <c:title>
          <c:tx>
            <c:rich>
              <a:bodyPr rot="0" vert="horz"/>
              <a:lstStyle/>
              <a:p>
                <a:pPr>
                  <a:defRPr/>
                </a:pPr>
                <a:r>
                  <a:rPr lang="en-US">
                    <a:solidFill>
                      <a:schemeClr val="tx1">
                        <a:lumMod val="85000"/>
                        <a:lumOff val="15000"/>
                      </a:schemeClr>
                    </a:solidFill>
                  </a:rPr>
                  <a:t>Price</a:t>
                </a:r>
              </a:p>
            </c:rich>
          </c:tx>
          <c:layout/>
          <c:overlay val="0"/>
        </c:title>
        <c:numFmt formatCode="General" sourceLinked="1"/>
        <c:majorTickMark val="out"/>
        <c:minorTickMark val="none"/>
        <c:tickLblPos val="nextTo"/>
        <c:crossAx val="2091348824"/>
        <c:crosses val="autoZero"/>
        <c:crossBetween val="midCat"/>
        <c:majorUnit val="100.0"/>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scatterChart>
        <c:scatterStyle val="lineMarker"/>
        <c:varyColors val="0"/>
        <c:ser>
          <c:idx val="0"/>
          <c:order val="0"/>
          <c:tx>
            <c:strRef>
              <c:f>Sheet3!$B$1</c:f>
              <c:strCache>
                <c:ptCount val="1"/>
                <c:pt idx="0">
                  <c:v>Total Product</c:v>
                </c:pt>
              </c:strCache>
            </c:strRef>
          </c:tx>
          <c:xVal>
            <c:numRef>
              <c:f>Sheet3!$A$2:$A$9</c:f>
              <c:numCache>
                <c:formatCode>General</c:formatCode>
                <c:ptCount val="8"/>
                <c:pt idx="0">
                  <c:v>0.0</c:v>
                </c:pt>
                <c:pt idx="1">
                  <c:v>1.0</c:v>
                </c:pt>
                <c:pt idx="2">
                  <c:v>2.0</c:v>
                </c:pt>
                <c:pt idx="3">
                  <c:v>3.0</c:v>
                </c:pt>
                <c:pt idx="4">
                  <c:v>4.0</c:v>
                </c:pt>
                <c:pt idx="5">
                  <c:v>5.0</c:v>
                </c:pt>
                <c:pt idx="6">
                  <c:v>6.0</c:v>
                </c:pt>
                <c:pt idx="7">
                  <c:v>7.0</c:v>
                </c:pt>
              </c:numCache>
            </c:numRef>
          </c:xVal>
          <c:yVal>
            <c:numRef>
              <c:f>Sheet3!$B$2:$B$9</c:f>
              <c:numCache>
                <c:formatCode>General</c:formatCode>
                <c:ptCount val="8"/>
                <c:pt idx="0">
                  <c:v>0.0</c:v>
                </c:pt>
                <c:pt idx="1">
                  <c:v>20.0</c:v>
                </c:pt>
                <c:pt idx="2">
                  <c:v>50.0</c:v>
                </c:pt>
                <c:pt idx="3">
                  <c:v>90.0</c:v>
                </c:pt>
                <c:pt idx="4">
                  <c:v>120.0</c:v>
                </c:pt>
                <c:pt idx="5">
                  <c:v>140.0</c:v>
                </c:pt>
                <c:pt idx="6">
                  <c:v>150.0</c:v>
                </c:pt>
                <c:pt idx="7">
                  <c:v>155.0</c:v>
                </c:pt>
              </c:numCache>
            </c:numRef>
          </c:yVal>
          <c:smooth val="0"/>
        </c:ser>
        <c:ser>
          <c:idx val="1"/>
          <c:order val="1"/>
          <c:tx>
            <c:strRef>
              <c:f>Sheet3!$C$1</c:f>
              <c:strCache>
                <c:ptCount val="1"/>
              </c:strCache>
            </c:strRef>
          </c:tx>
          <c:xVal>
            <c:numRef>
              <c:f>Sheet3!$A$2:$A$9</c:f>
              <c:numCache>
                <c:formatCode>General</c:formatCode>
                <c:ptCount val="8"/>
                <c:pt idx="0">
                  <c:v>0.0</c:v>
                </c:pt>
                <c:pt idx="1">
                  <c:v>1.0</c:v>
                </c:pt>
                <c:pt idx="2">
                  <c:v>2.0</c:v>
                </c:pt>
                <c:pt idx="3">
                  <c:v>3.0</c:v>
                </c:pt>
                <c:pt idx="4">
                  <c:v>4.0</c:v>
                </c:pt>
                <c:pt idx="5">
                  <c:v>5.0</c:v>
                </c:pt>
                <c:pt idx="6">
                  <c:v>6.0</c:v>
                </c:pt>
                <c:pt idx="7">
                  <c:v>7.0</c:v>
                </c:pt>
              </c:numCache>
            </c:numRef>
          </c:xVal>
          <c:yVal>
            <c:numRef>
              <c:f>Sheet3!$C$2:$C$9</c:f>
              <c:numCache>
                <c:formatCode>General</c:formatCode>
                <c:ptCount val="8"/>
              </c:numCache>
            </c:numRef>
          </c:yVal>
          <c:smooth val="0"/>
        </c:ser>
        <c:ser>
          <c:idx val="2"/>
          <c:order val="2"/>
          <c:tx>
            <c:strRef>
              <c:f>Sheet3!$D$1</c:f>
              <c:strCache>
                <c:ptCount val="1"/>
                <c:pt idx="0">
                  <c:v>Marginal Product</c:v>
                </c:pt>
              </c:strCache>
            </c:strRef>
          </c:tx>
          <c:xVal>
            <c:numRef>
              <c:f>Sheet3!$A$2:$A$9</c:f>
              <c:numCache>
                <c:formatCode>General</c:formatCode>
                <c:ptCount val="8"/>
                <c:pt idx="0">
                  <c:v>0.0</c:v>
                </c:pt>
                <c:pt idx="1">
                  <c:v>1.0</c:v>
                </c:pt>
                <c:pt idx="2">
                  <c:v>2.0</c:v>
                </c:pt>
                <c:pt idx="3">
                  <c:v>3.0</c:v>
                </c:pt>
                <c:pt idx="4">
                  <c:v>4.0</c:v>
                </c:pt>
                <c:pt idx="5">
                  <c:v>5.0</c:v>
                </c:pt>
                <c:pt idx="6">
                  <c:v>6.0</c:v>
                </c:pt>
                <c:pt idx="7">
                  <c:v>7.0</c:v>
                </c:pt>
              </c:numCache>
            </c:numRef>
          </c:xVal>
          <c:yVal>
            <c:numRef>
              <c:f>Sheet3!$D$2:$D$9</c:f>
              <c:numCache>
                <c:formatCode>General</c:formatCode>
                <c:ptCount val="8"/>
                <c:pt idx="1">
                  <c:v>20.0</c:v>
                </c:pt>
                <c:pt idx="2">
                  <c:v>30.0</c:v>
                </c:pt>
                <c:pt idx="3">
                  <c:v>40.0</c:v>
                </c:pt>
                <c:pt idx="4">
                  <c:v>30.0</c:v>
                </c:pt>
                <c:pt idx="5">
                  <c:v>20.0</c:v>
                </c:pt>
                <c:pt idx="6">
                  <c:v>10.0</c:v>
                </c:pt>
                <c:pt idx="7">
                  <c:v>5.0</c:v>
                </c:pt>
              </c:numCache>
            </c:numRef>
          </c:yVal>
          <c:smooth val="0"/>
        </c:ser>
        <c:dLbls>
          <c:showLegendKey val="0"/>
          <c:showVal val="0"/>
          <c:showCatName val="0"/>
          <c:showSerName val="0"/>
          <c:showPercent val="0"/>
          <c:showBubbleSize val="0"/>
        </c:dLbls>
        <c:axId val="2096973304"/>
        <c:axId val="2096979032"/>
      </c:scatterChart>
      <c:valAx>
        <c:axId val="2096973304"/>
        <c:scaling>
          <c:orientation val="minMax"/>
        </c:scaling>
        <c:delete val="0"/>
        <c:axPos val="b"/>
        <c:title>
          <c:tx>
            <c:rich>
              <a:bodyPr/>
              <a:lstStyle/>
              <a:p>
                <a:pPr>
                  <a:defRPr/>
                </a:pPr>
                <a:r>
                  <a:rPr lang="en-US"/>
                  <a:t>Input</a:t>
                </a:r>
                <a:r>
                  <a:rPr lang="en-US" baseline="0"/>
                  <a:t> (workers)</a:t>
                </a:r>
                <a:endParaRPr lang="en-US"/>
              </a:p>
            </c:rich>
          </c:tx>
          <c:layout/>
          <c:overlay val="0"/>
        </c:title>
        <c:numFmt formatCode="General" sourceLinked="1"/>
        <c:majorTickMark val="out"/>
        <c:minorTickMark val="none"/>
        <c:tickLblPos val="nextTo"/>
        <c:crossAx val="2096979032"/>
        <c:crosses val="autoZero"/>
        <c:crossBetween val="midCat"/>
        <c:majorUnit val="1.0"/>
      </c:valAx>
      <c:valAx>
        <c:axId val="2096979032"/>
        <c:scaling>
          <c:orientation val="minMax"/>
        </c:scaling>
        <c:delete val="0"/>
        <c:axPos val="l"/>
        <c:majorGridlines/>
        <c:title>
          <c:tx>
            <c:rich>
              <a:bodyPr rot="0" vert="horz"/>
              <a:lstStyle/>
              <a:p>
                <a:pPr>
                  <a:defRPr/>
                </a:pPr>
                <a:r>
                  <a:rPr lang="en-US"/>
                  <a:t>Output</a:t>
                </a:r>
              </a:p>
            </c:rich>
          </c:tx>
          <c:layout/>
          <c:overlay val="0"/>
        </c:title>
        <c:numFmt formatCode="General" sourceLinked="1"/>
        <c:majorTickMark val="out"/>
        <c:minorTickMark val="none"/>
        <c:tickLblPos val="nextTo"/>
        <c:crossAx val="2096973304"/>
        <c:crosses val="autoZero"/>
        <c:crossBetween val="midCat"/>
      </c:valAx>
    </c:plotArea>
    <c:legend>
      <c:legendPos val="r"/>
      <c:legendEntry>
        <c:idx val="1"/>
        <c:delete val="1"/>
      </c:legendEntry>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scatterChart>
        <c:scatterStyle val="lineMarker"/>
        <c:varyColors val="0"/>
        <c:ser>
          <c:idx val="0"/>
          <c:order val="0"/>
          <c:tx>
            <c:strRef>
              <c:f>Sheet4!$B$1</c:f>
              <c:strCache>
                <c:ptCount val="1"/>
                <c:pt idx="0">
                  <c:v>Marginal Cost</c:v>
                </c:pt>
              </c:strCache>
            </c:strRef>
          </c:tx>
          <c:xVal>
            <c:numRef>
              <c:f>Sheet4!$A$2:$A$9</c:f>
              <c:numCache>
                <c:formatCode>General</c:formatCode>
                <c:ptCount val="8"/>
                <c:pt idx="0">
                  <c:v>0.0</c:v>
                </c:pt>
                <c:pt idx="1">
                  <c:v>20.0</c:v>
                </c:pt>
                <c:pt idx="2">
                  <c:v>50.0</c:v>
                </c:pt>
                <c:pt idx="3">
                  <c:v>90.0</c:v>
                </c:pt>
                <c:pt idx="4">
                  <c:v>120.0</c:v>
                </c:pt>
                <c:pt idx="5">
                  <c:v>140.0</c:v>
                </c:pt>
                <c:pt idx="6">
                  <c:v>150.0</c:v>
                </c:pt>
                <c:pt idx="7">
                  <c:v>155.0</c:v>
                </c:pt>
              </c:numCache>
            </c:numRef>
          </c:xVal>
          <c:yVal>
            <c:numRef>
              <c:f>Sheet4!$B$2:$B$9</c:f>
              <c:numCache>
                <c:formatCode>General</c:formatCode>
                <c:ptCount val="8"/>
                <c:pt idx="1">
                  <c:v>5.0</c:v>
                </c:pt>
                <c:pt idx="2">
                  <c:v>3.33</c:v>
                </c:pt>
                <c:pt idx="3">
                  <c:v>2.5</c:v>
                </c:pt>
                <c:pt idx="4">
                  <c:v>3.33</c:v>
                </c:pt>
                <c:pt idx="5">
                  <c:v>5.0</c:v>
                </c:pt>
                <c:pt idx="6">
                  <c:v>10.0</c:v>
                </c:pt>
                <c:pt idx="7">
                  <c:v>20.0</c:v>
                </c:pt>
              </c:numCache>
            </c:numRef>
          </c:yVal>
          <c:smooth val="0"/>
        </c:ser>
        <c:ser>
          <c:idx val="1"/>
          <c:order val="1"/>
          <c:tx>
            <c:strRef>
              <c:f>Sheet4!$C$1</c:f>
              <c:strCache>
                <c:ptCount val="1"/>
                <c:pt idx="0">
                  <c:v>Average Total Cost</c:v>
                </c:pt>
              </c:strCache>
            </c:strRef>
          </c:tx>
          <c:xVal>
            <c:numRef>
              <c:f>Sheet4!$A$2:$A$9</c:f>
              <c:numCache>
                <c:formatCode>General</c:formatCode>
                <c:ptCount val="8"/>
                <c:pt idx="0">
                  <c:v>0.0</c:v>
                </c:pt>
                <c:pt idx="1">
                  <c:v>20.0</c:v>
                </c:pt>
                <c:pt idx="2">
                  <c:v>50.0</c:v>
                </c:pt>
                <c:pt idx="3">
                  <c:v>90.0</c:v>
                </c:pt>
                <c:pt idx="4">
                  <c:v>120.0</c:v>
                </c:pt>
                <c:pt idx="5">
                  <c:v>140.0</c:v>
                </c:pt>
                <c:pt idx="6">
                  <c:v>150.0</c:v>
                </c:pt>
                <c:pt idx="7">
                  <c:v>155.0</c:v>
                </c:pt>
              </c:numCache>
            </c:numRef>
          </c:xVal>
          <c:yVal>
            <c:numRef>
              <c:f>Sheet4!$C$2:$C$9</c:f>
              <c:numCache>
                <c:formatCode>General</c:formatCode>
                <c:ptCount val="8"/>
                <c:pt idx="1">
                  <c:v>15.0</c:v>
                </c:pt>
                <c:pt idx="2">
                  <c:v>8.0</c:v>
                </c:pt>
                <c:pt idx="3">
                  <c:v>5.56</c:v>
                </c:pt>
                <c:pt idx="4">
                  <c:v>5.0</c:v>
                </c:pt>
                <c:pt idx="5">
                  <c:v>5.0</c:v>
                </c:pt>
                <c:pt idx="6">
                  <c:v>5.33</c:v>
                </c:pt>
                <c:pt idx="7">
                  <c:v>5.8</c:v>
                </c:pt>
              </c:numCache>
            </c:numRef>
          </c:yVal>
          <c:smooth val="0"/>
        </c:ser>
        <c:dLbls>
          <c:showLegendKey val="0"/>
          <c:showVal val="0"/>
          <c:showCatName val="0"/>
          <c:showSerName val="0"/>
          <c:showPercent val="0"/>
          <c:showBubbleSize val="0"/>
        </c:dLbls>
        <c:axId val="2102826648"/>
        <c:axId val="2103209448"/>
      </c:scatterChart>
      <c:valAx>
        <c:axId val="2102826648"/>
        <c:scaling>
          <c:orientation val="minMax"/>
        </c:scaling>
        <c:delete val="0"/>
        <c:axPos val="b"/>
        <c:title>
          <c:tx>
            <c:rich>
              <a:bodyPr/>
              <a:lstStyle/>
              <a:p>
                <a:pPr>
                  <a:defRPr/>
                </a:pPr>
                <a:r>
                  <a:rPr lang="en-US"/>
                  <a:t>Output</a:t>
                </a:r>
              </a:p>
            </c:rich>
          </c:tx>
          <c:layout/>
          <c:overlay val="0"/>
        </c:title>
        <c:numFmt formatCode="General" sourceLinked="1"/>
        <c:majorTickMark val="out"/>
        <c:minorTickMark val="none"/>
        <c:tickLblPos val="nextTo"/>
        <c:crossAx val="2103209448"/>
        <c:crosses val="autoZero"/>
        <c:crossBetween val="midCat"/>
        <c:majorUnit val="20.0"/>
      </c:valAx>
      <c:valAx>
        <c:axId val="2103209448"/>
        <c:scaling>
          <c:orientation val="minMax"/>
        </c:scaling>
        <c:delete val="0"/>
        <c:axPos val="l"/>
        <c:majorGridlines/>
        <c:title>
          <c:tx>
            <c:rich>
              <a:bodyPr rot="0" vert="horz"/>
              <a:lstStyle/>
              <a:p>
                <a:pPr>
                  <a:defRPr/>
                </a:pPr>
                <a:r>
                  <a:rPr lang="en-US"/>
                  <a:t>Costs</a:t>
                </a:r>
              </a:p>
            </c:rich>
          </c:tx>
          <c:layout/>
          <c:overlay val="0"/>
        </c:title>
        <c:numFmt formatCode="General" sourceLinked="1"/>
        <c:majorTickMark val="out"/>
        <c:minorTickMark val="none"/>
        <c:tickLblPos val="nextTo"/>
        <c:crossAx val="2102826648"/>
        <c:crosses val="autoZero"/>
        <c:crossBetween val="midCat"/>
        <c:majorUnit val="2.0"/>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TotalTime>
  <Pages>7</Pages>
  <Words>1273</Words>
  <Characters>7262</Characters>
  <Application>Microsoft Macintosh Word</Application>
  <DocSecurity>0</DocSecurity>
  <Lines>60</Lines>
  <Paragraphs>17</Paragraphs>
  <ScaleCrop>false</ScaleCrop>
  <Company/>
  <LinksUpToDate>false</LinksUpToDate>
  <CharactersWithSpaces>8518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Jordann Abrams</dc:creator>
  <cp:keywords/>
  <dc:description/>
  <cp:lastModifiedBy>Jordann Abrams</cp:lastModifiedBy>
  <cp:revision>6</cp:revision>
  <cp:lastPrinted>2012-12-03T17:13:00Z</cp:lastPrinted>
  <dcterms:created xsi:type="dcterms:W3CDTF">2012-11-21T22:53:00Z</dcterms:created>
  <dcterms:modified xsi:type="dcterms:W3CDTF">2012-12-03T17:59:00Z</dcterms:modified>
</cp:coreProperties>
</file>