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charts/chart1.xml" ContentType="application/vnd.openxmlformats-officedocument.drawingml.chart+xml"/>
  <Override PartName="/word/charts/chart2.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jc w:val="center"/>
      </w:pPr>
      <w:r>
        <w:rPr>
          <w:sz w:val="24"/>
          <w:szCs w:val="24"/>
          <w:rtl w:val="0"/>
          <w:lang w:val="en-US"/>
        </w:rPr>
        <w:t>ECO Assi</w:t>
      </w:r>
      <w:r>
        <mc:AlternateContent>
          <mc:Choice Requires="wps">
            <w:drawing>
              <wp:anchor distT="152400" distB="152400" distL="152400" distR="152400" simplePos="0" relativeHeight="251659264" behindDoc="0" locked="0" layoutInCell="1" allowOverlap="1">
                <wp:simplePos x="0" y="0"/>
                <wp:positionH relativeFrom="page">
                  <wp:posOffset>3886200</wp:posOffset>
                </wp:positionH>
                <wp:positionV relativeFrom="page">
                  <wp:posOffset>1626120</wp:posOffset>
                </wp:positionV>
                <wp:extent cx="3669792" cy="1600200"/>
                <wp:effectExtent l="0" t="0" r="0" b="0"/>
                <wp:wrapThrough wrapText="bothSides" distL="152400" distR="152400">
                  <wp:wrapPolygon edited="1">
                    <wp:start x="-150" y="-343"/>
                    <wp:lineTo x="-150" y="33771"/>
                    <wp:lineTo x="21752" y="33771"/>
                    <wp:lineTo x="21752" y="-343"/>
                    <wp:lineTo x="-150" y="-343"/>
                  </wp:wrapPolygon>
                </wp:wrapThrough>
                <wp:docPr id="1073741827" name="officeArt object"/>
                <wp:cNvGraphicFramePr/>
                <a:graphic xmlns:a="http://schemas.openxmlformats.org/drawingml/2006/main">
                  <a:graphicData uri="http://schemas.microsoft.com/office/word/2010/wordprocessingShape">
                    <wps:wsp>
                      <wps:cNvSpPr/>
                      <wps:spPr>
                        <a:xfrm>
                          <a:off x="0" y="0"/>
                          <a:ext cx="3669792" cy="1600200"/>
                        </a:xfrm>
                        <a:prstGeom prst="rect">
                          <a:avLst/>
                        </a:prstGeom>
                      </wps:spPr>
                      <wps:txbx>
                        <w:txbxContent>
                          <w:tbl>
                            <w:tblPr>
                              <w:tblW w:w="5779" w:type="dxa"/>
                              <w:tblInd w:w="3"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1444"/>
                              <w:gridCol w:w="1445"/>
                              <w:gridCol w:w="1445"/>
                              <w:gridCol w:w="1445"/>
                            </w:tblGrid>
                            <w:tr>
                              <w:tblPrEx>
                                <w:shd w:val="clear" w:color="auto" w:fill="auto"/>
                              </w:tblPrEx>
                              <w:trPr>
                                <w:trHeight w:val="400" w:hRule="exact"/>
                                <w:tblHeader/>
                              </w:trPr>
                              <w:tc>
                                <w:tcPr>
                                  <w:tcW w:type="dxa" w:w="5779"/>
                                  <w:gridSpan w:val="4"/>
                                  <w:tcBorders>
                                    <w:top w:val="nil"/>
                                    <w:left w:val="nil"/>
                                    <w:bottom w:val="nil"/>
                                    <w:right w:val="nil"/>
                                  </w:tcBorders>
                                  <w:shd w:val="clear" w:color="auto" w:fill="auto"/>
                                  <w:tcMar>
                                    <w:top w:type="dxa" w:w="80"/>
                                    <w:left w:type="dxa" w:w="80"/>
                                    <w:bottom w:type="dxa" w:w="80"/>
                                    <w:right w:type="dxa" w:w="80"/>
                                  </w:tcMar>
                                  <w:vAlign w:val="center"/>
                                </w:tcPr>
                                <w:p>
                                  <w:pPr>
                                    <w:pStyle w:val="Default"/>
                                    <w:spacing w:after="120"/>
                                    <w:jc w:val="center"/>
                                  </w:pPr>
                                  <w:r>
                                    <w:rPr>
                                      <w:sz w:val="24"/>
                                      <w:szCs w:val="24"/>
                                    </w:rPr>
                                    <w:t>Country A</w:t>
                                  </w:r>
                                </w:p>
                              </w:tc>
                            </w:tr>
                            <w:tr>
                              <w:tblPrEx>
                                <w:shd w:val="clear" w:color="auto" w:fill="bdc0bf"/>
                              </w:tblPrEx>
                              <w:trPr>
                                <w:trHeight w:val="731" w:hRule="atLeast"/>
                                <w:tblHeader/>
                              </w:trPr>
                              <w:tc>
                                <w:tcPr>
                                  <w:tcW w:type="dxa" w:w="1444"/>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pPr>
                                  <w:r>
                                    <w:rPr>
                                      <w:rFonts w:ascii="Helvetica"/>
                                      <w:rtl w:val="0"/>
                                    </w:rPr>
                                    <w:t>Resources devoted to clothing</w:t>
                                  </w:r>
                                </w:p>
                              </w:tc>
                              <w:tc>
                                <w:tcPr>
                                  <w:tcW w:type="dxa" w:w="1444"/>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pPr>
                                  <w:r>
                                    <w:rPr>
                                      <w:rFonts w:ascii="Helvetica"/>
                                      <w:rtl w:val="0"/>
                                    </w:rPr>
                                    <w:t>Output of Clothing</w:t>
                                  </w:r>
                                </w:p>
                              </w:tc>
                              <w:tc>
                                <w:tcPr>
                                  <w:tcW w:type="dxa" w:w="1444"/>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pPr>
                                  <w:r>
                                    <w:rPr>
                                      <w:rFonts w:ascii="Helvetica"/>
                                      <w:rtl w:val="0"/>
                                    </w:rPr>
                                    <w:t>Resources devoted to food</w:t>
                                  </w:r>
                                </w:p>
                              </w:tc>
                              <w:tc>
                                <w:tcPr>
                                  <w:tcW w:type="dxa" w:w="1444"/>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pPr>
                                  <w:r>
                                    <w:rPr>
                                      <w:rFonts w:ascii="Helvetica"/>
                                      <w:rtl w:val="0"/>
                                    </w:rPr>
                                    <w:t>Output of food</w:t>
                                  </w:r>
                                </w:p>
                              </w:tc>
                            </w:tr>
                            <w:tr>
                              <w:tblPrEx>
                                <w:shd w:val="clear" w:color="auto" w:fill="auto"/>
                              </w:tblPrEx>
                              <w:trPr>
                                <w:trHeight w:val="251" w:hRule="atLeast"/>
                              </w:trPr>
                              <w:tc>
                                <w:tcPr>
                                  <w:tcW w:type="dxa" w:w="1444"/>
                                  <w:tcBorders>
                                    <w:top w:val="single" w:color="000000" w:sz="6"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100%</w:t>
                                  </w:r>
                                </w:p>
                              </w:tc>
                              <w:tc>
                                <w:tcPr>
                                  <w:tcW w:type="dxa" w:w="1444"/>
                                  <w:tcBorders>
                                    <w:top w:val="single" w:color="000000" w:sz="6"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28</w:t>
                                  </w:r>
                                </w:p>
                              </w:tc>
                              <w:tc>
                                <w:tcPr>
                                  <w:tcW w:type="dxa" w:w="1444"/>
                                  <w:tcBorders>
                                    <w:top w:val="single" w:color="000000" w:sz="6"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0%</w:t>
                                  </w:r>
                                </w:p>
                              </w:tc>
                              <w:tc>
                                <w:tcPr>
                                  <w:tcW w:type="dxa" w:w="1444"/>
                                  <w:tcBorders>
                                    <w:top w:val="single" w:color="000000" w:sz="6"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0</w:t>
                                  </w:r>
                                </w:p>
                              </w:tc>
                            </w:tr>
                            <w:tr>
                              <w:tblPrEx>
                                <w:shd w:val="clear" w:color="auto" w:fill="auto"/>
                              </w:tblPrEx>
                              <w:trPr>
                                <w:trHeight w:val="247" w:hRule="atLeast"/>
                              </w:trPr>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80%</w:t>
                                  </w:r>
                                </w:p>
                              </w:tc>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25</w:t>
                                  </w:r>
                                </w:p>
                              </w:tc>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20%</w:t>
                                  </w:r>
                                </w:p>
                              </w:tc>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4</w:t>
                                  </w:r>
                                </w:p>
                              </w:tc>
                            </w:tr>
                            <w:tr>
                              <w:tblPrEx>
                                <w:shd w:val="clear" w:color="auto" w:fill="auto"/>
                              </w:tblPrEx>
                              <w:trPr>
                                <w:trHeight w:val="247" w:hRule="atLeast"/>
                              </w:trPr>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60%</w:t>
                                  </w:r>
                                </w:p>
                              </w:tc>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17</w:t>
                                  </w:r>
                                </w:p>
                              </w:tc>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40%</w:t>
                                  </w:r>
                                </w:p>
                              </w:tc>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11</w:t>
                                  </w:r>
                                </w:p>
                              </w:tc>
                            </w:tr>
                            <w:tr>
                              <w:tblPrEx>
                                <w:shd w:val="clear" w:color="auto" w:fill="auto"/>
                              </w:tblPrEx>
                              <w:trPr>
                                <w:trHeight w:val="247" w:hRule="atLeast"/>
                              </w:trPr>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40%</w:t>
                                  </w:r>
                                </w:p>
                              </w:tc>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12</w:t>
                                  </w:r>
                                </w:p>
                              </w:tc>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60%</w:t>
                                  </w:r>
                                </w:p>
                              </w:tc>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15</w:t>
                                  </w:r>
                                </w:p>
                              </w:tc>
                            </w:tr>
                            <w:tr>
                              <w:tblPrEx>
                                <w:shd w:val="clear" w:color="auto" w:fill="auto"/>
                              </w:tblPrEx>
                              <w:trPr>
                                <w:trHeight w:val="247" w:hRule="atLeast"/>
                              </w:trPr>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20%</w:t>
                                  </w:r>
                                </w:p>
                              </w:tc>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7</w:t>
                                  </w:r>
                                </w:p>
                              </w:tc>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80%</w:t>
                                  </w:r>
                                </w:p>
                              </w:tc>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18</w:t>
                                  </w:r>
                                </w:p>
                              </w:tc>
                            </w:tr>
                            <w:tr>
                              <w:tblPrEx>
                                <w:shd w:val="clear" w:color="auto" w:fill="auto"/>
                              </w:tblPrEx>
                              <w:trPr>
                                <w:trHeight w:val="247" w:hRule="atLeast"/>
                              </w:trPr>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0%</w:t>
                                  </w:r>
                                </w:p>
                              </w:tc>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0</w:t>
                                  </w:r>
                                </w:p>
                              </w:tc>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100%</w:t>
                                  </w:r>
                                </w:p>
                              </w:tc>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21</w:t>
                                  </w:r>
                                </w:p>
                              </w:tc>
                            </w:tr>
                          </w:tbl>
                        </w:txbxContent>
                      </wps:txbx>
                      <wps:bodyPr lIns="0" tIns="0" rIns="0" bIns="0">
                        <a:spAutoFit/>
                      </wps:bodyPr>
                    </wps:wsp>
                  </a:graphicData>
                </a:graphic>
              </wp:anchor>
            </w:drawing>
          </mc:Choice>
          <mc:Fallback>
            <w:pict>
              <v:shape id="_x0000_s1026" type="#_x0000_t202" style="visibility:visible;position:absolute;margin-left:306.0pt;margin-top:128.0pt;width:289.0pt;height:126.0pt;z-index:251659264;mso-position-horizontal:absolute;mso-position-horizontal-relative:page;mso-position-vertical:absolute;mso-position-vertical-relative:page;mso-wrap-distance-left:12.0pt;mso-wrap-distance-top:12.0pt;mso-wrap-distance-right:12.0pt;mso-wrap-distance-bottom:12.0pt;">
                <v:fill on="f"/>
                <v:stroke on="f" weight="0.8pt" dashstyle="solid" endcap="flat" joinstyle="bevel" linestyle="single" startarrow="none" startarrowwidth="medium" startarrowlength="medium" endarrow="none" endarrowwidth="medium" endarrowlength="medium"/>
                <v:textbox>
                  <w:txbxContent>
                    <w:tbl>
                      <w:tblPr>
                        <w:tblW w:w="5779" w:type="dxa"/>
                        <w:tblInd w:w="3"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1444"/>
                        <w:gridCol w:w="1445"/>
                        <w:gridCol w:w="1445"/>
                        <w:gridCol w:w="1445"/>
                      </w:tblGrid>
                      <w:tr>
                        <w:tblPrEx>
                          <w:shd w:val="clear" w:color="auto" w:fill="auto"/>
                        </w:tblPrEx>
                        <w:trPr>
                          <w:trHeight w:val="400" w:hRule="exact"/>
                          <w:tblHeader/>
                        </w:trPr>
                        <w:tc>
                          <w:tcPr>
                            <w:tcW w:type="dxa" w:w="5779"/>
                            <w:gridSpan w:val="4"/>
                            <w:tcBorders>
                              <w:top w:val="nil"/>
                              <w:left w:val="nil"/>
                              <w:bottom w:val="nil"/>
                              <w:right w:val="nil"/>
                            </w:tcBorders>
                            <w:shd w:val="clear" w:color="auto" w:fill="auto"/>
                            <w:tcMar>
                              <w:top w:type="dxa" w:w="80"/>
                              <w:left w:type="dxa" w:w="80"/>
                              <w:bottom w:type="dxa" w:w="80"/>
                              <w:right w:type="dxa" w:w="80"/>
                            </w:tcMar>
                            <w:vAlign w:val="center"/>
                          </w:tcPr>
                          <w:p>
                            <w:pPr>
                              <w:pStyle w:val="Default"/>
                              <w:spacing w:after="120"/>
                              <w:jc w:val="center"/>
                            </w:pPr>
                            <w:r>
                              <w:rPr>
                                <w:sz w:val="24"/>
                                <w:szCs w:val="24"/>
                              </w:rPr>
                              <w:t>Country A</w:t>
                            </w:r>
                          </w:p>
                        </w:tc>
                      </w:tr>
                      <w:tr>
                        <w:tblPrEx>
                          <w:shd w:val="clear" w:color="auto" w:fill="bdc0bf"/>
                        </w:tblPrEx>
                        <w:trPr>
                          <w:trHeight w:val="731" w:hRule="atLeast"/>
                          <w:tblHeader/>
                        </w:trPr>
                        <w:tc>
                          <w:tcPr>
                            <w:tcW w:type="dxa" w:w="1444"/>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pPr>
                            <w:r>
                              <w:rPr>
                                <w:rFonts w:ascii="Helvetica"/>
                                <w:rtl w:val="0"/>
                              </w:rPr>
                              <w:t>Resources devoted to clothing</w:t>
                            </w:r>
                          </w:p>
                        </w:tc>
                        <w:tc>
                          <w:tcPr>
                            <w:tcW w:type="dxa" w:w="1444"/>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pPr>
                            <w:r>
                              <w:rPr>
                                <w:rFonts w:ascii="Helvetica"/>
                                <w:rtl w:val="0"/>
                              </w:rPr>
                              <w:t>Output of Clothing</w:t>
                            </w:r>
                          </w:p>
                        </w:tc>
                        <w:tc>
                          <w:tcPr>
                            <w:tcW w:type="dxa" w:w="1444"/>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pPr>
                            <w:r>
                              <w:rPr>
                                <w:rFonts w:ascii="Helvetica"/>
                                <w:rtl w:val="0"/>
                              </w:rPr>
                              <w:t>Resources devoted to food</w:t>
                            </w:r>
                          </w:p>
                        </w:tc>
                        <w:tc>
                          <w:tcPr>
                            <w:tcW w:type="dxa" w:w="1444"/>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pPr>
                            <w:r>
                              <w:rPr>
                                <w:rFonts w:ascii="Helvetica"/>
                                <w:rtl w:val="0"/>
                              </w:rPr>
                              <w:t>Output of food</w:t>
                            </w:r>
                          </w:p>
                        </w:tc>
                      </w:tr>
                      <w:tr>
                        <w:tblPrEx>
                          <w:shd w:val="clear" w:color="auto" w:fill="auto"/>
                        </w:tblPrEx>
                        <w:trPr>
                          <w:trHeight w:val="251" w:hRule="atLeast"/>
                        </w:trPr>
                        <w:tc>
                          <w:tcPr>
                            <w:tcW w:type="dxa" w:w="1444"/>
                            <w:tcBorders>
                              <w:top w:val="single" w:color="000000" w:sz="6"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100%</w:t>
                            </w:r>
                          </w:p>
                        </w:tc>
                        <w:tc>
                          <w:tcPr>
                            <w:tcW w:type="dxa" w:w="1444"/>
                            <w:tcBorders>
                              <w:top w:val="single" w:color="000000" w:sz="6"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28</w:t>
                            </w:r>
                          </w:p>
                        </w:tc>
                        <w:tc>
                          <w:tcPr>
                            <w:tcW w:type="dxa" w:w="1444"/>
                            <w:tcBorders>
                              <w:top w:val="single" w:color="000000" w:sz="6"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0%</w:t>
                            </w:r>
                          </w:p>
                        </w:tc>
                        <w:tc>
                          <w:tcPr>
                            <w:tcW w:type="dxa" w:w="1444"/>
                            <w:tcBorders>
                              <w:top w:val="single" w:color="000000" w:sz="6"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0</w:t>
                            </w:r>
                          </w:p>
                        </w:tc>
                      </w:tr>
                      <w:tr>
                        <w:tblPrEx>
                          <w:shd w:val="clear" w:color="auto" w:fill="auto"/>
                        </w:tblPrEx>
                        <w:trPr>
                          <w:trHeight w:val="247" w:hRule="atLeast"/>
                        </w:trPr>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80%</w:t>
                            </w:r>
                          </w:p>
                        </w:tc>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25</w:t>
                            </w:r>
                          </w:p>
                        </w:tc>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20%</w:t>
                            </w:r>
                          </w:p>
                        </w:tc>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4</w:t>
                            </w:r>
                          </w:p>
                        </w:tc>
                      </w:tr>
                      <w:tr>
                        <w:tblPrEx>
                          <w:shd w:val="clear" w:color="auto" w:fill="auto"/>
                        </w:tblPrEx>
                        <w:trPr>
                          <w:trHeight w:val="247" w:hRule="atLeast"/>
                        </w:trPr>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60%</w:t>
                            </w:r>
                          </w:p>
                        </w:tc>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17</w:t>
                            </w:r>
                          </w:p>
                        </w:tc>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40%</w:t>
                            </w:r>
                          </w:p>
                        </w:tc>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11</w:t>
                            </w:r>
                          </w:p>
                        </w:tc>
                      </w:tr>
                      <w:tr>
                        <w:tblPrEx>
                          <w:shd w:val="clear" w:color="auto" w:fill="auto"/>
                        </w:tblPrEx>
                        <w:trPr>
                          <w:trHeight w:val="247" w:hRule="atLeast"/>
                        </w:trPr>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40%</w:t>
                            </w:r>
                          </w:p>
                        </w:tc>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12</w:t>
                            </w:r>
                          </w:p>
                        </w:tc>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60%</w:t>
                            </w:r>
                          </w:p>
                        </w:tc>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15</w:t>
                            </w:r>
                          </w:p>
                        </w:tc>
                      </w:tr>
                      <w:tr>
                        <w:tblPrEx>
                          <w:shd w:val="clear" w:color="auto" w:fill="auto"/>
                        </w:tblPrEx>
                        <w:trPr>
                          <w:trHeight w:val="247" w:hRule="atLeast"/>
                        </w:trPr>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20%</w:t>
                            </w:r>
                          </w:p>
                        </w:tc>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7</w:t>
                            </w:r>
                          </w:p>
                        </w:tc>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80%</w:t>
                            </w:r>
                          </w:p>
                        </w:tc>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18</w:t>
                            </w:r>
                          </w:p>
                        </w:tc>
                      </w:tr>
                      <w:tr>
                        <w:tblPrEx>
                          <w:shd w:val="clear" w:color="auto" w:fill="auto"/>
                        </w:tblPrEx>
                        <w:trPr>
                          <w:trHeight w:val="247" w:hRule="atLeast"/>
                        </w:trPr>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0%</w:t>
                            </w:r>
                          </w:p>
                        </w:tc>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0</w:t>
                            </w:r>
                          </w:p>
                        </w:tc>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100%</w:t>
                            </w:r>
                          </w:p>
                        </w:tc>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21</w:t>
                            </w:r>
                          </w:p>
                        </w:tc>
                      </w:tr>
                    </w:tbl>
                  </w:txbxContent>
                </v:textbox>
                <w10:wrap type="through" side="bothSides" anchorx="page" anchory="page"/>
              </v:shape>
            </w:pict>
          </mc:Fallback>
        </mc:AlternateContent>
      </w:r>
      <w:r>
        <w:drawing>
          <wp:anchor distT="152400" distB="152400" distL="152400" distR="152400" simplePos="0" relativeHeight="251660288" behindDoc="0" locked="0" layoutInCell="1" allowOverlap="1">
            <wp:simplePos x="0" y="0"/>
            <wp:positionH relativeFrom="page">
              <wp:posOffset>3465062</wp:posOffset>
            </wp:positionH>
            <wp:positionV relativeFrom="page">
              <wp:posOffset>4340602</wp:posOffset>
            </wp:positionV>
            <wp:extent cx="4169536" cy="3721100"/>
            <wp:effectExtent l="0" t="0" r="0" b="0"/>
            <wp:wrapSquare wrapText="bothSides" distL="152400" distR="152400" distT="152400" distB="152400"/>
            <wp:docPr id="1073741828" name="officeArt object"/>
            <wp:cNvGraphicFramePr/>
            <a:graphic xmlns:a="http://schemas.openxmlformats.org/drawingml/2006/main">
              <a:graphicData uri="http://schemas.openxmlformats.org/drawingml/2006/chart">
                <c:chart xmlns:c="http://schemas.openxmlformats.org/drawingml/2006/chart" r:id="rId4"/>
              </a:graphicData>
            </a:graphic>
          </wp:anchor>
        </w:drawing>
      </w:r>
      <w:r>
        <w:drawing>
          <wp:anchor distT="152400" distB="152400" distL="152400" distR="152400" simplePos="0" relativeHeight="251662336" behindDoc="0" locked="0" layoutInCell="1" allowOverlap="1">
            <wp:simplePos x="0" y="0"/>
            <wp:positionH relativeFrom="page">
              <wp:posOffset>3465062</wp:posOffset>
            </wp:positionH>
            <wp:positionV relativeFrom="page">
              <wp:posOffset>4340602</wp:posOffset>
            </wp:positionV>
            <wp:extent cx="4194485" cy="3721100"/>
            <wp:effectExtent l="0" t="0" r="0" b="0"/>
            <wp:wrapSquare wrapText="bothSides" distL="152400" distR="152400" distT="152400" distB="152400"/>
            <wp:docPr id="1073741829" name="officeArt object"/>
            <wp:cNvGraphicFramePr/>
            <a:graphic xmlns:a="http://schemas.openxmlformats.org/drawingml/2006/main">
              <a:graphicData uri="http://schemas.openxmlformats.org/drawingml/2006/chart">
                <c:chart xmlns:c="http://schemas.openxmlformats.org/drawingml/2006/chart" r:id="rId5"/>
              </a:graphicData>
            </a:graphic>
          </wp:anchor>
        </w:drawing>
      </w:r>
      <w:r>
        <w:rPr>
          <w:sz w:val="24"/>
          <w:szCs w:val="24"/>
          <w:rtl w:val="0"/>
          <w:lang w:val="en-US"/>
        </w:rPr>
        <w:t>gnment 1</w:t>
      </w:r>
      <w:r>
        <mc:AlternateContent>
          <mc:Choice Requires="wps">
            <w:drawing>
              <wp:anchor distT="152400" distB="152400" distL="152400" distR="152400" simplePos="0" relativeHeight="251663360" behindDoc="0" locked="0" layoutInCell="1" allowOverlap="1">
                <wp:simplePos x="0" y="0"/>
                <wp:positionH relativeFrom="margin">
                  <wp:posOffset>3309214</wp:posOffset>
                </wp:positionH>
                <wp:positionV relativeFrom="line">
                  <wp:posOffset>6994902</wp:posOffset>
                </wp:positionV>
                <wp:extent cx="3175000" cy="784518"/>
                <wp:effectExtent l="0" t="0" r="0" b="0"/>
                <wp:wrapThrough wrapText="bothSides" distL="152400" distR="152400">
                  <wp:wrapPolygon edited="1">
                    <wp:start x="0" y="0"/>
                    <wp:lineTo x="0" y="21603"/>
                    <wp:lineTo x="21600" y="21603"/>
                    <wp:lineTo x="21600" y="0"/>
                    <wp:lineTo x="0" y="0"/>
                  </wp:wrapPolygon>
                </wp:wrapThrough>
                <wp:docPr id="1073741825" name="officeArt object"/>
                <wp:cNvGraphicFramePr/>
                <a:graphic xmlns:a="http://schemas.openxmlformats.org/drawingml/2006/main">
                  <a:graphicData uri="http://schemas.microsoft.com/office/word/2010/wordprocessingShape">
                    <wps:wsp>
                      <wps:cNvSpPr/>
                      <wps:spPr>
                        <a:xfrm>
                          <a:off x="0" y="0"/>
                          <a:ext cx="3175000" cy="784518"/>
                        </a:xfrm>
                        <a:prstGeom prst="rect">
                          <a:avLst/>
                        </a:prstGeom>
                        <a:noFill/>
                        <a:ln w="12700" cap="flat">
                          <a:noFill/>
                          <a:miter lim="400000"/>
                        </a:ln>
                        <a:effectLst/>
                      </wps:spPr>
                      <wps:txbx>
                        <w:txbxContent>
                          <w:p>
                            <w:pPr>
                              <w:pStyle w:val="Body"/>
                              <w:rPr>
                                <w:sz w:val="24"/>
                                <w:szCs w:val="24"/>
                              </w:rPr>
                            </w:pPr>
                            <w:r>
                              <w:rPr>
                                <w:sz w:val="24"/>
                                <w:szCs w:val="24"/>
                                <w:rtl w:val="0"/>
                                <w:lang w:val="en-US"/>
                              </w:rPr>
                              <w:t>Circle: Original PPF</w:t>
                            </w:r>
                          </w:p>
                          <w:p>
                            <w:pPr>
                              <w:pStyle w:val="Body"/>
                            </w:pPr>
                            <w:r>
                              <w:rPr>
                                <w:sz w:val="24"/>
                                <w:szCs w:val="24"/>
                                <w:rtl w:val="0"/>
                                <w:lang w:val="en-US"/>
                              </w:rPr>
                              <w:t>Square: PPF with increased production of food</w:t>
                            </w:r>
                          </w:p>
                        </w:txbxContent>
                      </wps:txbx>
                      <wps:bodyPr wrap="square" lIns="50800" tIns="50800" rIns="50800" bIns="50800" numCol="1" anchor="t">
                        <a:noAutofit/>
                      </wps:bodyPr>
                    </wps:wsp>
                  </a:graphicData>
                </a:graphic>
              </wp:anchor>
            </w:drawing>
          </mc:Choice>
          <mc:Fallback>
            <w:pict>
              <v:rect id="_x0000_s1027" style="visibility:visible;position:absolute;margin-left:260.6pt;margin-top:550.8pt;width:250.0pt;height:61.8pt;z-index:251663360;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rPr>
                          <w:sz w:val="24"/>
                          <w:szCs w:val="24"/>
                        </w:rPr>
                      </w:pPr>
                      <w:r>
                        <w:rPr>
                          <w:sz w:val="24"/>
                          <w:szCs w:val="24"/>
                          <w:rtl w:val="0"/>
                          <w:lang w:val="en-US"/>
                        </w:rPr>
                        <w:t>Circle: Original PPF</w:t>
                      </w:r>
                    </w:p>
                    <w:p>
                      <w:pPr>
                        <w:pStyle w:val="Body"/>
                      </w:pPr>
                      <w:r>
                        <w:rPr>
                          <w:sz w:val="24"/>
                          <w:szCs w:val="24"/>
                          <w:rtl w:val="0"/>
                          <w:lang w:val="en-US"/>
                        </w:rPr>
                        <w:t>Square: PPF with increased production of food</w:t>
                      </w:r>
                    </w:p>
                  </w:txbxContent>
                </v:textbox>
                <w10:wrap type="through" side="bothSides" anchorx="margin"/>
              </v:rect>
            </w:pict>
          </mc:Fallback>
        </mc:AlternateContent>
      </w:r>
      <w:r>
        <mc:AlternateContent>
          <mc:Choice Requires="wps">
            <w:drawing>
              <wp:anchor distT="152400" distB="152400" distL="152400" distR="152400" simplePos="0" relativeHeight="251661312" behindDoc="0" locked="0" layoutInCell="1" allowOverlap="1">
                <wp:simplePos x="0" y="0"/>
                <wp:positionH relativeFrom="margin">
                  <wp:posOffset>-209550</wp:posOffset>
                </wp:positionH>
                <wp:positionV relativeFrom="line">
                  <wp:posOffset>559320</wp:posOffset>
                </wp:positionV>
                <wp:extent cx="3175000" cy="7860215"/>
                <wp:effectExtent l="0" t="0" r="0" b="0"/>
                <wp:wrapThrough wrapText="bothSides" distL="152400" distR="152400">
                  <wp:wrapPolygon edited="1">
                    <wp:start x="0" y="0"/>
                    <wp:lineTo x="0" y="21600"/>
                    <wp:lineTo x="21600" y="21600"/>
                    <wp:lineTo x="21600" y="0"/>
                    <wp:lineTo x="0" y="0"/>
                  </wp:wrapPolygon>
                </wp:wrapThrough>
                <wp:docPr id="1073741826" name="officeArt object"/>
                <wp:cNvGraphicFramePr/>
                <a:graphic xmlns:a="http://schemas.openxmlformats.org/drawingml/2006/main">
                  <a:graphicData uri="http://schemas.microsoft.com/office/word/2010/wordprocessingShape">
                    <wps:wsp>
                      <wps:cNvSpPr/>
                      <wps:spPr>
                        <a:xfrm>
                          <a:off x="0" y="0"/>
                          <a:ext cx="3175000" cy="7860215"/>
                        </a:xfrm>
                        <a:prstGeom prst="rect">
                          <a:avLst/>
                        </a:prstGeom>
                        <a:noFill/>
                        <a:ln w="12700" cap="flat">
                          <a:noFill/>
                          <a:miter lim="400000"/>
                        </a:ln>
                        <a:effectLst/>
                        <a:extLst>
                          <a:ext uri="{C572A759-6A51-4108-AA02-DFA0A04FC94B}">
                            <ma14:wrappingTextBoxFlag xmlns:ma14="http://schemas.microsoft.com/office/mac/drawingml/2011/main" val="1"/>
                          </a:ext>
                        </a:extLst>
                      </wps:spPr>
                      <wps:txbx>
                        <w:txbxContent>
                          <w:p>
                            <w:pPr>
                              <w:pStyle w:val="Body"/>
                              <w:numPr>
                                <w:ilvl w:val="0"/>
                                <w:numId w:val="3"/>
                              </w:numPr>
                              <w:ind w:left="360"/>
                              <w:rPr>
                                <w:b w:val="1"/>
                                <w:bCs w:val="1"/>
                                <w:position w:val="0"/>
                                <w:sz w:val="24"/>
                                <w:szCs w:val="24"/>
                                <w:u w:val="single"/>
                              </w:rPr>
                            </w:pPr>
                            <w:r>
                              <w:rPr>
                                <w:b w:val="1"/>
                                <w:bCs w:val="1"/>
                                <w:sz w:val="24"/>
                                <w:szCs w:val="24"/>
                                <w:u w:val="single"/>
                                <w:rtl w:val="0"/>
                                <w:lang w:val="en-US"/>
                              </w:rPr>
                              <w:t>Trade and Specialization</w:t>
                            </w:r>
                          </w:p>
                          <w:p>
                            <w:pPr>
                              <w:pStyle w:val="Body"/>
                              <w:rPr>
                                <w:sz w:val="24"/>
                                <w:szCs w:val="24"/>
                              </w:rPr>
                            </w:pPr>
                            <w:r>
                              <w:rPr>
                                <w:b w:val="1"/>
                                <w:bCs w:val="1"/>
                                <w:sz w:val="24"/>
                                <w:szCs w:val="24"/>
                                <w:u w:val="single"/>
                                <w:rtl w:val="0"/>
                                <w:lang w:val="en-US"/>
                              </w:rPr>
                              <w:t>a</w:t>
                            </w:r>
                            <w:r>
                              <w:rPr>
                                <w:sz w:val="24"/>
                                <w:szCs w:val="24"/>
                                <w:rtl w:val="0"/>
                                <w:lang w:val="en-US"/>
                              </w:rPr>
                              <w:t>.</w:t>
                            </w:r>
                          </w:p>
                          <w:p>
                            <w:pPr>
                              <w:pStyle w:val="Body"/>
                              <w:rPr>
                                <w:sz w:val="24"/>
                                <w:szCs w:val="24"/>
                              </w:rPr>
                            </w:pPr>
                            <w:r>
                              <w:rPr>
                                <w:sz w:val="24"/>
                                <w:szCs w:val="24"/>
                                <w:rtl w:val="0"/>
                                <w:lang w:val="en-US"/>
                              </w:rPr>
                              <w:t xml:space="preserve">ii. </w:t>
                            </w:r>
                          </w:p>
                          <w:p>
                            <w:pPr>
                              <w:pStyle w:val="Body"/>
                              <w:rPr>
                                <w:sz w:val="24"/>
                                <w:szCs w:val="24"/>
                              </w:rPr>
                            </w:pPr>
                            <w:r>
                              <w:rPr>
                                <w:sz w:val="24"/>
                                <w:szCs w:val="24"/>
                                <w:rtl w:val="0"/>
                                <w:lang w:val="en-US"/>
                              </w:rPr>
                              <w:t>(28-25)/(</w:t>
                            </w:r>
                            <w:r>
                              <w:rPr>
                                <w:sz w:val="24"/>
                                <w:szCs w:val="24"/>
                                <w:rtl w:val="0"/>
                              </w:rPr>
                              <w:t>0-</w:t>
                            </w:r>
                            <w:r>
                              <w:rPr>
                                <w:sz w:val="24"/>
                                <w:szCs w:val="24"/>
                                <w:rtl w:val="0"/>
                                <w:lang w:val="en-US"/>
                              </w:rPr>
                              <w:t>4) = -0.75</w:t>
                            </w:r>
                          </w:p>
                          <w:p>
                            <w:pPr>
                              <w:pStyle w:val="Body"/>
                              <w:rPr>
                                <w:sz w:val="24"/>
                                <w:szCs w:val="24"/>
                              </w:rPr>
                            </w:pPr>
                            <w:r>
                              <w:rPr>
                                <w:sz w:val="24"/>
                                <w:szCs w:val="24"/>
                                <w:rtl w:val="0"/>
                                <w:lang w:val="en-US"/>
                              </w:rPr>
                              <w:t>(25-17)/(4-11) = -1.14</w:t>
                            </w:r>
                          </w:p>
                          <w:p>
                            <w:pPr>
                              <w:pStyle w:val="Body"/>
                              <w:rPr>
                                <w:sz w:val="24"/>
                                <w:szCs w:val="24"/>
                              </w:rPr>
                            </w:pPr>
                            <w:r>
                              <w:rPr>
                                <w:sz w:val="24"/>
                                <w:szCs w:val="24"/>
                                <w:rtl w:val="0"/>
                                <w:lang w:val="en-US"/>
                              </w:rPr>
                              <w:t>(17-12)/(11-15) = -1.25</w:t>
                            </w:r>
                          </w:p>
                          <w:p>
                            <w:pPr>
                              <w:pStyle w:val="Body"/>
                              <w:rPr>
                                <w:sz w:val="24"/>
                                <w:szCs w:val="24"/>
                              </w:rPr>
                            </w:pPr>
                            <w:r>
                              <w:rPr>
                                <w:sz w:val="24"/>
                                <w:szCs w:val="24"/>
                                <w:rtl w:val="0"/>
                                <w:lang w:val="en-US"/>
                              </w:rPr>
                              <w:t>(12-7)/(15-18) = -1.67</w:t>
                            </w:r>
                          </w:p>
                          <w:p>
                            <w:pPr>
                              <w:pStyle w:val="Body"/>
                              <w:rPr>
                                <w:sz w:val="24"/>
                                <w:szCs w:val="24"/>
                              </w:rPr>
                            </w:pPr>
                            <w:r>
                              <w:rPr>
                                <w:sz w:val="24"/>
                                <w:szCs w:val="24"/>
                                <w:rtl w:val="0"/>
                              </w:rPr>
                              <w:t>(</w:t>
                            </w:r>
                            <w:r>
                              <w:rPr>
                                <w:sz w:val="24"/>
                                <w:szCs w:val="24"/>
                                <w:rtl w:val="0"/>
                                <w:lang w:val="en-US"/>
                              </w:rPr>
                              <w:t>7-0</w:t>
                            </w:r>
                            <w:r>
                              <w:rPr>
                                <w:sz w:val="24"/>
                                <w:szCs w:val="24"/>
                                <w:rtl w:val="0"/>
                              </w:rPr>
                              <w:t>)</w:t>
                            </w:r>
                            <w:r>
                              <w:rPr>
                                <w:sz w:val="24"/>
                                <w:szCs w:val="24"/>
                                <w:rtl w:val="0"/>
                                <w:lang w:val="en-US"/>
                              </w:rPr>
                              <w:t>/</w:t>
                            </w:r>
                            <w:r>
                              <w:rPr>
                                <w:sz w:val="24"/>
                                <w:szCs w:val="24"/>
                                <w:rtl w:val="0"/>
                              </w:rPr>
                              <w:t>(</w:t>
                            </w:r>
                            <w:r>
                              <w:rPr>
                                <w:sz w:val="24"/>
                                <w:szCs w:val="24"/>
                                <w:rtl w:val="0"/>
                                <w:lang w:val="en-US"/>
                              </w:rPr>
                              <w:t>18-21</w:t>
                            </w:r>
                            <w:r>
                              <w:rPr>
                                <w:sz w:val="24"/>
                                <w:szCs w:val="24"/>
                                <w:rtl w:val="0"/>
                              </w:rPr>
                              <w:t>)</w:t>
                            </w:r>
                            <w:r>
                              <w:rPr>
                                <w:sz w:val="24"/>
                                <w:szCs w:val="24"/>
                                <w:rtl w:val="0"/>
                                <w:lang w:val="en-US"/>
                              </w:rPr>
                              <w:t xml:space="preserve"> = -2.33</w:t>
                            </w:r>
                          </w:p>
                          <w:p>
                            <w:pPr>
                              <w:pStyle w:val="Body"/>
                              <w:rPr>
                                <w:sz w:val="24"/>
                                <w:szCs w:val="24"/>
                              </w:rPr>
                            </w:pPr>
                          </w:p>
                          <w:p>
                            <w:pPr>
                              <w:pStyle w:val="Body"/>
                              <w:rPr>
                                <w:sz w:val="24"/>
                                <w:szCs w:val="24"/>
                              </w:rPr>
                            </w:pPr>
                            <w:r>
                              <w:rPr>
                                <w:sz w:val="24"/>
                                <w:szCs w:val="24"/>
                                <w:rtl w:val="0"/>
                                <w:lang w:val="en-US"/>
                              </w:rPr>
                              <w:t>The Opportunity Cost of food in terms of clothing foregone is negative because the PPF represents scarcity. Finding the absolute value shows that the opportunity cost of food is rising when the production of food increases.</w:t>
                            </w:r>
                          </w:p>
                          <w:p>
                            <w:pPr>
                              <w:pStyle w:val="Body"/>
                              <w:rPr>
                                <w:sz w:val="24"/>
                                <w:szCs w:val="24"/>
                              </w:rPr>
                            </w:pPr>
                          </w:p>
                          <w:p>
                            <w:pPr>
                              <w:pStyle w:val="Body"/>
                              <w:rPr>
                                <w:sz w:val="24"/>
                                <w:szCs w:val="24"/>
                              </w:rPr>
                            </w:pPr>
                            <w:r>
                              <w:rPr>
                                <w:sz w:val="24"/>
                                <w:szCs w:val="24"/>
                                <w:rtl w:val="0"/>
                                <w:lang w:val="en-US"/>
                              </w:rPr>
                              <w:t>iii.</w:t>
                            </w:r>
                          </w:p>
                          <w:p>
                            <w:pPr>
                              <w:pStyle w:val="Body"/>
                              <w:rPr>
                                <w:sz w:val="24"/>
                                <w:szCs w:val="24"/>
                              </w:rPr>
                            </w:pPr>
                            <w:r>
                              <w:rPr>
                                <w:sz w:val="24"/>
                                <w:szCs w:val="24"/>
                                <w:rtl w:val="0"/>
                                <w:lang w:val="en-US"/>
                              </w:rPr>
                              <w:t>The Country</w:t>
                            </w:r>
                            <w:r>
                              <w:rPr>
                                <w:rFonts w:hAnsi="Helvetica" w:hint="default"/>
                                <w:sz w:val="24"/>
                                <w:szCs w:val="24"/>
                                <w:rtl w:val="0"/>
                                <w:lang w:val="en-US"/>
                              </w:rPr>
                              <w:t>’</w:t>
                            </w:r>
                            <w:r>
                              <w:rPr>
                                <w:sz w:val="24"/>
                                <w:szCs w:val="24"/>
                                <w:rtl w:val="0"/>
                                <w:lang w:val="en-US"/>
                              </w:rPr>
                              <w:t>s Production Possibilities Frontier shifts outward when they become better at producing food and so the country can reach new levels of consumption that were not possible before. The y axis value is higher meaning there is a higher output of food. The PPF has a similar slope until it reaches the end of the curve where food production reaches 0. The opportunity cost of food in terms of clothes foregone at this end of the PPF increases compared to the original PPF.</w:t>
                            </w:r>
                          </w:p>
                          <w:p>
                            <w:pPr>
                              <w:pStyle w:val="Body"/>
                              <w:rPr>
                                <w:sz w:val="24"/>
                                <w:szCs w:val="24"/>
                              </w:rPr>
                            </w:pPr>
                          </w:p>
                          <w:p>
                            <w:pPr>
                              <w:pStyle w:val="Body"/>
                              <w:rPr>
                                <w:sz w:val="24"/>
                                <w:szCs w:val="24"/>
                              </w:rPr>
                            </w:pPr>
                            <w:r>
                              <w:rPr>
                                <w:sz w:val="24"/>
                                <w:szCs w:val="24"/>
                                <w:rtl w:val="0"/>
                                <w:lang w:val="en-US"/>
                              </w:rPr>
                              <w:t xml:space="preserve">iv. </w:t>
                            </w:r>
                          </w:p>
                          <w:p>
                            <w:pPr>
                              <w:pStyle w:val="Body"/>
                            </w:pPr>
                            <w:r>
                              <w:rPr>
                                <w:sz w:val="24"/>
                                <w:szCs w:val="24"/>
                                <w:rtl w:val="0"/>
                                <w:lang w:val="en-US"/>
                              </w:rPr>
                              <w:t>If the country gets equally better at producing both goods, the new PPF will have the same slope as the original one, except for at both ends of the curve where the opportunity cost increases compared to the original PPF.</w:t>
                            </w:r>
                          </w:p>
                        </w:txbxContent>
                      </wps:txbx>
                      <wps:bodyPr wrap="square" lIns="50800" tIns="50800" rIns="50800" bIns="50800" numCol="1" anchor="t">
                        <a:noAutofit/>
                      </wps:bodyPr>
                    </wps:wsp>
                  </a:graphicData>
                </a:graphic>
              </wp:anchor>
            </w:drawing>
          </mc:Choice>
          <mc:Fallback>
            <w:pict>
              <v:rect id="_x0000_s1028" style="visibility:visible;position:absolute;margin-left:-16.5pt;margin-top:44.0pt;width:250.0pt;height:618.9pt;z-index:251661312;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numPr>
                          <w:ilvl w:val="0"/>
                          <w:numId w:val="3"/>
                        </w:numPr>
                        <w:ind w:left="360"/>
                        <w:rPr>
                          <w:b w:val="1"/>
                          <w:bCs w:val="1"/>
                          <w:position w:val="0"/>
                          <w:sz w:val="24"/>
                          <w:szCs w:val="24"/>
                          <w:u w:val="single"/>
                        </w:rPr>
                      </w:pPr>
                      <w:r>
                        <w:rPr>
                          <w:b w:val="1"/>
                          <w:bCs w:val="1"/>
                          <w:sz w:val="24"/>
                          <w:szCs w:val="24"/>
                          <w:u w:val="single"/>
                          <w:rtl w:val="0"/>
                          <w:lang w:val="en-US"/>
                        </w:rPr>
                        <w:t>Trade and Specialization</w:t>
                      </w:r>
                    </w:p>
                    <w:p>
                      <w:pPr>
                        <w:pStyle w:val="Body"/>
                        <w:rPr>
                          <w:sz w:val="24"/>
                          <w:szCs w:val="24"/>
                        </w:rPr>
                      </w:pPr>
                      <w:r>
                        <w:rPr>
                          <w:b w:val="1"/>
                          <w:bCs w:val="1"/>
                          <w:sz w:val="24"/>
                          <w:szCs w:val="24"/>
                          <w:u w:val="single"/>
                          <w:rtl w:val="0"/>
                          <w:lang w:val="en-US"/>
                        </w:rPr>
                        <w:t>a</w:t>
                      </w:r>
                      <w:r>
                        <w:rPr>
                          <w:sz w:val="24"/>
                          <w:szCs w:val="24"/>
                          <w:rtl w:val="0"/>
                          <w:lang w:val="en-US"/>
                        </w:rPr>
                        <w:t>.</w:t>
                      </w:r>
                    </w:p>
                    <w:p>
                      <w:pPr>
                        <w:pStyle w:val="Body"/>
                        <w:rPr>
                          <w:sz w:val="24"/>
                          <w:szCs w:val="24"/>
                        </w:rPr>
                      </w:pPr>
                      <w:r>
                        <w:rPr>
                          <w:sz w:val="24"/>
                          <w:szCs w:val="24"/>
                          <w:rtl w:val="0"/>
                          <w:lang w:val="en-US"/>
                        </w:rPr>
                        <w:t xml:space="preserve">ii. </w:t>
                      </w:r>
                    </w:p>
                    <w:p>
                      <w:pPr>
                        <w:pStyle w:val="Body"/>
                        <w:rPr>
                          <w:sz w:val="24"/>
                          <w:szCs w:val="24"/>
                        </w:rPr>
                      </w:pPr>
                      <w:r>
                        <w:rPr>
                          <w:sz w:val="24"/>
                          <w:szCs w:val="24"/>
                          <w:rtl w:val="0"/>
                          <w:lang w:val="en-US"/>
                        </w:rPr>
                        <w:t>(28-25)/(</w:t>
                      </w:r>
                      <w:r>
                        <w:rPr>
                          <w:sz w:val="24"/>
                          <w:szCs w:val="24"/>
                          <w:rtl w:val="0"/>
                        </w:rPr>
                        <w:t>0-</w:t>
                      </w:r>
                      <w:r>
                        <w:rPr>
                          <w:sz w:val="24"/>
                          <w:szCs w:val="24"/>
                          <w:rtl w:val="0"/>
                          <w:lang w:val="en-US"/>
                        </w:rPr>
                        <w:t>4) = -0.75</w:t>
                      </w:r>
                    </w:p>
                    <w:p>
                      <w:pPr>
                        <w:pStyle w:val="Body"/>
                        <w:rPr>
                          <w:sz w:val="24"/>
                          <w:szCs w:val="24"/>
                        </w:rPr>
                      </w:pPr>
                      <w:r>
                        <w:rPr>
                          <w:sz w:val="24"/>
                          <w:szCs w:val="24"/>
                          <w:rtl w:val="0"/>
                          <w:lang w:val="en-US"/>
                        </w:rPr>
                        <w:t>(25-17)/(4-11) = -1.14</w:t>
                      </w:r>
                    </w:p>
                    <w:p>
                      <w:pPr>
                        <w:pStyle w:val="Body"/>
                        <w:rPr>
                          <w:sz w:val="24"/>
                          <w:szCs w:val="24"/>
                        </w:rPr>
                      </w:pPr>
                      <w:r>
                        <w:rPr>
                          <w:sz w:val="24"/>
                          <w:szCs w:val="24"/>
                          <w:rtl w:val="0"/>
                          <w:lang w:val="en-US"/>
                        </w:rPr>
                        <w:t>(17-12)/(11-15) = -1.25</w:t>
                      </w:r>
                    </w:p>
                    <w:p>
                      <w:pPr>
                        <w:pStyle w:val="Body"/>
                        <w:rPr>
                          <w:sz w:val="24"/>
                          <w:szCs w:val="24"/>
                        </w:rPr>
                      </w:pPr>
                      <w:r>
                        <w:rPr>
                          <w:sz w:val="24"/>
                          <w:szCs w:val="24"/>
                          <w:rtl w:val="0"/>
                          <w:lang w:val="en-US"/>
                        </w:rPr>
                        <w:t>(12-7)/(15-18) = -1.67</w:t>
                      </w:r>
                    </w:p>
                    <w:p>
                      <w:pPr>
                        <w:pStyle w:val="Body"/>
                        <w:rPr>
                          <w:sz w:val="24"/>
                          <w:szCs w:val="24"/>
                        </w:rPr>
                      </w:pPr>
                      <w:r>
                        <w:rPr>
                          <w:sz w:val="24"/>
                          <w:szCs w:val="24"/>
                          <w:rtl w:val="0"/>
                        </w:rPr>
                        <w:t>(</w:t>
                      </w:r>
                      <w:r>
                        <w:rPr>
                          <w:sz w:val="24"/>
                          <w:szCs w:val="24"/>
                          <w:rtl w:val="0"/>
                          <w:lang w:val="en-US"/>
                        </w:rPr>
                        <w:t>7-0</w:t>
                      </w:r>
                      <w:r>
                        <w:rPr>
                          <w:sz w:val="24"/>
                          <w:szCs w:val="24"/>
                          <w:rtl w:val="0"/>
                        </w:rPr>
                        <w:t>)</w:t>
                      </w:r>
                      <w:r>
                        <w:rPr>
                          <w:sz w:val="24"/>
                          <w:szCs w:val="24"/>
                          <w:rtl w:val="0"/>
                          <w:lang w:val="en-US"/>
                        </w:rPr>
                        <w:t>/</w:t>
                      </w:r>
                      <w:r>
                        <w:rPr>
                          <w:sz w:val="24"/>
                          <w:szCs w:val="24"/>
                          <w:rtl w:val="0"/>
                        </w:rPr>
                        <w:t>(</w:t>
                      </w:r>
                      <w:r>
                        <w:rPr>
                          <w:sz w:val="24"/>
                          <w:szCs w:val="24"/>
                          <w:rtl w:val="0"/>
                          <w:lang w:val="en-US"/>
                        </w:rPr>
                        <w:t>18-21</w:t>
                      </w:r>
                      <w:r>
                        <w:rPr>
                          <w:sz w:val="24"/>
                          <w:szCs w:val="24"/>
                          <w:rtl w:val="0"/>
                        </w:rPr>
                        <w:t>)</w:t>
                      </w:r>
                      <w:r>
                        <w:rPr>
                          <w:sz w:val="24"/>
                          <w:szCs w:val="24"/>
                          <w:rtl w:val="0"/>
                          <w:lang w:val="en-US"/>
                        </w:rPr>
                        <w:t xml:space="preserve"> = -2.33</w:t>
                      </w:r>
                    </w:p>
                    <w:p>
                      <w:pPr>
                        <w:pStyle w:val="Body"/>
                        <w:rPr>
                          <w:sz w:val="24"/>
                          <w:szCs w:val="24"/>
                        </w:rPr>
                      </w:pPr>
                    </w:p>
                    <w:p>
                      <w:pPr>
                        <w:pStyle w:val="Body"/>
                        <w:rPr>
                          <w:sz w:val="24"/>
                          <w:szCs w:val="24"/>
                        </w:rPr>
                      </w:pPr>
                      <w:r>
                        <w:rPr>
                          <w:sz w:val="24"/>
                          <w:szCs w:val="24"/>
                          <w:rtl w:val="0"/>
                          <w:lang w:val="en-US"/>
                        </w:rPr>
                        <w:t>The Opportunity Cost of food in terms of clothing foregone is negative because the PPF represents scarcity. Finding the absolute value shows that the opportunity cost of food is rising when the production of food increases.</w:t>
                      </w:r>
                    </w:p>
                    <w:p>
                      <w:pPr>
                        <w:pStyle w:val="Body"/>
                        <w:rPr>
                          <w:sz w:val="24"/>
                          <w:szCs w:val="24"/>
                        </w:rPr>
                      </w:pPr>
                    </w:p>
                    <w:p>
                      <w:pPr>
                        <w:pStyle w:val="Body"/>
                        <w:rPr>
                          <w:sz w:val="24"/>
                          <w:szCs w:val="24"/>
                        </w:rPr>
                      </w:pPr>
                      <w:r>
                        <w:rPr>
                          <w:sz w:val="24"/>
                          <w:szCs w:val="24"/>
                          <w:rtl w:val="0"/>
                          <w:lang w:val="en-US"/>
                        </w:rPr>
                        <w:t>iii.</w:t>
                      </w:r>
                    </w:p>
                    <w:p>
                      <w:pPr>
                        <w:pStyle w:val="Body"/>
                        <w:rPr>
                          <w:sz w:val="24"/>
                          <w:szCs w:val="24"/>
                        </w:rPr>
                      </w:pPr>
                      <w:r>
                        <w:rPr>
                          <w:sz w:val="24"/>
                          <w:szCs w:val="24"/>
                          <w:rtl w:val="0"/>
                          <w:lang w:val="en-US"/>
                        </w:rPr>
                        <w:t>The Country</w:t>
                      </w:r>
                      <w:r>
                        <w:rPr>
                          <w:rFonts w:hAnsi="Helvetica" w:hint="default"/>
                          <w:sz w:val="24"/>
                          <w:szCs w:val="24"/>
                          <w:rtl w:val="0"/>
                          <w:lang w:val="en-US"/>
                        </w:rPr>
                        <w:t>’</w:t>
                      </w:r>
                      <w:r>
                        <w:rPr>
                          <w:sz w:val="24"/>
                          <w:szCs w:val="24"/>
                          <w:rtl w:val="0"/>
                          <w:lang w:val="en-US"/>
                        </w:rPr>
                        <w:t>s Production Possibilities Frontier shifts outward when they become better at producing food and so the country can reach new levels of consumption that were not possible before. The y axis value is higher meaning there is a higher output of food. The PPF has a similar slope until it reaches the end of the curve where food production reaches 0. The opportunity cost of food in terms of clothes foregone at this end of the PPF increases compared to the original PPF.</w:t>
                      </w:r>
                    </w:p>
                    <w:p>
                      <w:pPr>
                        <w:pStyle w:val="Body"/>
                        <w:rPr>
                          <w:sz w:val="24"/>
                          <w:szCs w:val="24"/>
                        </w:rPr>
                      </w:pPr>
                    </w:p>
                    <w:p>
                      <w:pPr>
                        <w:pStyle w:val="Body"/>
                        <w:rPr>
                          <w:sz w:val="24"/>
                          <w:szCs w:val="24"/>
                        </w:rPr>
                      </w:pPr>
                      <w:r>
                        <w:rPr>
                          <w:sz w:val="24"/>
                          <w:szCs w:val="24"/>
                          <w:rtl w:val="0"/>
                          <w:lang w:val="en-US"/>
                        </w:rPr>
                        <w:t xml:space="preserve">iv. </w:t>
                      </w:r>
                    </w:p>
                    <w:p>
                      <w:pPr>
                        <w:pStyle w:val="Body"/>
                      </w:pPr>
                      <w:r>
                        <w:rPr>
                          <w:sz w:val="24"/>
                          <w:szCs w:val="24"/>
                          <w:rtl w:val="0"/>
                          <w:lang w:val="en-US"/>
                        </w:rPr>
                        <w:t>If the country gets equally better at producing both goods, the new PPF will have the same slope as the original one, except for at both ends of the curve where the opportunity cost increases compared to the original PPF.</w:t>
                      </w:r>
                    </w:p>
                  </w:txbxContent>
                </v:textbox>
                <w10:wrap type="through" side="bothSides" anchorx="margin"/>
              </v:rect>
            </w:pict>
          </mc:Fallback>
        </mc:AlternateContent>
      </w:r>
    </w:p>
    <w:sectPr>
      <w:headerReference w:type="default" r:id="rId6"/>
      <w:footerReference w:type="default" r:id="rId7"/>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multilevel"/>
    <w:lvl w:ilvl="0">
      <w:start w:val="1"/>
      <w:numFmt w:val="decimal"/>
      <w:suff w:val="tab"/>
      <w:lvlText w:val="%1."/>
      <w:lvlJc w:val="left"/>
      <w:pPr>
        <w:tabs>
          <w:tab w:val="num" w:pos="360"/>
          <w:tab w:val="clear" w:pos="0"/>
        </w:tabs>
        <w:ind w:left="360" w:hanging="360"/>
      </w:pPr>
      <w:rPr>
        <w:b w:val="1"/>
        <w:bCs w:val="1"/>
        <w:position w:val="0"/>
        <w:sz w:val="24"/>
        <w:szCs w:val="24"/>
        <w:u w:val="single"/>
      </w:rPr>
    </w:lvl>
    <w:lvl w:ilvl="1">
      <w:start w:val="1"/>
      <w:numFmt w:val="decimal"/>
      <w:suff w:val="tab"/>
      <w:lvlText w:val="%2."/>
      <w:lvlJc w:val="left"/>
      <w:pPr>
        <w:tabs>
          <w:tab w:val="num" w:pos="753"/>
          <w:tab w:val="clear" w:pos="0"/>
        </w:tabs>
        <w:ind w:left="753" w:hanging="393"/>
      </w:pPr>
      <w:rPr>
        <w:b w:val="1"/>
        <w:bCs w:val="1"/>
        <w:position w:val="0"/>
        <w:sz w:val="24"/>
        <w:szCs w:val="24"/>
        <w:u w:val="single"/>
      </w:rPr>
    </w:lvl>
    <w:lvl w:ilvl="2">
      <w:start w:val="1"/>
      <w:numFmt w:val="decimal"/>
      <w:suff w:val="tab"/>
      <w:lvlText w:val="%3."/>
      <w:lvlJc w:val="left"/>
      <w:pPr>
        <w:tabs>
          <w:tab w:val="num" w:pos="1113"/>
          <w:tab w:val="clear" w:pos="0"/>
        </w:tabs>
        <w:ind w:left="1113" w:hanging="393"/>
      </w:pPr>
      <w:rPr>
        <w:b w:val="1"/>
        <w:bCs w:val="1"/>
        <w:position w:val="0"/>
        <w:sz w:val="24"/>
        <w:szCs w:val="24"/>
        <w:u w:val="single"/>
      </w:rPr>
    </w:lvl>
    <w:lvl w:ilvl="3">
      <w:start w:val="1"/>
      <w:numFmt w:val="decimal"/>
      <w:suff w:val="tab"/>
      <w:lvlText w:val="%4."/>
      <w:lvlJc w:val="left"/>
      <w:pPr>
        <w:tabs>
          <w:tab w:val="num" w:pos="1473"/>
          <w:tab w:val="clear" w:pos="0"/>
        </w:tabs>
        <w:ind w:left="1473" w:hanging="393"/>
      </w:pPr>
      <w:rPr>
        <w:b w:val="1"/>
        <w:bCs w:val="1"/>
        <w:position w:val="0"/>
        <w:sz w:val="24"/>
        <w:szCs w:val="24"/>
        <w:u w:val="single"/>
      </w:rPr>
    </w:lvl>
    <w:lvl w:ilvl="4">
      <w:start w:val="1"/>
      <w:numFmt w:val="decimal"/>
      <w:suff w:val="tab"/>
      <w:lvlText w:val="%5."/>
      <w:lvlJc w:val="left"/>
      <w:pPr>
        <w:tabs>
          <w:tab w:val="num" w:pos="1833"/>
          <w:tab w:val="clear" w:pos="0"/>
        </w:tabs>
        <w:ind w:left="1833" w:hanging="393"/>
      </w:pPr>
      <w:rPr>
        <w:b w:val="1"/>
        <w:bCs w:val="1"/>
        <w:position w:val="0"/>
        <w:sz w:val="24"/>
        <w:szCs w:val="24"/>
        <w:u w:val="single"/>
      </w:rPr>
    </w:lvl>
    <w:lvl w:ilvl="5">
      <w:start w:val="1"/>
      <w:numFmt w:val="decimal"/>
      <w:suff w:val="tab"/>
      <w:lvlText w:val="%6."/>
      <w:lvlJc w:val="left"/>
      <w:pPr>
        <w:tabs>
          <w:tab w:val="num" w:pos="2193"/>
          <w:tab w:val="clear" w:pos="0"/>
        </w:tabs>
        <w:ind w:left="2193" w:hanging="393"/>
      </w:pPr>
      <w:rPr>
        <w:b w:val="1"/>
        <w:bCs w:val="1"/>
        <w:position w:val="0"/>
        <w:sz w:val="24"/>
        <w:szCs w:val="24"/>
        <w:u w:val="single"/>
      </w:rPr>
    </w:lvl>
    <w:lvl w:ilvl="6">
      <w:start w:val="1"/>
      <w:numFmt w:val="decimal"/>
      <w:suff w:val="tab"/>
      <w:lvlText w:val="%7."/>
      <w:lvlJc w:val="left"/>
      <w:pPr>
        <w:tabs>
          <w:tab w:val="num" w:pos="2553"/>
          <w:tab w:val="clear" w:pos="0"/>
        </w:tabs>
        <w:ind w:left="2553" w:hanging="393"/>
      </w:pPr>
      <w:rPr>
        <w:b w:val="1"/>
        <w:bCs w:val="1"/>
        <w:position w:val="0"/>
        <w:sz w:val="24"/>
        <w:szCs w:val="24"/>
        <w:u w:val="single"/>
      </w:rPr>
    </w:lvl>
    <w:lvl w:ilvl="7">
      <w:start w:val="1"/>
      <w:numFmt w:val="decimal"/>
      <w:suff w:val="tab"/>
      <w:lvlText w:val="%8."/>
      <w:lvlJc w:val="left"/>
      <w:pPr>
        <w:tabs>
          <w:tab w:val="num" w:pos="2913"/>
          <w:tab w:val="clear" w:pos="0"/>
        </w:tabs>
        <w:ind w:left="2913" w:hanging="393"/>
      </w:pPr>
      <w:rPr>
        <w:b w:val="1"/>
        <w:bCs w:val="1"/>
        <w:position w:val="0"/>
        <w:sz w:val="24"/>
        <w:szCs w:val="24"/>
        <w:u w:val="single"/>
      </w:rPr>
    </w:lvl>
    <w:lvl w:ilvl="8">
      <w:start w:val="1"/>
      <w:numFmt w:val="decimal"/>
      <w:suff w:val="tab"/>
      <w:lvlText w:val="%9."/>
      <w:lvlJc w:val="left"/>
      <w:pPr>
        <w:tabs>
          <w:tab w:val="num" w:pos="3273"/>
          <w:tab w:val="clear" w:pos="0"/>
        </w:tabs>
        <w:ind w:left="3273" w:hanging="393"/>
      </w:pPr>
      <w:rPr>
        <w:b w:val="1"/>
        <w:bCs w:val="1"/>
        <w:position w:val="0"/>
        <w:sz w:val="24"/>
        <w:szCs w:val="24"/>
        <w:u w:val="single"/>
      </w:rPr>
    </w:lvl>
  </w:abstractNum>
  <w:abstractNum w:abstractNumId="1">
    <w:multiLevelType w:val="multilevel"/>
    <w:lvl w:ilvl="0">
      <w:start w:val="1"/>
      <w:numFmt w:val="decimal"/>
      <w:suff w:val="tab"/>
      <w:lvlText w:val="%1."/>
      <w:lvlJc w:val="left"/>
      <w:pPr>
        <w:tabs>
          <w:tab w:val="num" w:pos="360"/>
          <w:tab w:val="clear" w:pos="0"/>
        </w:tabs>
        <w:ind w:left="3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decimal"/>
      <w:suff w:val="tab"/>
      <w:lvlText w:val="%2."/>
      <w:lvlJc w:val="left"/>
      <w:pPr>
        <w:tabs>
          <w:tab w:val="num" w:pos="720"/>
          <w:tab w:val="clear" w:pos="0"/>
        </w:tabs>
        <w:ind w:left="7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decimal"/>
      <w:suff w:val="tab"/>
      <w:lvlText w:val="%3."/>
      <w:lvlJc w:val="left"/>
      <w:pPr>
        <w:tabs>
          <w:tab w:val="num" w:pos="1080"/>
          <w:tab w:val="clear" w:pos="0"/>
        </w:tabs>
        <w:ind w:left="10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decimal"/>
      <w:suff w:val="tab"/>
      <w:lvlText w:val="%4."/>
      <w:lvlJc w:val="left"/>
      <w:pPr>
        <w:tabs>
          <w:tab w:val="num" w:pos="1440"/>
          <w:tab w:val="clear" w:pos="0"/>
        </w:tabs>
        <w:ind w:left="14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decimal"/>
      <w:suff w:val="tab"/>
      <w:lvlText w:val="%5."/>
      <w:lvlJc w:val="left"/>
      <w:pPr>
        <w:tabs>
          <w:tab w:val="num" w:pos="1800"/>
          <w:tab w:val="clear" w:pos="0"/>
        </w:tabs>
        <w:ind w:left="180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decimal"/>
      <w:suff w:val="tab"/>
      <w:lvlText w:val="%6."/>
      <w:lvlJc w:val="left"/>
      <w:pPr>
        <w:tabs>
          <w:tab w:val="num" w:pos="2160"/>
          <w:tab w:val="clear" w:pos="0"/>
        </w:tabs>
        <w:ind w:left="216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decimal"/>
      <w:suff w:val="tab"/>
      <w:lvlText w:val="%7."/>
      <w:lvlJc w:val="left"/>
      <w:pPr>
        <w:tabs>
          <w:tab w:val="num" w:pos="2520"/>
          <w:tab w:val="clear" w:pos="0"/>
        </w:tabs>
        <w:ind w:left="252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decimal"/>
      <w:suff w:val="tab"/>
      <w:lvlText w:val="%8."/>
      <w:lvlJc w:val="left"/>
      <w:pPr>
        <w:tabs>
          <w:tab w:val="num" w:pos="2880"/>
          <w:tab w:val="clear" w:pos="0"/>
        </w:tabs>
        <w:ind w:left="288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decimal"/>
      <w:suff w:val="tab"/>
      <w:lvlText w:val="%9."/>
      <w:lvlJc w:val="left"/>
      <w:pPr>
        <w:tabs>
          <w:tab w:val="num" w:pos="3240"/>
          <w:tab w:val="clear" w:pos="0"/>
        </w:tabs>
        <w:ind w:left="3240" w:hanging="3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
    <w:multiLevelType w:val="multilevel"/>
    <w:styleLink w:val="List 0"/>
    <w:lvl w:ilvl="0">
      <w:start w:val="1"/>
      <w:numFmt w:val="decimal"/>
      <w:suff w:val="tab"/>
      <w:lvlText w:val="%1."/>
      <w:lvlJc w:val="left"/>
      <w:pPr>
        <w:tabs>
          <w:tab w:val="num" w:pos="360"/>
          <w:tab w:val="clear" w:pos="0"/>
        </w:tabs>
        <w:ind w:left="360" w:hanging="360"/>
      </w:pPr>
      <w:rPr>
        <w:b w:val="1"/>
        <w:bCs w:val="1"/>
        <w:position w:val="0"/>
        <w:sz w:val="24"/>
        <w:szCs w:val="24"/>
        <w:u w:val="single"/>
      </w:rPr>
    </w:lvl>
    <w:lvl w:ilvl="1">
      <w:start w:val="1"/>
      <w:numFmt w:val="decimal"/>
      <w:suff w:val="tab"/>
      <w:lvlText w:val="%2."/>
      <w:lvlJc w:val="left"/>
      <w:pPr>
        <w:tabs>
          <w:tab w:val="num" w:pos="753"/>
          <w:tab w:val="clear" w:pos="0"/>
        </w:tabs>
        <w:ind w:left="753" w:hanging="393"/>
      </w:pPr>
      <w:rPr>
        <w:b w:val="1"/>
        <w:bCs w:val="1"/>
        <w:position w:val="0"/>
        <w:sz w:val="24"/>
        <w:szCs w:val="24"/>
        <w:u w:val="single"/>
      </w:rPr>
    </w:lvl>
    <w:lvl w:ilvl="2">
      <w:start w:val="1"/>
      <w:numFmt w:val="decimal"/>
      <w:suff w:val="tab"/>
      <w:lvlText w:val="%3."/>
      <w:lvlJc w:val="left"/>
      <w:pPr>
        <w:tabs>
          <w:tab w:val="num" w:pos="1113"/>
          <w:tab w:val="clear" w:pos="0"/>
        </w:tabs>
        <w:ind w:left="1113" w:hanging="393"/>
      </w:pPr>
      <w:rPr>
        <w:b w:val="1"/>
        <w:bCs w:val="1"/>
        <w:position w:val="0"/>
        <w:sz w:val="24"/>
        <w:szCs w:val="24"/>
        <w:u w:val="single"/>
      </w:rPr>
    </w:lvl>
    <w:lvl w:ilvl="3">
      <w:start w:val="1"/>
      <w:numFmt w:val="decimal"/>
      <w:suff w:val="tab"/>
      <w:lvlText w:val="%4."/>
      <w:lvlJc w:val="left"/>
      <w:pPr>
        <w:tabs>
          <w:tab w:val="num" w:pos="1473"/>
          <w:tab w:val="clear" w:pos="0"/>
        </w:tabs>
        <w:ind w:left="1473" w:hanging="393"/>
      </w:pPr>
      <w:rPr>
        <w:b w:val="1"/>
        <w:bCs w:val="1"/>
        <w:position w:val="0"/>
        <w:sz w:val="24"/>
        <w:szCs w:val="24"/>
        <w:u w:val="single"/>
      </w:rPr>
    </w:lvl>
    <w:lvl w:ilvl="4">
      <w:start w:val="1"/>
      <w:numFmt w:val="decimal"/>
      <w:suff w:val="tab"/>
      <w:lvlText w:val="%5."/>
      <w:lvlJc w:val="left"/>
      <w:pPr>
        <w:tabs>
          <w:tab w:val="num" w:pos="1833"/>
          <w:tab w:val="clear" w:pos="0"/>
        </w:tabs>
        <w:ind w:left="1833" w:hanging="393"/>
      </w:pPr>
      <w:rPr>
        <w:b w:val="1"/>
        <w:bCs w:val="1"/>
        <w:position w:val="0"/>
        <w:sz w:val="24"/>
        <w:szCs w:val="24"/>
        <w:u w:val="single"/>
      </w:rPr>
    </w:lvl>
    <w:lvl w:ilvl="5">
      <w:start w:val="1"/>
      <w:numFmt w:val="decimal"/>
      <w:suff w:val="tab"/>
      <w:lvlText w:val="%6."/>
      <w:lvlJc w:val="left"/>
      <w:pPr>
        <w:tabs>
          <w:tab w:val="num" w:pos="2193"/>
          <w:tab w:val="clear" w:pos="0"/>
        </w:tabs>
        <w:ind w:left="2193" w:hanging="393"/>
      </w:pPr>
      <w:rPr>
        <w:b w:val="1"/>
        <w:bCs w:val="1"/>
        <w:position w:val="0"/>
        <w:sz w:val="24"/>
        <w:szCs w:val="24"/>
        <w:u w:val="single"/>
      </w:rPr>
    </w:lvl>
    <w:lvl w:ilvl="6">
      <w:start w:val="1"/>
      <w:numFmt w:val="decimal"/>
      <w:suff w:val="tab"/>
      <w:lvlText w:val="%7."/>
      <w:lvlJc w:val="left"/>
      <w:pPr>
        <w:tabs>
          <w:tab w:val="num" w:pos="2553"/>
          <w:tab w:val="clear" w:pos="0"/>
        </w:tabs>
        <w:ind w:left="2553" w:hanging="393"/>
      </w:pPr>
      <w:rPr>
        <w:b w:val="1"/>
        <w:bCs w:val="1"/>
        <w:position w:val="0"/>
        <w:sz w:val="24"/>
        <w:szCs w:val="24"/>
        <w:u w:val="single"/>
      </w:rPr>
    </w:lvl>
    <w:lvl w:ilvl="7">
      <w:start w:val="1"/>
      <w:numFmt w:val="decimal"/>
      <w:suff w:val="tab"/>
      <w:lvlText w:val="%8."/>
      <w:lvlJc w:val="left"/>
      <w:pPr>
        <w:tabs>
          <w:tab w:val="num" w:pos="2913"/>
          <w:tab w:val="clear" w:pos="0"/>
        </w:tabs>
        <w:ind w:left="2913" w:hanging="393"/>
      </w:pPr>
      <w:rPr>
        <w:b w:val="1"/>
        <w:bCs w:val="1"/>
        <w:position w:val="0"/>
        <w:sz w:val="24"/>
        <w:szCs w:val="24"/>
        <w:u w:val="single"/>
      </w:rPr>
    </w:lvl>
    <w:lvl w:ilvl="8">
      <w:start w:val="1"/>
      <w:numFmt w:val="decimal"/>
      <w:suff w:val="tab"/>
      <w:lvlText w:val="%9."/>
      <w:lvlJc w:val="left"/>
      <w:pPr>
        <w:tabs>
          <w:tab w:val="num" w:pos="3273"/>
          <w:tab w:val="clear" w:pos="0"/>
        </w:tabs>
        <w:ind w:left="3273" w:hanging="393"/>
      </w:pPr>
      <w:rPr>
        <w:b w:val="1"/>
        <w:bCs w:val="1"/>
        <w:position w:val="0"/>
        <w:sz w:val="24"/>
        <w:szCs w:val="24"/>
        <w:u w:val="single"/>
      </w:rPr>
    </w:lvl>
  </w:abstractNum>
  <w:num w:numId="1">
    <w:abstractNumId w:val="0"/>
  </w:num>
  <w:num w:numId="2">
    <w:abstractNumId w:val="1"/>
  </w:num>
  <w:num w:numId="3">
    <w:abstractNumId w:val="2"/>
  </w:num>
</w:numbering>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numbering" w:styleId="List 0">
    <w:name w:val="List 0"/>
    <w:basedOn w:val="Numbered"/>
    <w:next w:val="List 0"/>
    <w:pPr>
      <w:numPr>
        <w:numId w:val="1"/>
      </w:numPr>
    </w:pPr>
  </w:style>
  <w:style w:type="numbering" w:styleId="Numbered">
    <w:name w:val="Numbered"/>
    <w:next w:val="Numbered"/>
    <w:pPr>
      <w:numPr>
        <w:numId w:val="2"/>
      </w:numPr>
    </w:pPr>
  </w:style>
  <w:style w:type="paragraph" w:styleId="Table Style 1">
    <w:name w:val="Table Style 1"/>
    <w:next w:val="Table Style 1"/>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1"/>
      <w:bCs w:val="1"/>
      <w:i w:val="0"/>
      <w:iCs w:val="0"/>
      <w:caps w:val="0"/>
      <w:smallCaps w:val="0"/>
      <w:strike w:val="0"/>
      <w:dstrike w:val="0"/>
      <w:outline w:val="0"/>
      <w:color w:val="000000"/>
      <w:spacing w:val="0"/>
      <w:kern w:val="0"/>
      <w:position w:val="0"/>
      <w:sz w:val="20"/>
      <w:szCs w:val="20"/>
      <w:u w:val="none"/>
      <w:vertAlign w:val="baseline"/>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chart" Target="charts/chart1.xml"/><Relationship Id="rId5" Type="http://schemas.openxmlformats.org/officeDocument/2006/relationships/chart" Target="charts/chart2.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numbering" Target="numbering.xml"/><Relationship Id="rId9" Type="http://schemas.openxmlformats.org/officeDocument/2006/relationships/theme" Target="theme/theme1.xml"/></Relationships>

</file>

<file path=word/charts/_rels/chart1.xml.rels><?xml version="1.0" encoding="UTF-8" standalone="yes"?><Relationships xmlns="http://schemas.openxmlformats.org/package/2006/relationships"><Relationship Id="rId1" Type="http://schemas.openxmlformats.org/officeDocument/2006/relationships/package" Target="../embeddings/Microsoft_Excel_Sheet1.xlsx"/></Relationships>

</file>

<file path=word/charts/_rels/chart2.xml.rels><?xml version="1.0" encoding="UTF-8" standalone="yes"?><Relationships xmlns="http://schemas.openxmlformats.org/package/2006/relationships"><Relationship Id="rId1" Type="http://schemas.openxmlformats.org/officeDocument/2006/relationships/package" Target="../embeddings/Microsoft_Excel_Sheet2.xlsx"/></Relationships>

</file>

<file path=word/charts/chart1.xml><?xml version="1.0" encoding="utf-8"?>
<c:chartSpace xmlns:c="http://schemas.openxmlformats.org/drawingml/2006/chart" xmlns:a="http://schemas.openxmlformats.org/drawingml/2006/main" xmlns:r="http://schemas.openxmlformats.org/officeDocument/2006/relationships">
  <c:date1904 val="1"/>
  <c:roundedCorners val="0"/>
  <c:chart>
    <c:title>
      <c:tx>
        <c:rich>
          <a:bodyPr rot="0"/>
          <a:lstStyle/>
          <a:p>
            <a:pPr lvl="0"/>
          </a:p>
        </c:rich>
      </c:tx>
      <c:layout/>
      <c:overlay val="1"/>
    </c:title>
    <c:autoTitleDeleted val="1"/>
    <c:plotArea>
      <c:layout>
        <c:manualLayout>
          <c:layoutTarget val="inner"/>
          <c:xMode val="edge"/>
          <c:yMode val="edge"/>
          <c:x val="0.12678"/>
          <c:y val="0.0409556"/>
          <c:w val="0.823721"/>
          <c:h val="0.828797"/>
        </c:manualLayout>
      </c:layout>
      <c:scatterChart>
        <c:scatterStyle val="lineMarker"/>
        <c:varyColors val="0"/>
        <c:ser>
          <c:idx val="0"/>
          <c:order val="0"/>
          <c:tx>
            <c:strRef>
              <c:f>Sheet1!$B$1</c:f>
              <c:strCache>
                <c:pt idx="0">
                  <c:v>Output of food</c:v>
                </c:pt>
              </c:strCache>
            </c:strRef>
          </c:tx>
          <c:spPr>
            <a:solidFill>
              <a:srgbClr val="FFFFFF"/>
            </a:solidFill>
            <a:ln w="12700" cap="flat">
              <a:solidFill>
                <a:srgbClr val="51A7F9"/>
              </a:solidFill>
              <a:prstDash val="solid"/>
              <a:miter lim="400000"/>
            </a:ln>
            <a:effectLst/>
          </c:spPr>
          <c:marker>
            <c:symbol val="circle"/>
            <c:size val="8"/>
            <c:spPr>
              <a:solidFill>
                <a:srgbClr val="FFFFFF"/>
              </a:solidFill>
              <a:ln w="25400" cap="flat">
                <a:solidFill>
                  <a:srgbClr val="51A7F9"/>
                </a:solidFill>
                <a:prstDash val="solid"/>
                <a:miter lim="400000"/>
              </a:ln>
              <a:effectLst/>
            </c:spPr>
          </c:marker>
          <c:dLbls>
            <c:numFmt formatCode="General" sourceLinked="0"/>
            <c:txPr>
              <a:bodyPr/>
              <a:lstStyle/>
              <a:p>
                <a:pPr lvl="0">
                  <a:defRPr b="0" i="0" strike="noStrike" sz="1200" u="none">
                    <a:solidFill>
                      <a:srgbClr val="FFFFFF"/>
                    </a:solidFill>
                    <a:effectLst>
                      <a:outerShdw sx="100000" sy="100000" kx="0" ky="0" algn="b" rotWithShape="0" blurRad="0" dist="38100" dir="2700000">
                        <a:srgbClr val="000000"/>
                      </a:outerShdw>
                    </a:effectLst>
                    <a:latin typeface="Helvetica"/>
                  </a:defRPr>
                </a:pPr>
                <a:r>
                  <a:rPr b="0" i="0" strike="noStrike" sz="1200" u="none">
                    <a:solidFill>
                      <a:srgbClr val="FFFFFF"/>
                    </a:solidFill>
                    <a:effectLst>
                      <a:outerShdw sx="100000" sy="100000" kx="0" ky="0" algn="b" rotWithShape="0" blurRad="0" dist="38100" dir="2700000">
                        <a:srgbClr val="000000"/>
                      </a:outerShdw>
                    </a:effectLst>
                    <a:latin typeface="Helvetica"/>
                  </a:rPr>
                  <a:t/>
                </a:r>
              </a:p>
            </c:txPr>
            <c:dLblPos val="t"/>
            <c:showLegendKey val="0"/>
            <c:showVal val="1"/>
            <c:showCatName val="0"/>
            <c:showSerName val="0"/>
            <c:showPercent val="0"/>
            <c:showBubbleSize val="0"/>
            <c:showLeaderLines val="0"/>
          </c:dLbls>
          <c:xVal>
            <c:numRef>
              <c:f>Sheet1!$B$2:$B$7</c:f>
              <c:numCache>
                <c:ptCount val="6"/>
                <c:pt idx="0">
                  <c:v>28.000000</c:v>
                </c:pt>
                <c:pt idx="1">
                  <c:v>25.000000</c:v>
                </c:pt>
                <c:pt idx="2">
                  <c:v>17.000000</c:v>
                </c:pt>
                <c:pt idx="3">
                  <c:v>12.000000</c:v>
                </c:pt>
                <c:pt idx="4">
                  <c:v>7.000000</c:v>
                </c:pt>
                <c:pt idx="5">
                  <c:v>0.000000</c:v>
                </c:pt>
              </c:numCache>
            </c:numRef>
          </c:xVal>
          <c:yVal>
            <c:numRef>
              <c:f>Sheet1!$C$2:$C$7</c:f>
              <c:numCache>
                <c:ptCount val="6"/>
                <c:pt idx="0">
                  <c:v>0.000000</c:v>
                </c:pt>
                <c:pt idx="1">
                  <c:v>4.000000</c:v>
                </c:pt>
                <c:pt idx="2">
                  <c:v>11.000000</c:v>
                </c:pt>
                <c:pt idx="3">
                  <c:v>15.000000</c:v>
                </c:pt>
                <c:pt idx="4">
                  <c:v>18.000000</c:v>
                </c:pt>
                <c:pt idx="5">
                  <c:v>21.000000</c:v>
                </c:pt>
              </c:numCache>
            </c:numRef>
          </c:yVal>
          <c:smooth val="0"/>
        </c:ser>
        <c:axId val="0"/>
        <c:axId val="1"/>
      </c:scatterChart>
      <c:valAx>
        <c:axId val="0"/>
        <c:scaling>
          <c:orientation val="minMax"/>
          <c:max val="30"/>
        </c:scaling>
        <c:delete val="0"/>
        <c:axPos val="b"/>
        <c:title>
          <c:tx>
            <c:rich>
              <a:bodyPr rot="0"/>
              <a:lstStyle/>
              <a:p>
                <a:pPr lvl="0">
                  <a:defRPr b="0" i="0" strike="noStrike" sz="1100" u="none">
                    <a:solidFill>
                      <a:srgbClr val="000000"/>
                    </a:solidFill>
                    <a:effectLst/>
                    <a:latin typeface="Helvetica"/>
                  </a:defRPr>
                </a:pPr>
                <a:r>
                  <a:rPr b="0" i="0" strike="noStrike" sz="1100" u="none">
                    <a:solidFill>
                      <a:srgbClr val="000000"/>
                    </a:solidFill>
                    <a:effectLst/>
                    <a:latin typeface="Helvetica"/>
                  </a:rPr>
                  <a:t>Clothing</a:t>
                </a:r>
              </a:p>
            </c:rich>
          </c:tx>
          <c:layout/>
          <c:overlay val="1"/>
        </c:title>
        <c:numFmt formatCode="General" sourceLinked="0"/>
        <c:majorTickMark val="none"/>
        <c:minorTickMark val="none"/>
        <c:tickLblPos val="nextTo"/>
        <c:spPr>
          <a:ln w="12700" cap="flat">
            <a:solidFill>
              <a:srgbClr val="000000"/>
            </a:solidFill>
            <a:prstDash val="solid"/>
            <a:miter lim="400000"/>
          </a:ln>
        </c:spPr>
        <c:txPr>
          <a:bodyPr rot="0"/>
          <a:lstStyle/>
          <a:p>
            <a:pPr lvl="0">
              <a:defRPr b="0" i="0" strike="noStrike" sz="1000" u="none">
                <a:solidFill>
                  <a:srgbClr val="000000"/>
                </a:solidFill>
                <a:effectLst/>
                <a:latin typeface="Helvetica"/>
              </a:defRPr>
            </a:pPr>
          </a:p>
        </c:txPr>
        <c:crossAx val="1"/>
        <c:crosses val="autoZero"/>
        <c:crossBetween val="between"/>
        <c:majorUnit val="6"/>
        <c:minorUnit val="3"/>
      </c:valAx>
      <c:valAx>
        <c:axId val="1"/>
        <c:scaling>
          <c:orientation val="minMax"/>
          <c:max val="25"/>
        </c:scaling>
        <c:delete val="0"/>
        <c:axPos val="l"/>
        <c:majorGridlines>
          <c:spPr>
            <a:ln w="6350" cap="flat">
              <a:solidFill>
                <a:srgbClr val="000000"/>
              </a:solidFill>
              <a:prstDash val="solid"/>
              <a:miter lim="400000"/>
            </a:ln>
          </c:spPr>
        </c:majorGridlines>
        <c:title>
          <c:tx>
            <c:rich>
              <a:bodyPr rot="-5400000"/>
              <a:lstStyle/>
              <a:p>
                <a:pPr lvl="0">
                  <a:defRPr b="0" i="0" strike="noStrike" sz="1100" u="none">
                    <a:solidFill>
                      <a:srgbClr val="000000"/>
                    </a:solidFill>
                    <a:effectLst/>
                    <a:latin typeface="Helvetica"/>
                  </a:defRPr>
                </a:pPr>
                <a:r>
                  <a:rPr b="0" i="0" strike="noStrike" sz="1100" u="none">
                    <a:solidFill>
                      <a:srgbClr val="000000"/>
                    </a:solidFill>
                    <a:effectLst/>
                    <a:latin typeface="Helvetica"/>
                  </a:rPr>
                  <a:t>Food</a:t>
                </a:r>
              </a:p>
            </c:rich>
          </c:tx>
          <c:layout/>
          <c:overlay val="1"/>
        </c:title>
        <c:numFmt formatCode="General" sourceLinked="0"/>
        <c:majorTickMark val="none"/>
        <c:minorTickMark val="none"/>
        <c:tickLblPos val="nextTo"/>
        <c:spPr>
          <a:ln w="12700" cap="flat">
            <a:solidFill>
              <a:srgbClr val="000000"/>
            </a:solidFill>
            <a:prstDash val="solid"/>
            <a:miter lim="400000"/>
          </a:ln>
        </c:spPr>
        <c:txPr>
          <a:bodyPr rot="0"/>
          <a:lstStyle/>
          <a:p>
            <a:pPr lvl="0">
              <a:defRPr b="0" i="0" strike="noStrike" sz="1000" u="none">
                <a:solidFill>
                  <a:srgbClr val="000000"/>
                </a:solidFill>
                <a:effectLst/>
                <a:latin typeface="Helvetica"/>
              </a:defRPr>
            </a:pPr>
          </a:p>
        </c:txPr>
        <c:crossAx val="0"/>
        <c:crosses val="autoZero"/>
        <c:crossBetween val="between"/>
        <c:majorUnit val="5"/>
        <c:minorUnit val="2.5"/>
      </c:valAx>
      <c:spPr>
        <a:noFill/>
        <a:ln w="12700" cap="flat">
          <a:noFill/>
          <a:miter lim="400000"/>
        </a:ln>
        <a:effectLst/>
      </c:spPr>
    </c:plotArea>
    <c:plotVisOnly val="1"/>
    <c:dispBlanksAs val="gap"/>
  </c:chart>
  <c:spPr>
    <a:noFill/>
    <a:ln>
      <a:noFill/>
    </a:ln>
    <a:effectLst/>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1"/>
  <c:roundedCorners val="0"/>
  <c:chart>
    <c:title>
      <c:tx>
        <c:rich>
          <a:bodyPr rot="0"/>
          <a:lstStyle/>
          <a:p>
            <a:pPr lvl="0"/>
          </a:p>
        </c:rich>
      </c:tx>
      <c:layout/>
      <c:overlay val="1"/>
    </c:title>
    <c:autoTitleDeleted val="1"/>
    <c:plotArea>
      <c:layout>
        <c:manualLayout>
          <c:layoutTarget val="inner"/>
          <c:xMode val="edge"/>
          <c:yMode val="edge"/>
          <c:x val="0.126026"/>
          <c:y val="0.0409556"/>
          <c:w val="0.818822"/>
          <c:h val="0.828797"/>
        </c:manualLayout>
      </c:layout>
      <c:scatterChart>
        <c:scatterStyle val="lineMarker"/>
        <c:varyColors val="0"/>
        <c:ser>
          <c:idx val="0"/>
          <c:order val="0"/>
          <c:tx>
            <c:strRef>
              <c:f>Sheet1!$B$1</c:f>
              <c:strCache>
                <c:pt idx="0">
                  <c:v>Output of food</c:v>
                </c:pt>
              </c:strCache>
            </c:strRef>
          </c:tx>
          <c:spPr>
            <a:solidFill>
              <a:srgbClr val="FFFFFF"/>
            </a:solidFill>
            <a:ln w="12700" cap="flat">
              <a:solidFill>
                <a:srgbClr val="51A7F9"/>
              </a:solidFill>
              <a:prstDash val="solid"/>
              <a:miter lim="400000"/>
            </a:ln>
            <a:effectLst/>
          </c:spPr>
          <c:marker>
            <c:symbol val="square"/>
            <c:size val="8"/>
            <c:spPr>
              <a:solidFill>
                <a:srgbClr val="FFFFFF"/>
              </a:solidFill>
              <a:ln w="25400" cap="flat">
                <a:solidFill>
                  <a:srgbClr val="51A7F9"/>
                </a:solidFill>
                <a:prstDash val="solid"/>
                <a:miter lim="400000"/>
              </a:ln>
              <a:effectLst/>
            </c:spPr>
          </c:marker>
          <c:dLbls>
            <c:numFmt formatCode="General" sourceLinked="0"/>
            <c:txPr>
              <a:bodyPr/>
              <a:lstStyle/>
              <a:p>
                <a:pPr lvl="0">
                  <a:defRPr b="0" i="0" strike="noStrike" sz="1200" u="none">
                    <a:solidFill>
                      <a:srgbClr val="FFFFFF"/>
                    </a:solidFill>
                    <a:effectLst>
                      <a:outerShdw sx="100000" sy="100000" kx="0" ky="0" algn="b" rotWithShape="0" blurRad="0" dist="38100" dir="2700000">
                        <a:srgbClr val="000000"/>
                      </a:outerShdw>
                    </a:effectLst>
                    <a:latin typeface="Helvetica"/>
                  </a:defRPr>
                </a:pPr>
                <a:r>
                  <a:rPr b="0" i="0" strike="noStrike" sz="1200" u="none">
                    <a:solidFill>
                      <a:srgbClr val="FFFFFF"/>
                    </a:solidFill>
                    <a:effectLst>
                      <a:outerShdw sx="100000" sy="100000" kx="0" ky="0" algn="b" rotWithShape="0" blurRad="0" dist="38100" dir="2700000">
                        <a:srgbClr val="000000"/>
                      </a:outerShdw>
                    </a:effectLst>
                    <a:latin typeface="Helvetica"/>
                  </a:rPr>
                  <a:t/>
                </a:r>
              </a:p>
            </c:txPr>
            <c:dLblPos val="t"/>
            <c:showLegendKey val="0"/>
            <c:showVal val="1"/>
            <c:showCatName val="0"/>
            <c:showSerName val="0"/>
            <c:showPercent val="0"/>
            <c:showBubbleSize val="0"/>
            <c:showLeaderLines val="0"/>
          </c:dLbls>
          <c:xVal>
            <c:numRef>
              <c:f>Sheet1!$B$2:$B$7</c:f>
              <c:numCache>
                <c:ptCount val="6"/>
                <c:pt idx="0">
                  <c:v>28.000000</c:v>
                </c:pt>
                <c:pt idx="1">
                  <c:v>25.000000</c:v>
                </c:pt>
                <c:pt idx="2">
                  <c:v>17.000000</c:v>
                </c:pt>
                <c:pt idx="3">
                  <c:v>12.000000</c:v>
                </c:pt>
                <c:pt idx="4">
                  <c:v>7.000000</c:v>
                </c:pt>
                <c:pt idx="5">
                  <c:v>0.000000</c:v>
                </c:pt>
              </c:numCache>
            </c:numRef>
          </c:xVal>
          <c:yVal>
            <c:numRef>
              <c:f>Sheet1!$C$2:$C$7</c:f>
              <c:numCache>
                <c:ptCount val="6"/>
                <c:pt idx="0">
                  <c:v>0.000000</c:v>
                </c:pt>
                <c:pt idx="1">
                  <c:v>7.000000</c:v>
                </c:pt>
                <c:pt idx="2">
                  <c:v>14.000000</c:v>
                </c:pt>
                <c:pt idx="3">
                  <c:v>18.000000</c:v>
                </c:pt>
                <c:pt idx="4">
                  <c:v>21.000000</c:v>
                </c:pt>
                <c:pt idx="5">
                  <c:v>24.000000</c:v>
                </c:pt>
              </c:numCache>
            </c:numRef>
          </c:yVal>
          <c:smooth val="0"/>
        </c:ser>
        <c:axId val="0"/>
        <c:axId val="1"/>
      </c:scatterChart>
      <c:valAx>
        <c:axId val="0"/>
        <c:scaling>
          <c:orientation val="minMax"/>
          <c:max val="30"/>
        </c:scaling>
        <c:delete val="0"/>
        <c:axPos val="b"/>
        <c:title>
          <c:tx>
            <c:rich>
              <a:bodyPr rot="0"/>
              <a:lstStyle/>
              <a:p>
                <a:pPr lvl="0">
                  <a:defRPr b="0" i="0" strike="noStrike" sz="1100" u="none">
                    <a:solidFill>
                      <a:srgbClr val="000000"/>
                    </a:solidFill>
                    <a:effectLst/>
                    <a:latin typeface="Helvetica"/>
                  </a:defRPr>
                </a:pPr>
                <a:r>
                  <a:rPr b="0" i="0" strike="noStrike" sz="1100" u="none">
                    <a:solidFill>
                      <a:srgbClr val="000000"/>
                    </a:solidFill>
                    <a:effectLst/>
                    <a:latin typeface="Helvetica"/>
                  </a:rPr>
                  <a:t>Clothing</a:t>
                </a:r>
              </a:p>
            </c:rich>
          </c:tx>
          <c:layout/>
          <c:overlay val="1"/>
        </c:title>
        <c:numFmt formatCode="General" sourceLinked="0"/>
        <c:majorTickMark val="none"/>
        <c:minorTickMark val="none"/>
        <c:tickLblPos val="nextTo"/>
        <c:spPr>
          <a:ln w="12700" cap="flat">
            <a:solidFill>
              <a:srgbClr val="000000"/>
            </a:solidFill>
            <a:prstDash val="solid"/>
            <a:miter lim="400000"/>
          </a:ln>
        </c:spPr>
        <c:txPr>
          <a:bodyPr rot="0"/>
          <a:lstStyle/>
          <a:p>
            <a:pPr lvl="0">
              <a:defRPr b="0" i="0" strike="noStrike" sz="1000" u="none">
                <a:solidFill>
                  <a:srgbClr val="000000"/>
                </a:solidFill>
                <a:effectLst/>
                <a:latin typeface="Helvetica"/>
              </a:defRPr>
            </a:pPr>
          </a:p>
        </c:txPr>
        <c:crossAx val="1"/>
        <c:crosses val="autoZero"/>
        <c:crossBetween val="between"/>
        <c:majorUnit val="6"/>
        <c:minorUnit val="3"/>
      </c:valAx>
      <c:valAx>
        <c:axId val="1"/>
        <c:scaling>
          <c:orientation val="minMax"/>
          <c:max val="25"/>
        </c:scaling>
        <c:delete val="0"/>
        <c:axPos val="l"/>
        <c:majorGridlines>
          <c:spPr>
            <a:ln w="6350" cap="flat">
              <a:solidFill>
                <a:srgbClr val="000000"/>
              </a:solidFill>
              <a:prstDash val="solid"/>
              <a:miter lim="400000"/>
            </a:ln>
          </c:spPr>
        </c:majorGridlines>
        <c:title>
          <c:tx>
            <c:rich>
              <a:bodyPr rot="-5400000"/>
              <a:lstStyle/>
              <a:p>
                <a:pPr lvl="0">
                  <a:defRPr b="0" i="0" strike="noStrike" sz="1100" u="none">
                    <a:solidFill>
                      <a:srgbClr val="000000"/>
                    </a:solidFill>
                    <a:effectLst/>
                    <a:latin typeface="Helvetica"/>
                  </a:defRPr>
                </a:pPr>
                <a:r>
                  <a:rPr b="0" i="0" strike="noStrike" sz="1100" u="none">
                    <a:solidFill>
                      <a:srgbClr val="000000"/>
                    </a:solidFill>
                    <a:effectLst/>
                    <a:latin typeface="Helvetica"/>
                  </a:rPr>
                  <a:t>Food</a:t>
                </a:r>
              </a:p>
            </c:rich>
          </c:tx>
          <c:layout/>
          <c:overlay val="1"/>
        </c:title>
        <c:numFmt formatCode="General" sourceLinked="0"/>
        <c:majorTickMark val="none"/>
        <c:minorTickMark val="none"/>
        <c:tickLblPos val="nextTo"/>
        <c:spPr>
          <a:ln w="12700" cap="flat">
            <a:solidFill>
              <a:srgbClr val="000000"/>
            </a:solidFill>
            <a:prstDash val="solid"/>
            <a:miter lim="400000"/>
          </a:ln>
        </c:spPr>
        <c:txPr>
          <a:bodyPr rot="0"/>
          <a:lstStyle/>
          <a:p>
            <a:pPr lvl="0">
              <a:defRPr b="0" i="0" strike="noStrike" sz="1000" u="none">
                <a:solidFill>
                  <a:srgbClr val="000000"/>
                </a:solidFill>
                <a:effectLst/>
                <a:latin typeface="Helvetica"/>
              </a:defRPr>
            </a:pPr>
          </a:p>
        </c:txPr>
        <c:crossAx val="0"/>
        <c:crosses val="autoZero"/>
        <c:crossBetween val="between"/>
        <c:majorUnit val="5"/>
        <c:minorUnit val="2.5"/>
      </c:valAx>
      <c:spPr>
        <a:noFill/>
        <a:ln w="12700" cap="flat">
          <a:noFill/>
          <a:miter lim="400000"/>
        </a:ln>
        <a:effectLst/>
      </c:spPr>
    </c:plotArea>
    <c:plotVisOnly val="1"/>
    <c:dispBlanksAs val="gap"/>
  </c:chart>
  <c:spPr>
    <a:noFill/>
    <a:ln>
      <a:noFill/>
    </a:ln>
    <a:effectLst/>
  </c:spPr>
  <c:externalData r:id="rId1">
    <c:autoUpdate val="0"/>
  </c:externalData>
</c:chartSpace>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