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EBA" w:rsidRPr="007510F4" w:rsidRDefault="003A4EBA" w:rsidP="00780BEE">
      <w:pPr>
        <w:spacing w:line="240" w:lineRule="auto"/>
        <w:rPr>
          <w:b/>
          <w:bCs/>
          <w:sz w:val="28"/>
          <w:szCs w:val="28"/>
          <w:lang w:val="fr-CA"/>
        </w:rPr>
      </w:pPr>
      <w:r w:rsidRPr="007510F4">
        <w:rPr>
          <w:b/>
          <w:bCs/>
          <w:color w:val="FF0000"/>
          <w:sz w:val="28"/>
          <w:szCs w:val="28"/>
          <w:lang w:val="fr-CA"/>
        </w:rPr>
        <w:t>11. Lyme/ Rickettsie et laboratoire</w:t>
      </w:r>
    </w:p>
    <w:p w:rsidR="003A4EBA" w:rsidRPr="00780BEE" w:rsidRDefault="003A4EBA" w:rsidP="00780BEE">
      <w:pPr>
        <w:spacing w:line="240" w:lineRule="auto"/>
        <w:rPr>
          <w:b/>
          <w:bCs/>
          <w:sz w:val="28"/>
          <w:szCs w:val="28"/>
          <w:u w:val="double"/>
          <w:lang w:val="fr-CA"/>
        </w:rPr>
      </w:pPr>
      <w:r w:rsidRPr="007510F4">
        <w:rPr>
          <w:b/>
          <w:bCs/>
          <w:color w:val="FFC000"/>
          <w:sz w:val="28"/>
          <w:szCs w:val="28"/>
          <w:u w:val="double"/>
          <w:lang w:val="fr-CA"/>
        </w:rPr>
        <w:t>La maladie de LYME</w:t>
      </w:r>
    </w:p>
    <w:p w:rsidR="003A4EBA" w:rsidRPr="003A4EBA" w:rsidRDefault="003A4EBA" w:rsidP="00780BEE">
      <w:pPr>
        <w:spacing w:line="240" w:lineRule="auto"/>
        <w:rPr>
          <w:b/>
          <w:bCs/>
          <w:sz w:val="26"/>
          <w:szCs w:val="26"/>
          <w:lang w:val="fr-CA"/>
        </w:rPr>
      </w:pPr>
      <w:r>
        <w:rPr>
          <w:noProof/>
          <w:lang w:eastAsia="en-CA"/>
        </w:rPr>
        <w:drawing>
          <wp:inline distT="0" distB="0" distL="0" distR="0" wp14:anchorId="719600E4" wp14:editId="22AD2C02">
            <wp:extent cx="3233363" cy="15811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2626" t="36331" r="19098" b="21676"/>
                    <a:stretch/>
                  </pic:blipFill>
                  <pic:spPr bwMode="auto">
                    <a:xfrm>
                      <a:off x="0" y="0"/>
                      <a:ext cx="3240189" cy="1584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57DF" w:rsidRPr="00780BEE" w:rsidRDefault="00CB73F6" w:rsidP="001D0D43">
      <w:pPr>
        <w:pStyle w:val="ListParagraph"/>
        <w:numPr>
          <w:ilvl w:val="0"/>
          <w:numId w:val="1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 xml:space="preserve">Zoonose provoquée par le spirochète </w:t>
      </w:r>
      <w:r w:rsidRPr="00780BEE">
        <w:rPr>
          <w:bCs/>
          <w:i/>
          <w:iCs/>
          <w:lang w:val="fr-CA"/>
        </w:rPr>
        <w:t>Borrelia</w:t>
      </w:r>
      <w:r w:rsidRPr="00780BEE">
        <w:rPr>
          <w:bCs/>
          <w:lang w:val="fr-CA"/>
        </w:rPr>
        <w:t xml:space="preserve"> </w:t>
      </w:r>
      <w:r w:rsidRPr="00780BEE">
        <w:rPr>
          <w:bCs/>
          <w:i/>
          <w:iCs/>
          <w:lang w:val="fr-CA"/>
        </w:rPr>
        <w:t>burgdorferi</w:t>
      </w:r>
    </w:p>
    <w:p w:rsidR="00B757DF" w:rsidRPr="00780BEE" w:rsidRDefault="00CB73F6" w:rsidP="001D0D43">
      <w:pPr>
        <w:pStyle w:val="ListParagraph"/>
        <w:numPr>
          <w:ilvl w:val="2"/>
          <w:numId w:val="1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Transmis du réservoir animale par la morsure de tiques de l’espèce Ixodes (tique aux pattes noires)</w:t>
      </w:r>
    </w:p>
    <w:p w:rsidR="003A4EBA" w:rsidRPr="00780BEE" w:rsidRDefault="00CB73F6" w:rsidP="001D0D43">
      <w:pPr>
        <w:pStyle w:val="ListParagraph"/>
        <w:numPr>
          <w:ilvl w:val="0"/>
          <w:numId w:val="1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Reconnue pour la première fois aux États-unis en 1975 dans le village de Lyme, Connecticut</w:t>
      </w:r>
    </w:p>
    <w:p w:rsidR="00B757DF" w:rsidRPr="003B11C1" w:rsidRDefault="00CB73F6" w:rsidP="00780BEE">
      <w:pPr>
        <w:spacing w:line="240" w:lineRule="auto"/>
        <w:rPr>
          <w:b/>
          <w:bCs/>
          <w:lang w:val="fr-CA"/>
        </w:rPr>
      </w:pPr>
      <w:r w:rsidRPr="003B11C1">
        <w:rPr>
          <w:b/>
          <w:bCs/>
          <w:lang w:val="fr-CA"/>
        </w:rPr>
        <w:t>Réservoir</w:t>
      </w:r>
    </w:p>
    <w:p w:rsidR="00B757DF" w:rsidRPr="00780BEE" w:rsidRDefault="00CB73F6" w:rsidP="001D0D43">
      <w:pPr>
        <w:pStyle w:val="ListParagraph"/>
        <w:numPr>
          <w:ilvl w:val="0"/>
          <w:numId w:val="2"/>
        </w:numPr>
        <w:spacing w:line="240" w:lineRule="auto"/>
        <w:rPr>
          <w:bCs/>
        </w:rPr>
      </w:pPr>
      <w:r w:rsidRPr="00780BEE">
        <w:rPr>
          <w:bCs/>
          <w:lang w:val="fr-CA"/>
        </w:rPr>
        <w:t>Animaux sauvages et domestiques</w:t>
      </w:r>
    </w:p>
    <w:p w:rsidR="00B757DF" w:rsidRPr="00780BEE" w:rsidRDefault="00CB73F6" w:rsidP="001D0D43">
      <w:pPr>
        <w:pStyle w:val="ListParagraph"/>
        <w:numPr>
          <w:ilvl w:val="1"/>
          <w:numId w:val="2"/>
        </w:numPr>
        <w:spacing w:line="240" w:lineRule="auto"/>
        <w:rPr>
          <w:bCs/>
        </w:rPr>
      </w:pPr>
      <w:r w:rsidRPr="00780BEE">
        <w:rPr>
          <w:bCs/>
          <w:lang w:val="fr-CA"/>
        </w:rPr>
        <w:t>Rongeurs et gros gibiers</w:t>
      </w:r>
    </w:p>
    <w:p w:rsidR="00B757DF" w:rsidRPr="00780BEE" w:rsidRDefault="00CB73F6" w:rsidP="001D0D43">
      <w:pPr>
        <w:pStyle w:val="ListParagraph"/>
        <w:numPr>
          <w:ilvl w:val="2"/>
          <w:numId w:val="2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Réservoir tolérant – infecté mais sans conséquence</w:t>
      </w:r>
    </w:p>
    <w:p w:rsidR="00B757DF" w:rsidRPr="00780BEE" w:rsidRDefault="00CB73F6" w:rsidP="001D0D43">
      <w:pPr>
        <w:pStyle w:val="ListParagraph"/>
        <w:numPr>
          <w:ilvl w:val="1"/>
          <w:numId w:val="2"/>
        </w:numPr>
        <w:spacing w:line="240" w:lineRule="auto"/>
        <w:rPr>
          <w:bCs/>
        </w:rPr>
      </w:pPr>
      <w:r w:rsidRPr="00780BEE">
        <w:rPr>
          <w:bCs/>
          <w:lang w:val="fr-CA"/>
        </w:rPr>
        <w:t>Oiseaux transportent les tiques</w:t>
      </w:r>
    </w:p>
    <w:p w:rsidR="00B757DF" w:rsidRPr="00780BEE" w:rsidRDefault="00CB73F6" w:rsidP="001D0D43">
      <w:pPr>
        <w:pStyle w:val="ListParagraph"/>
        <w:numPr>
          <w:ilvl w:val="0"/>
          <w:numId w:val="2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La souris des champs est le réservoir principal</w:t>
      </w:r>
    </w:p>
    <w:p w:rsidR="00B757DF" w:rsidRPr="00780BEE" w:rsidRDefault="00CB73F6" w:rsidP="001D0D43">
      <w:pPr>
        <w:pStyle w:val="ListParagraph"/>
        <w:numPr>
          <w:ilvl w:val="1"/>
          <w:numId w:val="2"/>
        </w:numPr>
        <w:spacing w:line="240" w:lineRule="auto"/>
        <w:rPr>
          <w:bCs/>
        </w:rPr>
      </w:pPr>
      <w:r w:rsidRPr="00780BEE">
        <w:rPr>
          <w:bCs/>
          <w:lang w:val="fr-CA"/>
        </w:rPr>
        <w:t>Taux d’infection &gt;80% en région endémique</w:t>
      </w:r>
    </w:p>
    <w:p w:rsidR="00B757DF" w:rsidRPr="00780BEE" w:rsidRDefault="00CB73F6" w:rsidP="001D0D43">
      <w:pPr>
        <w:pStyle w:val="ListParagraph"/>
        <w:numPr>
          <w:ilvl w:val="1"/>
          <w:numId w:val="2"/>
        </w:numPr>
        <w:spacing w:line="240" w:lineRule="auto"/>
        <w:rPr>
          <w:bCs/>
        </w:rPr>
      </w:pPr>
      <w:r w:rsidRPr="00780BEE">
        <w:rPr>
          <w:bCs/>
          <w:lang w:val="fr-CA"/>
        </w:rPr>
        <w:t>Hôte préféré pour les larves</w:t>
      </w:r>
    </w:p>
    <w:p w:rsidR="00B757DF" w:rsidRPr="003B11C1" w:rsidRDefault="00CB73F6" w:rsidP="00780BEE">
      <w:pPr>
        <w:spacing w:line="240" w:lineRule="auto"/>
        <w:rPr>
          <w:b/>
          <w:bCs/>
        </w:rPr>
      </w:pPr>
      <w:r w:rsidRPr="003B11C1">
        <w:rPr>
          <w:b/>
          <w:bCs/>
          <w:lang w:val="fr-CA"/>
        </w:rPr>
        <w:t>La tique</w:t>
      </w:r>
    </w:p>
    <w:p w:rsidR="00B757DF" w:rsidRPr="00780BEE" w:rsidRDefault="00CB73F6" w:rsidP="001D0D43">
      <w:pPr>
        <w:pStyle w:val="ListParagraph"/>
        <w:numPr>
          <w:ilvl w:val="0"/>
          <w:numId w:val="3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La tique vie sur une période de 2 ans et passe 3 étapes de développement: Larve, nymphe et adulte</w:t>
      </w:r>
    </w:p>
    <w:p w:rsidR="00B757DF" w:rsidRPr="00780BEE" w:rsidRDefault="00CB73F6" w:rsidP="001D0D43">
      <w:pPr>
        <w:pStyle w:val="ListParagraph"/>
        <w:numPr>
          <w:ilvl w:val="1"/>
          <w:numId w:val="3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A chaque étape, la tique a besoin d’un repas de sang d’un hôte vertébré</w:t>
      </w:r>
    </w:p>
    <w:p w:rsidR="00B757DF" w:rsidRPr="00780BEE" w:rsidRDefault="00CB73F6" w:rsidP="001D0D43">
      <w:pPr>
        <w:pStyle w:val="ListParagraph"/>
        <w:numPr>
          <w:ilvl w:val="1"/>
          <w:numId w:val="3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Une fois infecté, la bactérie persiste d’une étape à l’autre, (transmission trans-stadiale)</w:t>
      </w:r>
    </w:p>
    <w:p w:rsidR="00B757DF" w:rsidRPr="00780BEE" w:rsidRDefault="00CB73F6" w:rsidP="001D0D43">
      <w:pPr>
        <w:pStyle w:val="ListParagraph"/>
        <w:numPr>
          <w:ilvl w:val="2"/>
          <w:numId w:val="3"/>
        </w:numPr>
        <w:spacing w:line="240" w:lineRule="auto"/>
        <w:rPr>
          <w:bCs/>
        </w:rPr>
      </w:pPr>
      <w:r w:rsidRPr="00780BEE">
        <w:rPr>
          <w:bCs/>
          <w:lang w:val="fr-CA"/>
        </w:rPr>
        <w:t>Pas de transmission transovarienne</w:t>
      </w:r>
    </w:p>
    <w:p w:rsidR="00B757DF" w:rsidRPr="00780BEE" w:rsidRDefault="00CB73F6" w:rsidP="001D0D43">
      <w:pPr>
        <w:pStyle w:val="ListParagraph"/>
        <w:numPr>
          <w:ilvl w:val="2"/>
          <w:numId w:val="3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Progéniture n’est pas infectée par les parents</w:t>
      </w:r>
    </w:p>
    <w:p w:rsidR="00B757DF" w:rsidRPr="00780BEE" w:rsidRDefault="00CB73F6" w:rsidP="00780BEE">
      <w:pPr>
        <w:spacing w:line="240" w:lineRule="auto"/>
        <w:rPr>
          <w:b/>
          <w:bCs/>
          <w:lang w:val="fr-CA"/>
        </w:rPr>
      </w:pPr>
      <w:r w:rsidRPr="003B11C1">
        <w:rPr>
          <w:b/>
          <w:bCs/>
          <w:lang w:val="fr-CA"/>
        </w:rPr>
        <w:t>Transmission</w:t>
      </w:r>
    </w:p>
    <w:p w:rsidR="00B757DF" w:rsidRPr="00780BEE" w:rsidRDefault="00CB73F6" w:rsidP="001D0D43">
      <w:pPr>
        <w:pStyle w:val="ListParagraph"/>
        <w:numPr>
          <w:ilvl w:val="0"/>
          <w:numId w:val="4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La tique demeure fixée &gt;48 heures durant le repas.</w:t>
      </w:r>
    </w:p>
    <w:p w:rsidR="00B757DF" w:rsidRPr="00780BEE" w:rsidRDefault="00CB73F6" w:rsidP="001D0D43">
      <w:pPr>
        <w:pStyle w:val="ListParagraph"/>
        <w:numPr>
          <w:ilvl w:val="1"/>
          <w:numId w:val="4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La bactérie est transmise par la salive</w:t>
      </w:r>
    </w:p>
    <w:p w:rsidR="00B757DF" w:rsidRPr="00780BEE" w:rsidRDefault="00780BEE" w:rsidP="001D0D43">
      <w:pPr>
        <w:pStyle w:val="ListParagraph"/>
        <w:numPr>
          <w:ilvl w:val="0"/>
          <w:numId w:val="4"/>
        </w:numPr>
        <w:spacing w:line="240" w:lineRule="auto"/>
        <w:rPr>
          <w:bCs/>
          <w:lang w:val="fr-CA"/>
        </w:rPr>
      </w:pPr>
      <w:r w:rsidRPr="003B11C1">
        <w:rPr>
          <w:bCs/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04F45E33" wp14:editId="2DCE78D6">
            <wp:simplePos x="0" y="0"/>
            <wp:positionH relativeFrom="column">
              <wp:posOffset>3780790</wp:posOffset>
            </wp:positionH>
            <wp:positionV relativeFrom="paragraph">
              <wp:posOffset>153035</wp:posOffset>
            </wp:positionV>
            <wp:extent cx="3426460" cy="1838325"/>
            <wp:effectExtent l="0" t="0" r="2540" b="9525"/>
            <wp:wrapSquare wrapText="bothSides"/>
            <wp:docPr id="10243" name="Picture 5" descr="Ly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5" descr="Ly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46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73F6" w:rsidRPr="00780BEE">
        <w:rPr>
          <w:bCs/>
          <w:lang w:val="fr-CA"/>
        </w:rPr>
        <w:t>Transmission en  moins de 24 hres est improbable</w:t>
      </w:r>
    </w:p>
    <w:p w:rsidR="003A4EBA" w:rsidRPr="00780BEE" w:rsidRDefault="00CB73F6" w:rsidP="001D0D43">
      <w:pPr>
        <w:pStyle w:val="ListParagraph"/>
        <w:numPr>
          <w:ilvl w:val="1"/>
          <w:numId w:val="4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Enlever la tique interrompt le cycle de transmission</w:t>
      </w:r>
    </w:p>
    <w:p w:rsidR="00B757DF" w:rsidRPr="003B11C1" w:rsidRDefault="00CB73F6" w:rsidP="00780BEE">
      <w:pPr>
        <w:spacing w:line="240" w:lineRule="auto"/>
        <w:rPr>
          <w:b/>
          <w:bCs/>
        </w:rPr>
      </w:pPr>
      <w:r w:rsidRPr="003B11C1">
        <w:rPr>
          <w:b/>
          <w:bCs/>
          <w:lang w:val="fr-CA"/>
        </w:rPr>
        <w:t>Évolution naturelle</w:t>
      </w:r>
    </w:p>
    <w:p w:rsidR="00B757DF" w:rsidRPr="00780BEE" w:rsidRDefault="00CB73F6" w:rsidP="001D0D43">
      <w:pPr>
        <w:pStyle w:val="ListParagraph"/>
        <w:numPr>
          <w:ilvl w:val="0"/>
          <w:numId w:val="5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La progression de l’infection est variable et habituellement se déroule en 3 étapes:</w:t>
      </w:r>
    </w:p>
    <w:p w:rsidR="00B757DF" w:rsidRPr="00780BEE" w:rsidRDefault="00CB73F6" w:rsidP="001D0D43">
      <w:pPr>
        <w:pStyle w:val="ListParagraph"/>
        <w:numPr>
          <w:ilvl w:val="1"/>
          <w:numId w:val="5"/>
        </w:numPr>
        <w:spacing w:line="240" w:lineRule="auto"/>
        <w:rPr>
          <w:bCs/>
        </w:rPr>
      </w:pPr>
      <w:r w:rsidRPr="00780BEE">
        <w:rPr>
          <w:bCs/>
          <w:lang w:val="fr-CA"/>
        </w:rPr>
        <w:t>Éruption locale</w:t>
      </w:r>
    </w:p>
    <w:p w:rsidR="00B757DF" w:rsidRPr="00780BEE" w:rsidRDefault="00CB73F6" w:rsidP="001D0D43">
      <w:pPr>
        <w:pStyle w:val="ListParagraph"/>
        <w:numPr>
          <w:ilvl w:val="1"/>
          <w:numId w:val="5"/>
        </w:numPr>
        <w:spacing w:line="240" w:lineRule="auto"/>
        <w:rPr>
          <w:bCs/>
        </w:rPr>
      </w:pPr>
      <w:r w:rsidRPr="00780BEE">
        <w:rPr>
          <w:bCs/>
          <w:lang w:val="fr-CA"/>
        </w:rPr>
        <w:t>Réaction inflammatoire épisodique</w:t>
      </w:r>
    </w:p>
    <w:p w:rsidR="00B757DF" w:rsidRPr="00780BEE" w:rsidRDefault="00CB73F6" w:rsidP="001D0D43">
      <w:pPr>
        <w:pStyle w:val="ListParagraph"/>
        <w:numPr>
          <w:ilvl w:val="1"/>
          <w:numId w:val="5"/>
        </w:numPr>
        <w:spacing w:line="240" w:lineRule="auto"/>
        <w:rPr>
          <w:bCs/>
        </w:rPr>
      </w:pPr>
      <w:r w:rsidRPr="00780BEE">
        <w:rPr>
          <w:bCs/>
          <w:lang w:val="fr-CA"/>
        </w:rPr>
        <w:t>Manifestations chroniques</w:t>
      </w:r>
    </w:p>
    <w:p w:rsidR="00B757DF" w:rsidRPr="003B11C1" w:rsidRDefault="00CB73F6" w:rsidP="00780BEE">
      <w:pPr>
        <w:spacing w:line="240" w:lineRule="auto"/>
        <w:rPr>
          <w:b/>
          <w:bCs/>
        </w:rPr>
      </w:pPr>
      <w:r w:rsidRPr="003B11C1">
        <w:rPr>
          <w:b/>
          <w:bCs/>
        </w:rPr>
        <w:lastRenderedPageBreak/>
        <w:t>Première étape</w:t>
      </w:r>
    </w:p>
    <w:p w:rsidR="00B757DF" w:rsidRPr="00780BEE" w:rsidRDefault="00CB73F6" w:rsidP="001D0D43">
      <w:pPr>
        <w:pStyle w:val="ListParagraph"/>
        <w:numPr>
          <w:ilvl w:val="0"/>
          <w:numId w:val="5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3 semaines à 3 mois après la morsure</w:t>
      </w:r>
    </w:p>
    <w:p w:rsidR="007510F4" w:rsidRDefault="007510F4" w:rsidP="001D0D43">
      <w:pPr>
        <w:pStyle w:val="ListParagraph"/>
        <w:numPr>
          <w:ilvl w:val="1"/>
          <w:numId w:val="5"/>
        </w:numPr>
        <w:spacing w:line="240" w:lineRule="auto"/>
        <w:rPr>
          <w:bCs/>
          <w:lang w:val="fr-CA"/>
        </w:rPr>
        <w:sectPr w:rsidR="007510F4" w:rsidSect="00780BEE">
          <w:headerReference w:type="default" r:id="rId10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B757DF" w:rsidRPr="00780BEE" w:rsidRDefault="00CB73F6" w:rsidP="001D0D43">
      <w:pPr>
        <w:pStyle w:val="ListParagraph"/>
        <w:numPr>
          <w:ilvl w:val="1"/>
          <w:numId w:val="5"/>
        </w:numPr>
        <w:spacing w:line="240" w:lineRule="auto"/>
        <w:ind w:left="927"/>
        <w:rPr>
          <w:bCs/>
          <w:lang w:val="fr-CA"/>
        </w:rPr>
      </w:pPr>
      <w:r w:rsidRPr="00780BEE">
        <w:rPr>
          <w:bCs/>
          <w:lang w:val="fr-CA"/>
        </w:rPr>
        <w:lastRenderedPageBreak/>
        <w:t xml:space="preserve">Lésion cutanée: érythème migrant (EM) </w:t>
      </w:r>
    </w:p>
    <w:p w:rsidR="00B757DF" w:rsidRPr="00780BEE" w:rsidRDefault="007510F4" w:rsidP="001D0D43">
      <w:pPr>
        <w:pStyle w:val="ListParagraph"/>
        <w:numPr>
          <w:ilvl w:val="1"/>
          <w:numId w:val="5"/>
        </w:numPr>
        <w:spacing w:line="240" w:lineRule="auto"/>
        <w:ind w:left="927"/>
        <w:rPr>
          <w:bCs/>
          <w:lang w:val="fr-CA"/>
        </w:rPr>
      </w:pPr>
      <w:r w:rsidRPr="003B11C1">
        <w:rPr>
          <w:bCs/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1D381712" wp14:editId="0BD9C49D">
            <wp:simplePos x="0" y="0"/>
            <wp:positionH relativeFrom="column">
              <wp:posOffset>3842385</wp:posOffset>
            </wp:positionH>
            <wp:positionV relativeFrom="paragraph">
              <wp:posOffset>395605</wp:posOffset>
            </wp:positionV>
            <wp:extent cx="2971800" cy="2191385"/>
            <wp:effectExtent l="0" t="0" r="0" b="0"/>
            <wp:wrapTight wrapText="bothSides">
              <wp:wrapPolygon edited="0">
                <wp:start x="0" y="0"/>
                <wp:lineTo x="0" y="21406"/>
                <wp:lineTo x="21462" y="21406"/>
                <wp:lineTo x="21462" y="0"/>
                <wp:lineTo x="0" y="0"/>
              </wp:wrapPolygon>
            </wp:wrapTight>
            <wp:docPr id="13315" name="Picture 3" descr="iec80096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3" descr="iec80096f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19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73F6" w:rsidRPr="00780BEE">
        <w:rPr>
          <w:bCs/>
          <w:lang w:val="fr-CA"/>
        </w:rPr>
        <w:t>Tâche rouge se développe au site de la morsure et s’étend lentement de façon centrifuge avec éclaircissement du centre</w:t>
      </w:r>
    </w:p>
    <w:p w:rsidR="00B757DF" w:rsidRPr="00780BEE" w:rsidRDefault="00CB73F6" w:rsidP="001D0D43">
      <w:pPr>
        <w:pStyle w:val="ListParagraph"/>
        <w:numPr>
          <w:ilvl w:val="1"/>
          <w:numId w:val="5"/>
        </w:numPr>
        <w:spacing w:line="240" w:lineRule="auto"/>
        <w:ind w:left="927"/>
        <w:rPr>
          <w:bCs/>
          <w:lang w:val="fr-CA"/>
        </w:rPr>
      </w:pPr>
      <w:r w:rsidRPr="00780BEE">
        <w:rPr>
          <w:bCs/>
          <w:lang w:val="fr-CA"/>
        </w:rPr>
        <w:lastRenderedPageBreak/>
        <w:t>Le EM est rapporté par &lt;50% des patients</w:t>
      </w:r>
    </w:p>
    <w:p w:rsidR="00B757DF" w:rsidRPr="00780BEE" w:rsidRDefault="00CB73F6" w:rsidP="001D0D43">
      <w:pPr>
        <w:pStyle w:val="ListParagraph"/>
        <w:numPr>
          <w:ilvl w:val="1"/>
          <w:numId w:val="5"/>
        </w:numPr>
        <w:spacing w:line="240" w:lineRule="auto"/>
        <w:ind w:left="927"/>
        <w:rPr>
          <w:bCs/>
        </w:rPr>
      </w:pPr>
      <w:r w:rsidRPr="00780BEE">
        <w:rPr>
          <w:bCs/>
          <w:lang w:val="fr-CA"/>
        </w:rPr>
        <w:t>Symptômes grippaux: céphalée, pharyngite</w:t>
      </w:r>
    </w:p>
    <w:p w:rsidR="007510F4" w:rsidRDefault="007510F4" w:rsidP="00780BEE">
      <w:pPr>
        <w:spacing w:line="240" w:lineRule="auto"/>
        <w:rPr>
          <w:bCs/>
          <w:lang w:val="fr-CA"/>
        </w:rPr>
        <w:sectPr w:rsidR="007510F4" w:rsidSect="007510F4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</w:p>
    <w:p w:rsidR="00B757DF" w:rsidRPr="003B11C1" w:rsidRDefault="00CB73F6" w:rsidP="00780BEE">
      <w:pPr>
        <w:spacing w:line="240" w:lineRule="auto"/>
        <w:rPr>
          <w:b/>
          <w:bCs/>
        </w:rPr>
      </w:pPr>
      <w:r w:rsidRPr="003B11C1">
        <w:rPr>
          <w:b/>
          <w:bCs/>
          <w:lang w:val="en-US"/>
        </w:rPr>
        <w:lastRenderedPageBreak/>
        <w:t>Deuxième étape</w:t>
      </w:r>
    </w:p>
    <w:p w:rsidR="00B757DF" w:rsidRPr="00780BEE" w:rsidRDefault="00CB73F6" w:rsidP="001D0D43">
      <w:pPr>
        <w:pStyle w:val="ListParagraph"/>
        <w:numPr>
          <w:ilvl w:val="0"/>
          <w:numId w:val="7"/>
        </w:numPr>
        <w:spacing w:line="240" w:lineRule="auto"/>
        <w:rPr>
          <w:bCs/>
        </w:rPr>
      </w:pPr>
      <w:r w:rsidRPr="00780BEE">
        <w:rPr>
          <w:bCs/>
          <w:lang w:val="fr-CA"/>
        </w:rPr>
        <w:t>5-7 mois après la morsure</w:t>
      </w:r>
    </w:p>
    <w:p w:rsidR="00B757DF" w:rsidRPr="00780BEE" w:rsidRDefault="00CB73F6" w:rsidP="001D0D43">
      <w:pPr>
        <w:pStyle w:val="ListParagraph"/>
        <w:numPr>
          <w:ilvl w:val="2"/>
          <w:numId w:val="6"/>
        </w:numPr>
        <w:spacing w:line="240" w:lineRule="auto"/>
        <w:ind w:left="927"/>
        <w:rPr>
          <w:bCs/>
          <w:lang w:val="fr-CA"/>
        </w:rPr>
      </w:pPr>
      <w:r w:rsidRPr="00780BEE">
        <w:rPr>
          <w:bCs/>
          <w:lang w:val="fr-CA"/>
        </w:rPr>
        <w:t>Dissémination via les ganglions et le sang</w:t>
      </w:r>
    </w:p>
    <w:p w:rsidR="00B757DF" w:rsidRPr="00780BEE" w:rsidRDefault="00CB73F6" w:rsidP="001D0D43">
      <w:pPr>
        <w:pStyle w:val="ListParagraph"/>
        <w:numPr>
          <w:ilvl w:val="2"/>
          <w:numId w:val="6"/>
        </w:numPr>
        <w:spacing w:line="240" w:lineRule="auto"/>
        <w:ind w:left="927"/>
        <w:rPr>
          <w:bCs/>
          <w:lang w:val="fr-CA"/>
        </w:rPr>
      </w:pPr>
      <w:r w:rsidRPr="00780BEE">
        <w:rPr>
          <w:bCs/>
          <w:lang w:val="fr-CA"/>
        </w:rPr>
        <w:t>Douleurs articulaires/musculaires migratrices, hépatite, pancréatite, fatigue intense, érythème nodulaire disséminé</w:t>
      </w:r>
    </w:p>
    <w:p w:rsidR="00B757DF" w:rsidRPr="00780BEE" w:rsidRDefault="00CB73F6" w:rsidP="001D0D43">
      <w:pPr>
        <w:pStyle w:val="ListParagraph"/>
        <w:numPr>
          <w:ilvl w:val="2"/>
          <w:numId w:val="6"/>
        </w:numPr>
        <w:spacing w:line="240" w:lineRule="auto"/>
        <w:ind w:left="927"/>
        <w:rPr>
          <w:bCs/>
          <w:lang w:val="fr-CA"/>
        </w:rPr>
      </w:pPr>
      <w:r w:rsidRPr="00780BEE">
        <w:rPr>
          <w:bCs/>
          <w:lang w:val="fr-CA"/>
        </w:rPr>
        <w:t xml:space="preserve">Neurologique: méningite, paralysie du nerf facial (paralysie de Bell), trouble de vision </w:t>
      </w:r>
    </w:p>
    <w:p w:rsidR="00B757DF" w:rsidRPr="00780BEE" w:rsidRDefault="00CB73F6" w:rsidP="001D0D43">
      <w:pPr>
        <w:pStyle w:val="ListParagraph"/>
        <w:numPr>
          <w:ilvl w:val="2"/>
          <w:numId w:val="6"/>
        </w:numPr>
        <w:spacing w:line="240" w:lineRule="auto"/>
        <w:ind w:left="927"/>
        <w:rPr>
          <w:bCs/>
        </w:rPr>
      </w:pPr>
      <w:r w:rsidRPr="00780BEE">
        <w:rPr>
          <w:bCs/>
          <w:lang w:val="fr-CA"/>
        </w:rPr>
        <w:t>Cardiaque: myocardite (arythmie)</w:t>
      </w:r>
    </w:p>
    <w:p w:rsidR="00B757DF" w:rsidRPr="003B11C1" w:rsidRDefault="00CB73F6" w:rsidP="00780BEE">
      <w:pPr>
        <w:spacing w:line="240" w:lineRule="auto"/>
        <w:rPr>
          <w:b/>
          <w:bCs/>
        </w:rPr>
      </w:pPr>
      <w:r w:rsidRPr="003B11C1">
        <w:rPr>
          <w:b/>
          <w:bCs/>
          <w:lang w:val="fr-CA"/>
        </w:rPr>
        <w:t>Troisième étape</w:t>
      </w:r>
    </w:p>
    <w:p w:rsidR="00B757DF" w:rsidRPr="00780BEE" w:rsidRDefault="00CB73F6" w:rsidP="001D0D43">
      <w:pPr>
        <w:pStyle w:val="ListParagraph"/>
        <w:numPr>
          <w:ilvl w:val="0"/>
          <w:numId w:val="7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Plusieurs mois ou années après la morsure:</w:t>
      </w:r>
    </w:p>
    <w:p w:rsidR="00B757DF" w:rsidRPr="00780BEE" w:rsidRDefault="00CB73F6" w:rsidP="001D0D43">
      <w:pPr>
        <w:pStyle w:val="ListParagraph"/>
        <w:numPr>
          <w:ilvl w:val="1"/>
          <w:numId w:val="7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Inflammation épisodique, douleurs et gonflement d’une ou plusieurs articulations (genou)</w:t>
      </w:r>
    </w:p>
    <w:p w:rsidR="00B757DF" w:rsidRPr="00780BEE" w:rsidRDefault="00CB73F6" w:rsidP="001D0D43">
      <w:pPr>
        <w:pStyle w:val="ListParagraph"/>
        <w:numPr>
          <w:ilvl w:val="1"/>
          <w:numId w:val="7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 xml:space="preserve">Troubles neurologiques (rare en Am-Nord): encéphalopathie, paraparésie </w:t>
      </w:r>
    </w:p>
    <w:p w:rsidR="00B757DF" w:rsidRPr="00780BEE" w:rsidRDefault="00CB73F6" w:rsidP="001D0D43">
      <w:pPr>
        <w:pStyle w:val="ListParagraph"/>
        <w:numPr>
          <w:ilvl w:val="1"/>
          <w:numId w:val="7"/>
        </w:numPr>
        <w:spacing w:line="240" w:lineRule="auto"/>
        <w:rPr>
          <w:bCs/>
        </w:rPr>
      </w:pPr>
      <w:r w:rsidRPr="00780BEE">
        <w:rPr>
          <w:bCs/>
          <w:lang w:val="fr-CA"/>
        </w:rPr>
        <w:t>Maladie chronique de la peau</w:t>
      </w:r>
    </w:p>
    <w:p w:rsidR="00B757DF" w:rsidRPr="00780BEE" w:rsidRDefault="00CB73F6" w:rsidP="001D0D43">
      <w:pPr>
        <w:pStyle w:val="ListParagraph"/>
        <w:numPr>
          <w:ilvl w:val="0"/>
          <w:numId w:val="7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Symptômes souvent reliés aux réponses immunitaires</w:t>
      </w:r>
    </w:p>
    <w:p w:rsidR="00B757DF" w:rsidRPr="003B11C1" w:rsidRDefault="00CB73F6" w:rsidP="00780BEE">
      <w:pPr>
        <w:spacing w:line="240" w:lineRule="auto"/>
        <w:rPr>
          <w:b/>
          <w:bCs/>
        </w:rPr>
      </w:pPr>
      <w:r w:rsidRPr="003B11C1">
        <w:rPr>
          <w:b/>
          <w:bCs/>
          <w:lang w:val="fr-CA"/>
        </w:rPr>
        <w:t>Réponse immunitaire</w:t>
      </w:r>
    </w:p>
    <w:p w:rsidR="00B757DF" w:rsidRPr="00780BEE" w:rsidRDefault="00CB73F6" w:rsidP="001D0D43">
      <w:pPr>
        <w:pStyle w:val="ListParagraph"/>
        <w:numPr>
          <w:ilvl w:val="0"/>
          <w:numId w:val="8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IgM &amp; IgG sont dépistés que 3 semaines après la morsure</w:t>
      </w:r>
    </w:p>
    <w:p w:rsidR="00B757DF" w:rsidRPr="00780BEE" w:rsidRDefault="00CB73F6" w:rsidP="001D0D43">
      <w:pPr>
        <w:pStyle w:val="ListParagraph"/>
        <w:numPr>
          <w:ilvl w:val="1"/>
          <w:numId w:val="8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Anticorps sont en premier dirigés contre:</w:t>
      </w:r>
    </w:p>
    <w:p w:rsidR="00B757DF" w:rsidRPr="00780BEE" w:rsidRDefault="00CB73F6" w:rsidP="001D0D43">
      <w:pPr>
        <w:pStyle w:val="ListParagraph"/>
        <w:numPr>
          <w:ilvl w:val="2"/>
          <w:numId w:val="8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OspC et protéines des filaments axiaux</w:t>
      </w:r>
    </w:p>
    <w:p w:rsidR="00B757DF" w:rsidRPr="00780BEE" w:rsidRDefault="00CB73F6" w:rsidP="001D0D43">
      <w:pPr>
        <w:pStyle w:val="ListParagraph"/>
        <w:numPr>
          <w:ilvl w:val="0"/>
          <w:numId w:val="8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Quelques semaines à plusieurs mois plus tard la réponse évolue vers les protéines membranaires</w:t>
      </w:r>
    </w:p>
    <w:p w:rsidR="00B757DF" w:rsidRPr="00780BEE" w:rsidRDefault="00CB73F6" w:rsidP="001D0D43">
      <w:pPr>
        <w:pStyle w:val="ListParagraph"/>
        <w:numPr>
          <w:ilvl w:val="1"/>
          <w:numId w:val="8"/>
        </w:numPr>
        <w:spacing w:line="240" w:lineRule="auto"/>
        <w:rPr>
          <w:bCs/>
        </w:rPr>
      </w:pPr>
      <w:r w:rsidRPr="00780BEE">
        <w:rPr>
          <w:bCs/>
          <w:lang w:val="fr-CA"/>
        </w:rPr>
        <w:t>Ex. OspA</w:t>
      </w:r>
    </w:p>
    <w:p w:rsidR="00B757DF" w:rsidRPr="003B11C1" w:rsidRDefault="00CB73F6" w:rsidP="00780BEE">
      <w:pPr>
        <w:spacing w:line="240" w:lineRule="auto"/>
        <w:rPr>
          <w:bCs/>
          <w:u w:val="single"/>
        </w:rPr>
      </w:pPr>
      <w:r w:rsidRPr="003B11C1">
        <w:rPr>
          <w:bCs/>
          <w:u w:val="single"/>
          <w:lang w:val="fr-CA"/>
        </w:rPr>
        <w:t>OspA &amp; OspC</w:t>
      </w:r>
    </w:p>
    <w:p w:rsidR="00B757DF" w:rsidRPr="00780BEE" w:rsidRDefault="00CB73F6" w:rsidP="001D0D43">
      <w:pPr>
        <w:pStyle w:val="ListParagraph"/>
        <w:numPr>
          <w:ilvl w:val="0"/>
          <w:numId w:val="9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Les deux protéines sont présentes à différents moments</w:t>
      </w:r>
    </w:p>
    <w:p w:rsidR="00B757DF" w:rsidRPr="00780BEE" w:rsidRDefault="00CB73F6" w:rsidP="001D0D43">
      <w:pPr>
        <w:pStyle w:val="ListParagraph"/>
        <w:numPr>
          <w:ilvl w:val="1"/>
          <w:numId w:val="9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 xml:space="preserve">Production sous le contrôle des </w:t>
      </w:r>
      <w:r w:rsidR="00780BEE">
        <w:rPr>
          <w:bCs/>
          <w:lang w:val="fr-CA"/>
        </w:rPr>
        <w:t>Δ</w:t>
      </w:r>
      <w:r w:rsidRPr="00780BEE">
        <w:rPr>
          <w:bCs/>
          <w:lang w:val="fr-CA"/>
        </w:rPr>
        <w:t xml:space="preserve"> de t</w:t>
      </w:r>
      <w:r w:rsidR="00780BEE">
        <w:rPr>
          <w:bCs/>
          <w:lang w:val="fr-CA"/>
        </w:rPr>
        <w:t>°</w:t>
      </w:r>
      <w:r w:rsidRPr="00780BEE">
        <w:rPr>
          <w:bCs/>
          <w:lang w:val="fr-CA"/>
        </w:rPr>
        <w:t xml:space="preserve"> et la présence de facteurs sériques (hémoglobine)</w:t>
      </w:r>
    </w:p>
    <w:p w:rsidR="00B757DF" w:rsidRPr="00780BEE" w:rsidRDefault="00CB73F6" w:rsidP="001D0D43">
      <w:pPr>
        <w:pStyle w:val="ListParagraph"/>
        <w:numPr>
          <w:ilvl w:val="0"/>
          <w:numId w:val="9"/>
        </w:numPr>
        <w:spacing w:line="240" w:lineRule="auto"/>
        <w:rPr>
          <w:bCs/>
        </w:rPr>
      </w:pPr>
      <w:r w:rsidRPr="00780BEE">
        <w:rPr>
          <w:bCs/>
          <w:lang w:val="fr-CA"/>
        </w:rPr>
        <w:t>OspA:</w:t>
      </w:r>
    </w:p>
    <w:p w:rsidR="00B757DF" w:rsidRPr="00780BEE" w:rsidRDefault="00CB73F6" w:rsidP="001D0D43">
      <w:pPr>
        <w:pStyle w:val="ListParagraph"/>
        <w:numPr>
          <w:ilvl w:val="1"/>
          <w:numId w:val="9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Présent dans l’estomac de la tique</w:t>
      </w:r>
    </w:p>
    <w:p w:rsidR="00B757DF" w:rsidRPr="00780BEE" w:rsidRDefault="00CB73F6" w:rsidP="001D0D43">
      <w:pPr>
        <w:pStyle w:val="ListParagraph"/>
        <w:numPr>
          <w:ilvl w:val="1"/>
          <w:numId w:val="9"/>
        </w:numPr>
        <w:spacing w:line="240" w:lineRule="auto"/>
        <w:rPr>
          <w:bCs/>
        </w:rPr>
      </w:pPr>
      <w:r w:rsidRPr="00780BEE">
        <w:rPr>
          <w:bCs/>
          <w:lang w:val="fr-CA"/>
        </w:rPr>
        <w:t>Fixe la bactérie à l’estomac</w:t>
      </w:r>
    </w:p>
    <w:p w:rsidR="00B757DF" w:rsidRPr="00780BEE" w:rsidRDefault="00CB73F6" w:rsidP="001D0D43">
      <w:pPr>
        <w:pStyle w:val="ListParagraph"/>
        <w:numPr>
          <w:ilvl w:val="1"/>
          <w:numId w:val="9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Au prochain repas, l’expression de la protéine est réduite en conséquence de la présence de sang et le changement de température ce qui correspond à la réanimation de la bactérie</w:t>
      </w:r>
    </w:p>
    <w:p w:rsidR="00B757DF" w:rsidRPr="00780BEE" w:rsidRDefault="00CB73F6" w:rsidP="001D0D43">
      <w:pPr>
        <w:pStyle w:val="ListParagraph"/>
        <w:numPr>
          <w:ilvl w:val="0"/>
          <w:numId w:val="9"/>
        </w:numPr>
        <w:spacing w:line="240" w:lineRule="auto"/>
        <w:rPr>
          <w:bCs/>
        </w:rPr>
      </w:pPr>
      <w:r w:rsidRPr="00780BEE">
        <w:rPr>
          <w:bCs/>
          <w:lang w:val="fr-CA"/>
        </w:rPr>
        <w:t>OspC</w:t>
      </w:r>
    </w:p>
    <w:p w:rsidR="00B757DF" w:rsidRPr="00780BEE" w:rsidRDefault="00CB73F6" w:rsidP="001D0D43">
      <w:pPr>
        <w:pStyle w:val="ListParagraph"/>
        <w:numPr>
          <w:ilvl w:val="1"/>
          <w:numId w:val="9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Présence coïncide avec la migration de la bactérie aux glandes salivaires de la tique</w:t>
      </w:r>
    </w:p>
    <w:p w:rsidR="00B757DF" w:rsidRPr="00780BEE" w:rsidRDefault="00CB73F6" w:rsidP="001D0D43">
      <w:pPr>
        <w:pStyle w:val="ListParagraph"/>
        <w:numPr>
          <w:ilvl w:val="1"/>
          <w:numId w:val="9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Une fois la bactérie est transmise de la tique à l’hôte, la transcription de la protéine est réduite</w:t>
      </w:r>
    </w:p>
    <w:p w:rsidR="00B757DF" w:rsidRPr="00780BEE" w:rsidRDefault="00CB73F6" w:rsidP="001D0D43">
      <w:pPr>
        <w:pStyle w:val="ListParagraph"/>
        <w:numPr>
          <w:ilvl w:val="0"/>
          <w:numId w:val="9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 xml:space="preserve">A cause du besoin de réanimation de l’état dormant, la transmission de la bactérie se fait qu’après un certain délai </w:t>
      </w:r>
    </w:p>
    <w:p w:rsidR="003B11C1" w:rsidRPr="007510F4" w:rsidRDefault="00CB73F6" w:rsidP="001D0D43">
      <w:pPr>
        <w:pStyle w:val="ListParagraph"/>
        <w:numPr>
          <w:ilvl w:val="1"/>
          <w:numId w:val="9"/>
        </w:numPr>
        <w:spacing w:line="240" w:lineRule="auto"/>
        <w:rPr>
          <w:bCs/>
        </w:rPr>
      </w:pPr>
      <w:r w:rsidRPr="00780BEE">
        <w:rPr>
          <w:bCs/>
          <w:lang w:val="fr-CA"/>
        </w:rPr>
        <w:t>Aucune transmission &lt;24 heures</w:t>
      </w:r>
    </w:p>
    <w:p w:rsidR="007510F4" w:rsidRDefault="007510F4" w:rsidP="007510F4">
      <w:pPr>
        <w:spacing w:line="240" w:lineRule="auto"/>
        <w:rPr>
          <w:bCs/>
        </w:rPr>
      </w:pPr>
    </w:p>
    <w:p w:rsidR="007510F4" w:rsidRPr="007510F4" w:rsidRDefault="007510F4" w:rsidP="007510F4">
      <w:pPr>
        <w:spacing w:line="240" w:lineRule="auto"/>
        <w:rPr>
          <w:bCs/>
        </w:rPr>
      </w:pPr>
    </w:p>
    <w:p w:rsidR="00B757DF" w:rsidRPr="00780BEE" w:rsidRDefault="00CB73F6" w:rsidP="00780BEE">
      <w:pPr>
        <w:spacing w:line="240" w:lineRule="auto"/>
        <w:rPr>
          <w:b/>
          <w:bCs/>
          <w:sz w:val="26"/>
          <w:szCs w:val="26"/>
          <w:lang w:val="fr-CA"/>
        </w:rPr>
      </w:pPr>
      <w:r w:rsidRPr="00780BEE">
        <w:rPr>
          <w:b/>
          <w:bCs/>
          <w:sz w:val="26"/>
          <w:szCs w:val="26"/>
          <w:lang w:val="fr-CA"/>
        </w:rPr>
        <w:lastRenderedPageBreak/>
        <w:t>Maladie de Lyme au Canada</w:t>
      </w:r>
    </w:p>
    <w:p w:rsidR="00B757DF" w:rsidRPr="00780BEE" w:rsidRDefault="00CB73F6" w:rsidP="001D0D43">
      <w:pPr>
        <w:pStyle w:val="ListParagraph"/>
        <w:numPr>
          <w:ilvl w:val="0"/>
          <w:numId w:val="10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Les populations permanentes de tiques:</w:t>
      </w:r>
    </w:p>
    <w:p w:rsidR="007510F4" w:rsidRDefault="007510F4" w:rsidP="001D0D43">
      <w:pPr>
        <w:pStyle w:val="ListParagraph"/>
        <w:numPr>
          <w:ilvl w:val="1"/>
          <w:numId w:val="10"/>
        </w:numPr>
        <w:spacing w:line="240" w:lineRule="auto"/>
        <w:rPr>
          <w:bCs/>
          <w:lang w:val="fr-CA"/>
        </w:rPr>
        <w:sectPr w:rsidR="007510F4" w:rsidSect="007510F4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B757DF" w:rsidRPr="00780BEE" w:rsidRDefault="00CB73F6" w:rsidP="001D0D43">
      <w:pPr>
        <w:pStyle w:val="ListParagraph"/>
        <w:numPr>
          <w:ilvl w:val="1"/>
          <w:numId w:val="10"/>
        </w:numPr>
        <w:spacing w:line="240" w:lineRule="auto"/>
        <w:ind w:left="927"/>
        <w:rPr>
          <w:bCs/>
          <w:lang w:val="fr-CA"/>
        </w:rPr>
      </w:pPr>
      <w:r w:rsidRPr="00780BEE">
        <w:rPr>
          <w:bCs/>
          <w:lang w:val="fr-CA"/>
        </w:rPr>
        <w:lastRenderedPageBreak/>
        <w:t>La vallée de Fraser (CB)</w:t>
      </w:r>
    </w:p>
    <w:p w:rsidR="00B757DF" w:rsidRPr="00780BEE" w:rsidRDefault="00CB73F6" w:rsidP="001D0D43">
      <w:pPr>
        <w:pStyle w:val="ListParagraph"/>
        <w:numPr>
          <w:ilvl w:val="1"/>
          <w:numId w:val="10"/>
        </w:numPr>
        <w:spacing w:line="240" w:lineRule="auto"/>
        <w:ind w:left="927"/>
        <w:rPr>
          <w:bCs/>
        </w:rPr>
      </w:pPr>
      <w:r w:rsidRPr="00780BEE">
        <w:rPr>
          <w:bCs/>
          <w:lang w:val="fr-CA"/>
        </w:rPr>
        <w:t>Le Sud du Manitoba</w:t>
      </w:r>
    </w:p>
    <w:p w:rsidR="00B757DF" w:rsidRPr="00780BEE" w:rsidRDefault="00CB73F6" w:rsidP="001D0D43">
      <w:pPr>
        <w:pStyle w:val="ListParagraph"/>
        <w:numPr>
          <w:ilvl w:val="1"/>
          <w:numId w:val="10"/>
        </w:numPr>
        <w:spacing w:line="240" w:lineRule="auto"/>
        <w:ind w:left="927"/>
        <w:rPr>
          <w:bCs/>
          <w:lang w:val="fr-CA"/>
        </w:rPr>
      </w:pPr>
      <w:r w:rsidRPr="00780BEE">
        <w:rPr>
          <w:bCs/>
          <w:lang w:val="fr-CA"/>
        </w:rPr>
        <w:t>Long Point dans le Sud de l’Ontario – lac Érié</w:t>
      </w:r>
    </w:p>
    <w:p w:rsidR="00B757DF" w:rsidRPr="00780BEE" w:rsidRDefault="00CB73F6" w:rsidP="001D0D43">
      <w:pPr>
        <w:pStyle w:val="ListParagraph"/>
        <w:numPr>
          <w:ilvl w:val="1"/>
          <w:numId w:val="10"/>
        </w:numPr>
        <w:spacing w:line="240" w:lineRule="auto"/>
        <w:ind w:left="927"/>
        <w:rPr>
          <w:bCs/>
          <w:lang w:val="fr-CA"/>
        </w:rPr>
      </w:pPr>
      <w:r w:rsidRPr="00780BEE">
        <w:rPr>
          <w:bCs/>
          <w:lang w:val="fr-CA"/>
        </w:rPr>
        <w:lastRenderedPageBreak/>
        <w:t>La région de Kingston – milles Isle</w:t>
      </w:r>
    </w:p>
    <w:p w:rsidR="00B757DF" w:rsidRPr="00780BEE" w:rsidRDefault="00CB73F6" w:rsidP="001D0D43">
      <w:pPr>
        <w:pStyle w:val="ListParagraph"/>
        <w:numPr>
          <w:ilvl w:val="1"/>
          <w:numId w:val="10"/>
        </w:numPr>
        <w:spacing w:line="240" w:lineRule="auto"/>
        <w:ind w:left="927"/>
        <w:rPr>
          <w:bCs/>
        </w:rPr>
      </w:pPr>
      <w:r w:rsidRPr="00780BEE">
        <w:rPr>
          <w:bCs/>
          <w:lang w:val="fr-CA"/>
        </w:rPr>
        <w:t>Vallée de l ’Annapolis – NE</w:t>
      </w:r>
    </w:p>
    <w:p w:rsidR="007510F4" w:rsidRDefault="00CB73F6" w:rsidP="001D0D43">
      <w:pPr>
        <w:pStyle w:val="ListParagraph"/>
        <w:numPr>
          <w:ilvl w:val="1"/>
          <w:numId w:val="10"/>
        </w:numPr>
        <w:spacing w:line="240" w:lineRule="auto"/>
        <w:ind w:left="927"/>
        <w:rPr>
          <w:bCs/>
          <w:lang w:val="fr-CA"/>
        </w:rPr>
        <w:sectPr w:rsidR="007510F4" w:rsidSect="007510F4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780BEE">
        <w:rPr>
          <w:bCs/>
          <w:lang w:val="fr-CA"/>
        </w:rPr>
        <w:t>Québec?</w:t>
      </w:r>
    </w:p>
    <w:p w:rsidR="00B757DF" w:rsidRPr="00780BEE" w:rsidRDefault="00B757DF" w:rsidP="007510F4">
      <w:pPr>
        <w:pStyle w:val="ListParagraph"/>
        <w:spacing w:line="240" w:lineRule="auto"/>
        <w:ind w:left="1440"/>
        <w:rPr>
          <w:bCs/>
        </w:rPr>
      </w:pPr>
    </w:p>
    <w:p w:rsidR="00B757DF" w:rsidRPr="00780BEE" w:rsidRDefault="00CB73F6" w:rsidP="001D0D43">
      <w:pPr>
        <w:pStyle w:val="ListParagraph"/>
        <w:numPr>
          <w:ilvl w:val="0"/>
          <w:numId w:val="10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Tiques infectées ont été retrouvées sporadiquement dans l’est</w:t>
      </w:r>
    </w:p>
    <w:p w:rsidR="00B757DF" w:rsidRPr="00780BEE" w:rsidRDefault="00CB73F6" w:rsidP="001D0D43">
      <w:pPr>
        <w:pStyle w:val="ListParagraph"/>
        <w:numPr>
          <w:ilvl w:val="1"/>
          <w:numId w:val="10"/>
        </w:numPr>
        <w:spacing w:line="240" w:lineRule="auto"/>
        <w:rPr>
          <w:bCs/>
        </w:rPr>
      </w:pPr>
      <w:r w:rsidRPr="00780BEE">
        <w:rPr>
          <w:bCs/>
          <w:lang w:val="fr-CA"/>
        </w:rPr>
        <w:t>Transportées par les oiseaux migrateurs</w:t>
      </w:r>
    </w:p>
    <w:p w:rsidR="00B757DF" w:rsidRPr="00780BEE" w:rsidRDefault="00CB73F6" w:rsidP="001D0D43">
      <w:pPr>
        <w:pStyle w:val="ListParagraph"/>
        <w:numPr>
          <w:ilvl w:val="1"/>
          <w:numId w:val="10"/>
        </w:numPr>
        <w:spacing w:line="240" w:lineRule="auto"/>
        <w:rPr>
          <w:bCs/>
        </w:rPr>
      </w:pPr>
      <w:r w:rsidRPr="00780BEE">
        <w:rPr>
          <w:bCs/>
          <w:lang w:val="fr-CA"/>
        </w:rPr>
        <w:t>Ne survivent pas l’hiver</w:t>
      </w:r>
    </w:p>
    <w:p w:rsidR="00B757DF" w:rsidRPr="00780BEE" w:rsidRDefault="00CB73F6" w:rsidP="00780BEE">
      <w:pPr>
        <w:spacing w:line="240" w:lineRule="auto"/>
        <w:rPr>
          <w:b/>
          <w:bCs/>
        </w:rPr>
      </w:pPr>
      <w:r w:rsidRPr="00780BEE">
        <w:rPr>
          <w:b/>
          <w:bCs/>
          <w:lang w:val="fr-CA"/>
        </w:rPr>
        <w:t>Prévention</w:t>
      </w:r>
    </w:p>
    <w:p w:rsidR="00B757DF" w:rsidRPr="00780BEE" w:rsidRDefault="00CB73F6" w:rsidP="001D0D43">
      <w:pPr>
        <w:pStyle w:val="ListParagraph"/>
        <w:numPr>
          <w:ilvl w:val="0"/>
          <w:numId w:val="11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Éviter les endroits endémiques (herbes hautes, régions boisées, sentiers)</w:t>
      </w:r>
    </w:p>
    <w:p w:rsidR="00B757DF" w:rsidRPr="00780BEE" w:rsidRDefault="00CB73F6" w:rsidP="001D0D43">
      <w:pPr>
        <w:pStyle w:val="ListParagraph"/>
        <w:numPr>
          <w:ilvl w:val="0"/>
          <w:numId w:val="11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Vêtements pâles, pantalon long, chemise à  manches longues, chaussures fermées</w:t>
      </w:r>
    </w:p>
    <w:p w:rsidR="00B757DF" w:rsidRPr="00780BEE" w:rsidRDefault="00CB73F6" w:rsidP="001D0D43">
      <w:pPr>
        <w:pStyle w:val="ListParagraph"/>
        <w:numPr>
          <w:ilvl w:val="0"/>
          <w:numId w:val="11"/>
        </w:numPr>
        <w:spacing w:line="240" w:lineRule="auto"/>
        <w:rPr>
          <w:bCs/>
        </w:rPr>
      </w:pPr>
      <w:r w:rsidRPr="00780BEE">
        <w:rPr>
          <w:bCs/>
          <w:lang w:val="fr-CA"/>
        </w:rPr>
        <w:t>Insectifuge (35% DEET)</w:t>
      </w:r>
    </w:p>
    <w:p w:rsidR="00B757DF" w:rsidRPr="00780BEE" w:rsidRDefault="00CB73F6" w:rsidP="001D0D43">
      <w:pPr>
        <w:pStyle w:val="ListParagraph"/>
        <w:numPr>
          <w:ilvl w:val="0"/>
          <w:numId w:val="11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Inspection fréquente du corps pour déceler les tiques</w:t>
      </w:r>
    </w:p>
    <w:p w:rsidR="00780BEE" w:rsidRPr="00780BEE" w:rsidRDefault="00CB73F6" w:rsidP="001D0D43">
      <w:pPr>
        <w:pStyle w:val="ListParagraph"/>
        <w:numPr>
          <w:ilvl w:val="1"/>
          <w:numId w:val="11"/>
        </w:numPr>
        <w:spacing w:line="240" w:lineRule="auto"/>
        <w:rPr>
          <w:bCs/>
          <w:lang w:val="fr-CA"/>
        </w:rPr>
      </w:pPr>
      <w:r w:rsidRPr="00780BEE">
        <w:rPr>
          <w:bCs/>
          <w:lang w:val="fr-CA"/>
        </w:rPr>
        <w:t>Enlevez avec des pinces à épilation en saisissant la tique par les mandibules et tirer doucement</w:t>
      </w:r>
    </w:p>
    <w:p w:rsidR="00241E9D" w:rsidRPr="00780BEE" w:rsidRDefault="00241E9D" w:rsidP="00780BEE">
      <w:pPr>
        <w:spacing w:line="240" w:lineRule="auto"/>
        <w:rPr>
          <w:b/>
          <w:bCs/>
          <w:sz w:val="30"/>
          <w:szCs w:val="30"/>
          <w:u w:val="double"/>
          <w:lang w:val="fr-CA"/>
        </w:rPr>
      </w:pPr>
      <w:r w:rsidRPr="007510F4">
        <w:rPr>
          <w:b/>
          <w:bCs/>
          <w:color w:val="00B050"/>
          <w:sz w:val="30"/>
          <w:szCs w:val="30"/>
          <w:u w:val="double"/>
          <w:lang w:val="fr-CA"/>
        </w:rPr>
        <w:t>Les rickettsies</w:t>
      </w:r>
      <w:r w:rsidRPr="007510F4">
        <w:rPr>
          <w:color w:val="00B050"/>
          <w:sz w:val="30"/>
          <w:szCs w:val="30"/>
          <w:u w:val="double"/>
          <w:lang w:val="fr-CA"/>
        </w:rPr>
        <w:t xml:space="preserve"> </w:t>
      </w:r>
    </w:p>
    <w:p w:rsidR="009401E2" w:rsidRPr="003A4EBA" w:rsidRDefault="00241E9D" w:rsidP="00780BEE">
      <w:pPr>
        <w:spacing w:line="240" w:lineRule="auto"/>
        <w:rPr>
          <w:b/>
          <w:lang w:val="fr-CA"/>
        </w:rPr>
      </w:pPr>
      <w:r w:rsidRPr="00241E9D">
        <w:rPr>
          <w:b/>
          <w:lang w:val="fr-CA"/>
        </w:rPr>
        <w:t>Généralités</w:t>
      </w:r>
    </w:p>
    <w:p w:rsidR="009401E2" w:rsidRPr="00780BEE" w:rsidRDefault="00241E9D" w:rsidP="001D0D43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780BEE">
        <w:rPr>
          <w:lang w:val="fr-CA"/>
        </w:rPr>
        <w:t>Bactéries de petite taille</w:t>
      </w:r>
    </w:p>
    <w:p w:rsidR="007510F4" w:rsidRDefault="007510F4" w:rsidP="001D0D43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  <w:sectPr w:rsidR="007510F4" w:rsidSect="007510F4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9401E2" w:rsidRPr="00780BEE" w:rsidRDefault="00241E9D" w:rsidP="001D0D43">
      <w:pPr>
        <w:pStyle w:val="ListParagraph"/>
        <w:numPr>
          <w:ilvl w:val="1"/>
          <w:numId w:val="12"/>
        </w:numPr>
        <w:spacing w:line="240" w:lineRule="auto"/>
        <w:ind w:left="927"/>
        <w:rPr>
          <w:lang w:val="fr-CA"/>
        </w:rPr>
      </w:pPr>
      <w:r w:rsidRPr="00780BEE">
        <w:rPr>
          <w:lang w:val="fr-CA"/>
        </w:rPr>
        <w:lastRenderedPageBreak/>
        <w:t>Apparentées aux Gram négatifs, en forme de coques ou de bacilles</w:t>
      </w:r>
    </w:p>
    <w:p w:rsidR="009401E2" w:rsidRDefault="00241E9D" w:rsidP="001D0D43">
      <w:pPr>
        <w:pStyle w:val="ListParagraph"/>
        <w:numPr>
          <w:ilvl w:val="1"/>
          <w:numId w:val="12"/>
        </w:numPr>
        <w:spacing w:line="240" w:lineRule="auto"/>
        <w:ind w:left="927"/>
        <w:rPr>
          <w:lang w:val="fr-CA"/>
        </w:rPr>
      </w:pPr>
      <w:r w:rsidRPr="00780BEE">
        <w:rPr>
          <w:lang w:val="fr-CA"/>
        </w:rPr>
        <w:t>Elles sont des parasites intracellulaires stricts</w:t>
      </w:r>
    </w:p>
    <w:p w:rsidR="007510F4" w:rsidRPr="00780BEE" w:rsidRDefault="007510F4" w:rsidP="007510F4">
      <w:pPr>
        <w:pStyle w:val="ListParagraph"/>
        <w:spacing w:line="240" w:lineRule="auto"/>
        <w:ind w:left="927"/>
        <w:rPr>
          <w:lang w:val="fr-CA"/>
        </w:rPr>
      </w:pPr>
    </w:p>
    <w:p w:rsidR="009401E2" w:rsidRPr="007510F4" w:rsidRDefault="00241E9D" w:rsidP="001D0D43">
      <w:pPr>
        <w:pStyle w:val="ListParagraph"/>
        <w:numPr>
          <w:ilvl w:val="1"/>
          <w:numId w:val="12"/>
        </w:numPr>
        <w:spacing w:line="240" w:lineRule="auto"/>
        <w:ind w:left="927"/>
        <w:rPr>
          <w:b/>
          <w:lang w:val="fr-CA"/>
        </w:rPr>
      </w:pPr>
      <w:r w:rsidRPr="007510F4">
        <w:rPr>
          <w:b/>
          <w:lang w:val="fr-CA"/>
        </w:rPr>
        <w:lastRenderedPageBreak/>
        <w:t>Les rickettsioses ont en commun:</w:t>
      </w:r>
    </w:p>
    <w:p w:rsidR="009401E2" w:rsidRPr="00241E9D" w:rsidRDefault="00241E9D" w:rsidP="001D0D43">
      <w:pPr>
        <w:pStyle w:val="ListParagraph"/>
        <w:numPr>
          <w:ilvl w:val="1"/>
          <w:numId w:val="12"/>
        </w:numPr>
        <w:spacing w:line="240" w:lineRule="auto"/>
        <w:ind w:left="927"/>
      </w:pPr>
      <w:r w:rsidRPr="00780BEE">
        <w:rPr>
          <w:lang w:val="fr-CA"/>
        </w:rPr>
        <w:t>Transmission par vecteur</w:t>
      </w:r>
    </w:p>
    <w:p w:rsidR="009401E2" w:rsidRPr="00241E9D" w:rsidRDefault="00241E9D" w:rsidP="001D0D43">
      <w:pPr>
        <w:pStyle w:val="ListParagraph"/>
        <w:numPr>
          <w:ilvl w:val="1"/>
          <w:numId w:val="12"/>
        </w:numPr>
        <w:spacing w:line="240" w:lineRule="auto"/>
        <w:ind w:left="927"/>
      </w:pPr>
      <w:r w:rsidRPr="00780BEE">
        <w:rPr>
          <w:lang w:val="fr-CA"/>
        </w:rPr>
        <w:t>Atteinte des endothéliums vasculaires</w:t>
      </w:r>
    </w:p>
    <w:p w:rsidR="007510F4" w:rsidRDefault="00241E9D" w:rsidP="001D0D43">
      <w:pPr>
        <w:pStyle w:val="ListParagraph"/>
        <w:numPr>
          <w:ilvl w:val="1"/>
          <w:numId w:val="12"/>
        </w:numPr>
        <w:spacing w:line="240" w:lineRule="auto"/>
        <w:ind w:left="927"/>
        <w:rPr>
          <w:lang w:val="fr-CA"/>
        </w:rPr>
        <w:sectPr w:rsidR="007510F4" w:rsidSect="007510F4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780BEE">
        <w:rPr>
          <w:lang w:val="fr-CA"/>
        </w:rPr>
        <w:t>Traits symptomatiques: fièvre, exanthème</w:t>
      </w:r>
    </w:p>
    <w:p w:rsidR="009401E2" w:rsidRPr="00241E9D" w:rsidRDefault="00241E9D" w:rsidP="00780BEE">
      <w:pPr>
        <w:spacing w:line="240" w:lineRule="auto"/>
        <w:rPr>
          <w:b/>
        </w:rPr>
      </w:pPr>
      <w:r w:rsidRPr="00241E9D">
        <w:rPr>
          <w:b/>
        </w:rPr>
        <w:lastRenderedPageBreak/>
        <w:t>Les rickettsioses</w:t>
      </w:r>
    </w:p>
    <w:p w:rsidR="009401E2" w:rsidRPr="00234EBF" w:rsidRDefault="00241E9D" w:rsidP="001D0D43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234EBF">
        <w:rPr>
          <w:lang w:val="fr-CA"/>
        </w:rPr>
        <w:t>On distingue 4 groupes de rickettsioses:</w:t>
      </w:r>
    </w:p>
    <w:p w:rsidR="00A31A62" w:rsidRDefault="00A31A62" w:rsidP="001D0D43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  <w:sectPr w:rsidR="00A31A62" w:rsidSect="007510F4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9401E2" w:rsidRPr="00241E9D" w:rsidRDefault="00241E9D" w:rsidP="001D0D43">
      <w:pPr>
        <w:pStyle w:val="ListParagraph"/>
        <w:numPr>
          <w:ilvl w:val="1"/>
          <w:numId w:val="12"/>
        </w:numPr>
        <w:spacing w:line="240" w:lineRule="auto"/>
        <w:ind w:left="927"/>
      </w:pPr>
      <w:r w:rsidRPr="00234EBF">
        <w:rPr>
          <w:lang w:val="fr-CA"/>
        </w:rPr>
        <w:lastRenderedPageBreak/>
        <w:t>Les rickettsioses cosmopolites (typhus)</w:t>
      </w:r>
    </w:p>
    <w:p w:rsidR="009401E2" w:rsidRPr="00241E9D" w:rsidRDefault="00241E9D" w:rsidP="001D0D43">
      <w:pPr>
        <w:pStyle w:val="ListParagraph"/>
        <w:numPr>
          <w:ilvl w:val="2"/>
          <w:numId w:val="12"/>
        </w:numPr>
        <w:spacing w:line="240" w:lineRule="auto"/>
        <w:ind w:left="927"/>
      </w:pPr>
      <w:r w:rsidRPr="00234EBF">
        <w:rPr>
          <w:lang w:val="fr-CA"/>
        </w:rPr>
        <w:t>Typhus murin, typhus endémique</w:t>
      </w:r>
    </w:p>
    <w:p w:rsidR="009401E2" w:rsidRPr="00234EBF" w:rsidRDefault="00241E9D" w:rsidP="001D0D43">
      <w:pPr>
        <w:pStyle w:val="ListParagraph"/>
        <w:numPr>
          <w:ilvl w:val="1"/>
          <w:numId w:val="12"/>
        </w:numPr>
        <w:spacing w:line="240" w:lineRule="auto"/>
        <w:ind w:left="927"/>
        <w:rPr>
          <w:lang w:val="fr-CA"/>
        </w:rPr>
      </w:pPr>
      <w:r w:rsidRPr="00234EBF">
        <w:rPr>
          <w:lang w:val="fr-CA"/>
        </w:rPr>
        <w:t>Les rickettsioses du g</w:t>
      </w:r>
      <w:r w:rsidR="00A31A62">
        <w:rPr>
          <w:lang w:val="fr-CA"/>
        </w:rPr>
        <w:t>rp</w:t>
      </w:r>
      <w:r w:rsidRPr="00234EBF">
        <w:rPr>
          <w:lang w:val="fr-CA"/>
        </w:rPr>
        <w:t xml:space="preserve"> boutonneux pourpré</w:t>
      </w:r>
    </w:p>
    <w:p w:rsidR="009401E2" w:rsidRPr="00234EBF" w:rsidRDefault="00241E9D" w:rsidP="001D0D43">
      <w:pPr>
        <w:pStyle w:val="ListParagraph"/>
        <w:numPr>
          <w:ilvl w:val="2"/>
          <w:numId w:val="12"/>
        </w:numPr>
        <w:spacing w:line="240" w:lineRule="auto"/>
        <w:ind w:left="927"/>
        <w:rPr>
          <w:lang w:val="fr-CA"/>
        </w:rPr>
      </w:pPr>
      <w:r w:rsidRPr="00234EBF">
        <w:rPr>
          <w:lang w:val="fr-CA"/>
        </w:rPr>
        <w:t>Fièvre pourprée des montagnes Rocheuses</w:t>
      </w:r>
    </w:p>
    <w:p w:rsidR="009401E2" w:rsidRPr="00241E9D" w:rsidRDefault="00241E9D" w:rsidP="001D0D43">
      <w:pPr>
        <w:pStyle w:val="ListParagraph"/>
        <w:numPr>
          <w:ilvl w:val="1"/>
          <w:numId w:val="12"/>
        </w:numPr>
        <w:spacing w:line="240" w:lineRule="auto"/>
        <w:ind w:left="927"/>
      </w:pPr>
      <w:r w:rsidRPr="00234EBF">
        <w:rPr>
          <w:lang w:val="fr-CA"/>
        </w:rPr>
        <w:lastRenderedPageBreak/>
        <w:t>Les rickettsioses asiatiques</w:t>
      </w:r>
    </w:p>
    <w:p w:rsidR="00A31A62" w:rsidRDefault="00241E9D" w:rsidP="001D0D43">
      <w:pPr>
        <w:pStyle w:val="ListParagraph"/>
        <w:numPr>
          <w:ilvl w:val="1"/>
          <w:numId w:val="12"/>
        </w:numPr>
        <w:spacing w:line="240" w:lineRule="auto"/>
        <w:ind w:left="927"/>
        <w:rPr>
          <w:lang w:val="fr-CA"/>
        </w:rPr>
      </w:pPr>
      <w:r w:rsidRPr="00234EBF">
        <w:rPr>
          <w:lang w:val="fr-CA"/>
        </w:rPr>
        <w:t>La fièvre Q</w:t>
      </w:r>
    </w:p>
    <w:p w:rsidR="00A31A62" w:rsidRDefault="00A31A62" w:rsidP="00A31A62">
      <w:pPr>
        <w:spacing w:line="240" w:lineRule="auto"/>
        <w:rPr>
          <w:lang w:val="fr-CA"/>
        </w:rPr>
      </w:pPr>
    </w:p>
    <w:p w:rsidR="00A31A62" w:rsidRPr="00A31A62" w:rsidRDefault="00A31A62" w:rsidP="00A31A62">
      <w:pPr>
        <w:spacing w:line="240" w:lineRule="auto"/>
        <w:rPr>
          <w:lang w:val="fr-CA"/>
        </w:rPr>
        <w:sectPr w:rsidR="00A31A62" w:rsidRPr="00A31A62" w:rsidSect="00A31A62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</w:p>
    <w:p w:rsidR="00241E9D" w:rsidRPr="00780BEE" w:rsidRDefault="00241E9D" w:rsidP="00780BEE">
      <w:pPr>
        <w:spacing w:line="240" w:lineRule="auto"/>
        <w:rPr>
          <w:b/>
          <w:lang w:val="fr-CA"/>
        </w:rPr>
      </w:pPr>
      <w:r w:rsidRPr="00241E9D">
        <w:rPr>
          <w:b/>
          <w:lang w:val="fr-CA"/>
        </w:rPr>
        <w:lastRenderedPageBreak/>
        <w:t>Leur physiologie</w:t>
      </w:r>
    </w:p>
    <w:p w:rsidR="00241E9D" w:rsidRPr="00234EBF" w:rsidRDefault="00241E9D" w:rsidP="001D0D43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234EBF">
        <w:rPr>
          <w:lang w:val="fr-CA"/>
        </w:rPr>
        <w:t>Adapté à une niche intra-cellulaire</w:t>
      </w:r>
    </w:p>
    <w:p w:rsidR="00241E9D" w:rsidRPr="00234EBF" w:rsidRDefault="00241E9D" w:rsidP="001D0D43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234EBF">
        <w:rPr>
          <w:lang w:val="fr-CA"/>
        </w:rPr>
        <w:t>Les rickettsies se développent dans le cytosol</w:t>
      </w:r>
    </w:p>
    <w:p w:rsidR="00241E9D" w:rsidRPr="00234EBF" w:rsidRDefault="00241E9D" w:rsidP="001D0D43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234EBF">
        <w:rPr>
          <w:lang w:val="fr-CA"/>
        </w:rPr>
        <w:t>Elles transportent l’ATP, acides aminés et autres métabolites de la cellule hôte</w:t>
      </w:r>
    </w:p>
    <w:p w:rsidR="00A31A62" w:rsidRDefault="00241E9D" w:rsidP="001D0D43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234EBF">
        <w:rPr>
          <w:lang w:val="fr-CA"/>
        </w:rPr>
        <w:t>Elles ne survivent pas longtemps à l’extérieur de la cellule hôte et donc transmises par un vecteur</w:t>
      </w:r>
    </w:p>
    <w:p w:rsidR="00A31A62" w:rsidRPr="00A31A62" w:rsidRDefault="00A31A62" w:rsidP="00A31A62">
      <w:pPr>
        <w:pStyle w:val="ListParagraph"/>
        <w:spacing w:line="240" w:lineRule="auto"/>
        <w:ind w:left="1440"/>
        <w:rPr>
          <w:lang w:val="fr-CA"/>
        </w:rPr>
      </w:pPr>
    </w:p>
    <w:p w:rsidR="009401E2" w:rsidRPr="00A31A62" w:rsidRDefault="00241E9D" w:rsidP="001D0D43">
      <w:pPr>
        <w:pStyle w:val="ListParagraph"/>
        <w:numPr>
          <w:ilvl w:val="0"/>
          <w:numId w:val="12"/>
        </w:numPr>
        <w:spacing w:line="240" w:lineRule="auto"/>
        <w:ind w:left="371"/>
        <w:rPr>
          <w:b/>
        </w:rPr>
      </w:pPr>
      <w:r w:rsidRPr="00A31A62">
        <w:rPr>
          <w:b/>
          <w:lang w:val="fr-CA"/>
        </w:rPr>
        <w:t>Groupe boutonneux pourpré</w:t>
      </w:r>
    </w:p>
    <w:p w:rsidR="009401E2" w:rsidRPr="00234EBF" w:rsidRDefault="00241E9D" w:rsidP="001D0D43">
      <w:pPr>
        <w:pStyle w:val="ListParagraph"/>
        <w:numPr>
          <w:ilvl w:val="0"/>
          <w:numId w:val="13"/>
        </w:numPr>
        <w:spacing w:line="240" w:lineRule="auto"/>
        <w:rPr>
          <w:u w:val="single"/>
        </w:rPr>
      </w:pPr>
      <w:r w:rsidRPr="00234EBF">
        <w:rPr>
          <w:i/>
          <w:iCs/>
          <w:u w:val="single"/>
          <w:lang w:val="fr-CA"/>
        </w:rPr>
        <w:t>Rickettsia rickettsii</w:t>
      </w:r>
    </w:p>
    <w:p w:rsidR="009401E2" w:rsidRPr="00234EBF" w:rsidRDefault="00241E9D" w:rsidP="001D0D43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234EBF">
        <w:rPr>
          <w:lang w:val="fr-CA"/>
        </w:rPr>
        <w:t>Fièvre pourprée des montagnes rocheuses (FPMR) ( (+) sévère</w:t>
      </w:r>
    </w:p>
    <w:p w:rsidR="009401E2" w:rsidRPr="00234EBF" w:rsidRDefault="00241E9D" w:rsidP="001D0D43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234EBF">
        <w:rPr>
          <w:lang w:val="fr-CA"/>
        </w:rPr>
        <w:t>Réservoir et vecteur: Les tiques - L’infection est maintenue par transmission transovarienne</w:t>
      </w:r>
    </w:p>
    <w:p w:rsidR="009401E2" w:rsidRPr="00234EBF" w:rsidRDefault="00241E9D" w:rsidP="001D0D43">
      <w:pPr>
        <w:pStyle w:val="ListParagraph"/>
        <w:numPr>
          <w:ilvl w:val="2"/>
          <w:numId w:val="13"/>
        </w:numPr>
        <w:spacing w:line="240" w:lineRule="auto"/>
        <w:rPr>
          <w:lang w:val="fr-CA"/>
        </w:rPr>
      </w:pPr>
      <w:r w:rsidRPr="00234EBF">
        <w:rPr>
          <w:lang w:val="fr-CA"/>
        </w:rPr>
        <w:t>Commun en Amérique du Nord (Est). Plus de la moitié des cas sont rapportés aux Sud des États Atlantique (Virginie, Delaware, Maryland..)</w:t>
      </w:r>
    </w:p>
    <w:p w:rsidR="009401E2" w:rsidRPr="00173478" w:rsidRDefault="00241E9D" w:rsidP="001D0D43">
      <w:pPr>
        <w:pStyle w:val="ListParagraph"/>
        <w:numPr>
          <w:ilvl w:val="0"/>
          <w:numId w:val="14"/>
        </w:numPr>
        <w:spacing w:line="240" w:lineRule="auto"/>
      </w:pPr>
      <w:r w:rsidRPr="00234EBF">
        <w:rPr>
          <w:i/>
          <w:iCs/>
          <w:u w:val="single"/>
          <w:lang w:val="fr-CA"/>
        </w:rPr>
        <w:t>Rickettsia conorii</w:t>
      </w:r>
      <w:r w:rsidRPr="00234EBF">
        <w:rPr>
          <w:i/>
          <w:iCs/>
          <w:lang w:val="fr-CA"/>
        </w:rPr>
        <w:t>:</w:t>
      </w:r>
    </w:p>
    <w:p w:rsidR="009401E2" w:rsidRPr="00173478" w:rsidRDefault="00241E9D" w:rsidP="001D0D43">
      <w:pPr>
        <w:pStyle w:val="ListParagraph"/>
        <w:numPr>
          <w:ilvl w:val="1"/>
          <w:numId w:val="14"/>
        </w:numPr>
        <w:spacing w:line="240" w:lineRule="auto"/>
      </w:pPr>
      <w:r w:rsidRPr="00234EBF">
        <w:rPr>
          <w:i/>
          <w:iCs/>
          <w:lang w:val="fr-CA"/>
        </w:rPr>
        <w:t>Fièvre boutonneuse</w:t>
      </w:r>
    </w:p>
    <w:p w:rsidR="009401E2" w:rsidRPr="00234EBF" w:rsidRDefault="00241E9D" w:rsidP="001D0D43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234EBF">
        <w:rPr>
          <w:lang w:val="fr-CA"/>
        </w:rPr>
        <w:t>Réservoir et vecteur: Les tiques - L’infection est maintenue par transmission transovarienne</w:t>
      </w:r>
    </w:p>
    <w:p w:rsidR="009401E2" w:rsidRPr="00234EBF" w:rsidRDefault="00241E9D" w:rsidP="001D0D43">
      <w:pPr>
        <w:pStyle w:val="ListParagraph"/>
        <w:numPr>
          <w:ilvl w:val="2"/>
          <w:numId w:val="14"/>
        </w:numPr>
        <w:spacing w:line="240" w:lineRule="auto"/>
        <w:rPr>
          <w:lang w:val="fr-CA"/>
        </w:rPr>
      </w:pPr>
      <w:r w:rsidRPr="00234EBF">
        <w:rPr>
          <w:lang w:val="fr-CA"/>
        </w:rPr>
        <w:t>Commun dans le Sud de l’Europe, l’Afrique et l’Asie</w:t>
      </w:r>
    </w:p>
    <w:p w:rsidR="009401E2" w:rsidRPr="00234EBF" w:rsidRDefault="00241E9D" w:rsidP="00780BEE">
      <w:pPr>
        <w:spacing w:line="240" w:lineRule="auto"/>
        <w:ind w:firstLine="360"/>
        <w:rPr>
          <w:b/>
          <w:lang w:val="fr-CA"/>
        </w:rPr>
      </w:pPr>
      <w:r w:rsidRPr="00C117CC">
        <w:rPr>
          <w:b/>
          <w:lang w:val="fr-CA"/>
        </w:rPr>
        <w:lastRenderedPageBreak/>
        <w:t>Évolution clinique</w:t>
      </w:r>
    </w:p>
    <w:p w:rsidR="009401E2" w:rsidRPr="00234EBF" w:rsidRDefault="00241E9D" w:rsidP="001D0D43">
      <w:pPr>
        <w:pStyle w:val="ListParagraph"/>
        <w:numPr>
          <w:ilvl w:val="0"/>
          <w:numId w:val="15"/>
        </w:numPr>
        <w:spacing w:line="240" w:lineRule="auto"/>
        <w:rPr>
          <w:lang w:val="fr-CA"/>
        </w:rPr>
      </w:pPr>
      <w:r w:rsidRPr="00234EBF">
        <w:rPr>
          <w:lang w:val="fr-CA"/>
        </w:rPr>
        <w:t>1 semaine après la piqure de la tique:</w:t>
      </w:r>
    </w:p>
    <w:p w:rsidR="009401E2" w:rsidRPr="00234EBF" w:rsidRDefault="00241E9D" w:rsidP="001D0D43">
      <w:pPr>
        <w:pStyle w:val="ListParagraph"/>
        <w:numPr>
          <w:ilvl w:val="1"/>
          <w:numId w:val="15"/>
        </w:numPr>
        <w:spacing w:line="240" w:lineRule="auto"/>
        <w:rPr>
          <w:lang w:val="fr-CA"/>
        </w:rPr>
      </w:pPr>
      <w:r w:rsidRPr="00234EBF">
        <w:rPr>
          <w:lang w:val="fr-CA"/>
        </w:rPr>
        <w:t>Fièvre (39</w:t>
      </w:r>
      <w:r w:rsidRPr="00234EBF">
        <w:rPr>
          <w:vertAlign w:val="superscript"/>
          <w:lang w:val="fr-CA"/>
        </w:rPr>
        <w:t>o</w:t>
      </w:r>
      <w:r w:rsidRPr="00234EBF">
        <w:rPr>
          <w:lang w:val="fr-CA"/>
        </w:rPr>
        <w:t>C), nausées, vomissements, céphalées, myalgies</w:t>
      </w:r>
    </w:p>
    <w:p w:rsidR="009401E2" w:rsidRPr="00234EBF" w:rsidRDefault="00241E9D" w:rsidP="001D0D43">
      <w:pPr>
        <w:pStyle w:val="ListParagraph"/>
        <w:numPr>
          <w:ilvl w:val="1"/>
          <w:numId w:val="15"/>
        </w:numPr>
        <w:spacing w:line="240" w:lineRule="auto"/>
        <w:rPr>
          <w:lang w:val="fr-CA"/>
        </w:rPr>
      </w:pPr>
      <w:r w:rsidRPr="00234EBF">
        <w:rPr>
          <w:lang w:val="fr-CA"/>
        </w:rPr>
        <w:t>Symptômes tardifs (7 jours après la fièvre) – éruption maculopapuleuse</w:t>
      </w:r>
    </w:p>
    <w:p w:rsidR="009401E2" w:rsidRPr="00234EBF" w:rsidRDefault="00241E9D" w:rsidP="001D0D43">
      <w:pPr>
        <w:pStyle w:val="ListParagraph"/>
        <w:numPr>
          <w:ilvl w:val="2"/>
          <w:numId w:val="15"/>
        </w:numPr>
        <w:spacing w:line="240" w:lineRule="auto"/>
        <w:rPr>
          <w:lang w:val="fr-CA"/>
        </w:rPr>
      </w:pPr>
      <w:r w:rsidRPr="00234EBF">
        <w:rPr>
          <w:lang w:val="fr-CA"/>
        </w:rPr>
        <w:t>La paume ou la plante des pieds</w:t>
      </w:r>
    </w:p>
    <w:p w:rsidR="009401E2" w:rsidRPr="00234EBF" w:rsidRDefault="00241E9D" w:rsidP="001D0D43">
      <w:pPr>
        <w:pStyle w:val="ListParagraph"/>
        <w:numPr>
          <w:ilvl w:val="0"/>
          <w:numId w:val="15"/>
        </w:numPr>
        <w:spacing w:line="240" w:lineRule="auto"/>
        <w:rPr>
          <w:lang w:val="fr-CA"/>
        </w:rPr>
      </w:pPr>
      <w:r w:rsidRPr="00234EBF">
        <w:rPr>
          <w:lang w:val="fr-CA"/>
        </w:rPr>
        <w:t>La FPMR est généralement plus sévère et souvent accompagnée de pétéchies et anomalies tel que la thrombopénie, hépatite...atteinte viscérale</w:t>
      </w:r>
    </w:p>
    <w:p w:rsidR="009401E2" w:rsidRPr="00234EBF" w:rsidRDefault="00241E9D" w:rsidP="001D0D43">
      <w:pPr>
        <w:pStyle w:val="ListParagraph"/>
        <w:numPr>
          <w:ilvl w:val="1"/>
          <w:numId w:val="15"/>
        </w:numPr>
        <w:spacing w:line="240" w:lineRule="auto"/>
        <w:rPr>
          <w:lang w:val="fr-CA"/>
        </w:rPr>
      </w:pPr>
      <w:r w:rsidRPr="00234EBF">
        <w:rPr>
          <w:lang w:val="fr-CA"/>
        </w:rPr>
        <w:t xml:space="preserve">La fièvre boutonneuse est accompagnée d’escarre et adénopathies au site de la morsure: tache noire </w:t>
      </w:r>
    </w:p>
    <w:p w:rsidR="009401E2" w:rsidRPr="00241E9D" w:rsidRDefault="00241E9D" w:rsidP="00780BEE">
      <w:pPr>
        <w:spacing w:line="240" w:lineRule="auto"/>
        <w:rPr>
          <w:b/>
        </w:rPr>
      </w:pPr>
      <w:r w:rsidRPr="00241E9D">
        <w:rPr>
          <w:b/>
        </w:rPr>
        <w:t>Rickettsiose cosmopolite</w:t>
      </w:r>
    </w:p>
    <w:p w:rsidR="009401E2" w:rsidRPr="00234EBF" w:rsidRDefault="00241E9D" w:rsidP="001D0D43">
      <w:pPr>
        <w:pStyle w:val="ListParagraph"/>
        <w:numPr>
          <w:ilvl w:val="0"/>
          <w:numId w:val="16"/>
        </w:numPr>
        <w:spacing w:line="240" w:lineRule="auto"/>
        <w:rPr>
          <w:lang w:val="fr-CA"/>
        </w:rPr>
      </w:pPr>
      <w:r w:rsidRPr="00234EBF">
        <w:rPr>
          <w:lang w:val="fr-CA"/>
        </w:rPr>
        <w:t>Les fièvres du groupe typhu</w:t>
      </w:r>
      <w:bookmarkStart w:id="0" w:name="_GoBack"/>
      <w:bookmarkEnd w:id="0"/>
      <w:r w:rsidRPr="00234EBF">
        <w:rPr>
          <w:lang w:val="fr-CA"/>
        </w:rPr>
        <w:t>s sont parmi les rickettsioses les plus répandues et les plus importantes</w:t>
      </w:r>
    </w:p>
    <w:p w:rsidR="009401E2" w:rsidRPr="00234EBF" w:rsidRDefault="00241E9D" w:rsidP="001D0D43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234EBF">
        <w:rPr>
          <w:lang w:val="fr-CA"/>
        </w:rPr>
        <w:t>Elles sont transmises par les poux (leurs déjections)</w:t>
      </w:r>
    </w:p>
    <w:p w:rsidR="009401E2" w:rsidRPr="00234EBF" w:rsidRDefault="00241E9D" w:rsidP="001D0D43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234EBF">
        <w:rPr>
          <w:lang w:val="fr-CA"/>
        </w:rPr>
        <w:t>Réservoir: humains et les petits rongeurs</w:t>
      </w:r>
    </w:p>
    <w:p w:rsidR="009401E2" w:rsidRPr="00234EBF" w:rsidRDefault="00241E9D" w:rsidP="001D0D43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234EBF">
        <w:rPr>
          <w:lang w:val="fr-CA"/>
        </w:rPr>
        <w:t>Maladies de promiscuité, pauvreté, guerre, et manque d’hygiène</w:t>
      </w:r>
    </w:p>
    <w:p w:rsidR="009401E2" w:rsidRPr="00241E9D" w:rsidRDefault="00241E9D" w:rsidP="001D0D43">
      <w:pPr>
        <w:pStyle w:val="ListParagraph"/>
        <w:numPr>
          <w:ilvl w:val="0"/>
          <w:numId w:val="16"/>
        </w:numPr>
        <w:spacing w:line="240" w:lineRule="auto"/>
      </w:pPr>
      <w:r w:rsidRPr="00234EBF">
        <w:rPr>
          <w:lang w:val="fr-CA"/>
        </w:rPr>
        <w:t>Deux agents notables:</w:t>
      </w:r>
    </w:p>
    <w:p w:rsidR="009401E2" w:rsidRPr="00234EBF" w:rsidRDefault="00241E9D" w:rsidP="001D0D43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234EBF">
        <w:rPr>
          <w:i/>
          <w:iCs/>
          <w:lang w:val="fr-CA"/>
        </w:rPr>
        <w:t>R. prowazeckii</w:t>
      </w:r>
      <w:r w:rsidRPr="00234EBF">
        <w:rPr>
          <w:lang w:val="fr-CA"/>
        </w:rPr>
        <w:t>: typhus épidémique et maladie de Brill-Zinsser</w:t>
      </w:r>
    </w:p>
    <w:p w:rsidR="009401E2" w:rsidRPr="00234EBF" w:rsidRDefault="00241E9D" w:rsidP="001D0D43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234EBF">
        <w:rPr>
          <w:i/>
          <w:iCs/>
          <w:lang w:val="fr-CA"/>
        </w:rPr>
        <w:t>R. typhi</w:t>
      </w:r>
      <w:r w:rsidRPr="00234EBF">
        <w:rPr>
          <w:lang w:val="fr-CA"/>
        </w:rPr>
        <w:t>: typhus murin ou typhus tropical</w:t>
      </w:r>
    </w:p>
    <w:p w:rsidR="009401E2" w:rsidRPr="00241E9D" w:rsidRDefault="00241E9D" w:rsidP="00780BEE">
      <w:pPr>
        <w:spacing w:line="240" w:lineRule="auto"/>
        <w:ind w:firstLine="360"/>
        <w:rPr>
          <w:b/>
        </w:rPr>
      </w:pPr>
      <w:r w:rsidRPr="00241E9D">
        <w:rPr>
          <w:b/>
          <w:lang w:val="fr-CA"/>
        </w:rPr>
        <w:t>Évolution clinique</w:t>
      </w:r>
    </w:p>
    <w:p w:rsidR="009401E2" w:rsidRPr="00234EBF" w:rsidRDefault="00241E9D" w:rsidP="001D0D43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234EBF">
        <w:rPr>
          <w:lang w:val="fr-CA"/>
        </w:rPr>
        <w:t>1 semaine après la piqure de la tique:</w:t>
      </w:r>
    </w:p>
    <w:p w:rsidR="009401E2" w:rsidRPr="00234EBF" w:rsidRDefault="00241E9D" w:rsidP="001D0D43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234EBF">
        <w:rPr>
          <w:lang w:val="fr-CA"/>
        </w:rPr>
        <w:t>Fièvre (39</w:t>
      </w:r>
      <w:r w:rsidRPr="00234EBF">
        <w:rPr>
          <w:vertAlign w:val="superscript"/>
          <w:lang w:val="fr-CA"/>
        </w:rPr>
        <w:t>o</w:t>
      </w:r>
      <w:r w:rsidRPr="00234EBF">
        <w:rPr>
          <w:lang w:val="fr-CA"/>
        </w:rPr>
        <w:t>C), nausées, vomissements, céphalées, myalgies</w:t>
      </w:r>
    </w:p>
    <w:p w:rsidR="009401E2" w:rsidRPr="00234EBF" w:rsidRDefault="00241E9D" w:rsidP="001D0D43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234EBF">
        <w:rPr>
          <w:lang w:val="fr-CA"/>
        </w:rPr>
        <w:t>Symptômes tardifs (7 jours après la fièvre) – éruption maculopapuleuse</w:t>
      </w:r>
    </w:p>
    <w:p w:rsidR="009401E2" w:rsidRPr="00234EBF" w:rsidRDefault="00241E9D" w:rsidP="001D0D43">
      <w:pPr>
        <w:pStyle w:val="ListParagraph"/>
        <w:numPr>
          <w:ilvl w:val="2"/>
          <w:numId w:val="17"/>
        </w:numPr>
        <w:spacing w:line="240" w:lineRule="auto"/>
        <w:rPr>
          <w:lang w:val="fr-CA"/>
        </w:rPr>
      </w:pPr>
      <w:r w:rsidRPr="00234EBF">
        <w:rPr>
          <w:lang w:val="fr-CA"/>
        </w:rPr>
        <w:t>La paume ou la plante des pieds</w:t>
      </w:r>
    </w:p>
    <w:p w:rsidR="009401E2" w:rsidRPr="00234EBF" w:rsidRDefault="00241E9D" w:rsidP="001D0D43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234EBF">
        <w:rPr>
          <w:lang w:val="fr-CA"/>
        </w:rPr>
        <w:t>La FPMR est généralement plus sévère et souvent accompagnée de pétéchies et anomalies tel que la thrombopénie, hépatite...atteinte viscérale</w:t>
      </w:r>
    </w:p>
    <w:p w:rsidR="009401E2" w:rsidRDefault="00241E9D" w:rsidP="001D0D43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234EBF">
        <w:rPr>
          <w:lang w:val="fr-CA"/>
        </w:rPr>
        <w:t xml:space="preserve">La fièvre boutonneuse est accompagnée d’escarre et adénopathies au site de la morsure: tache noire </w:t>
      </w:r>
    </w:p>
    <w:p w:rsidR="007510F4" w:rsidRDefault="007510F4" w:rsidP="007510F4">
      <w:pPr>
        <w:spacing w:line="240" w:lineRule="auto"/>
        <w:rPr>
          <w:b/>
          <w:bCs/>
          <w:color w:val="FF0000"/>
          <w:sz w:val="28"/>
          <w:szCs w:val="28"/>
        </w:rPr>
      </w:pPr>
      <w:r w:rsidRPr="007510F4">
        <w:rPr>
          <w:b/>
          <w:bCs/>
          <w:color w:val="FF0000"/>
          <w:sz w:val="28"/>
          <w:szCs w:val="28"/>
        </w:rPr>
        <w:t>Testez vos connaissances</w:t>
      </w:r>
    </w:p>
    <w:p w:rsidR="00000000" w:rsidRDefault="001D0D43" w:rsidP="001D0D43">
      <w:pPr>
        <w:pStyle w:val="ListParagraph"/>
        <w:numPr>
          <w:ilvl w:val="0"/>
          <w:numId w:val="18"/>
        </w:numPr>
        <w:spacing w:line="240" w:lineRule="auto"/>
        <w:rPr>
          <w:b/>
          <w:lang w:val="fr-CA"/>
        </w:rPr>
      </w:pPr>
      <w:r w:rsidRPr="007510F4">
        <w:rPr>
          <w:b/>
          <w:lang w:val="fr-CA"/>
        </w:rPr>
        <w:t xml:space="preserve">Spirochète responsable de la maladie de Lyme… </w:t>
      </w:r>
    </w:p>
    <w:p w:rsidR="00A31A62" w:rsidRPr="007510F4" w:rsidRDefault="00A31A62" w:rsidP="00A31A62">
      <w:pPr>
        <w:pStyle w:val="ListParagraph"/>
        <w:spacing w:line="240" w:lineRule="auto"/>
        <w:rPr>
          <w:b/>
          <w:lang w:val="fr-CA"/>
        </w:rPr>
      </w:pPr>
    </w:p>
    <w:p w:rsidR="00000000" w:rsidRPr="007510F4" w:rsidRDefault="001D0D43" w:rsidP="001D0D43">
      <w:pPr>
        <w:pStyle w:val="ListParagraph"/>
        <w:numPr>
          <w:ilvl w:val="0"/>
          <w:numId w:val="18"/>
        </w:numPr>
        <w:spacing w:line="240" w:lineRule="auto"/>
        <w:rPr>
          <w:b/>
          <w:lang w:val="fr-CA"/>
        </w:rPr>
      </w:pPr>
      <w:r w:rsidRPr="007510F4">
        <w:rPr>
          <w:b/>
          <w:lang w:val="fr-CA"/>
        </w:rPr>
        <w:t>Quel est le réservoir principal pour la maladie de Lyme?</w:t>
      </w:r>
    </w:p>
    <w:p w:rsidR="007510F4" w:rsidRDefault="007510F4" w:rsidP="001D0D43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  <w:sectPr w:rsidR="007510F4" w:rsidSect="007510F4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7510F4" w:rsidRDefault="001D0D43" w:rsidP="001D0D43">
      <w:pPr>
        <w:pStyle w:val="ListParagraph"/>
        <w:numPr>
          <w:ilvl w:val="1"/>
          <w:numId w:val="18"/>
        </w:numPr>
        <w:spacing w:line="240" w:lineRule="auto"/>
      </w:pPr>
      <w:r w:rsidRPr="007510F4">
        <w:rPr>
          <w:lang w:val="fr-CA"/>
        </w:rPr>
        <w:lastRenderedPageBreak/>
        <w:t>La souris des champs</w:t>
      </w:r>
    </w:p>
    <w:p w:rsidR="00000000" w:rsidRPr="007510F4" w:rsidRDefault="001D0D43" w:rsidP="001D0D43">
      <w:pPr>
        <w:pStyle w:val="ListParagraph"/>
        <w:numPr>
          <w:ilvl w:val="1"/>
          <w:numId w:val="18"/>
        </w:numPr>
        <w:spacing w:line="240" w:lineRule="auto"/>
      </w:pPr>
      <w:r w:rsidRPr="007510F4">
        <w:rPr>
          <w:lang w:val="fr-CA"/>
        </w:rPr>
        <w:t xml:space="preserve">Les oiseaux migrateurs </w:t>
      </w:r>
    </w:p>
    <w:p w:rsidR="00000000" w:rsidRPr="007510F4" w:rsidRDefault="001D0D43" w:rsidP="001D0D43">
      <w:pPr>
        <w:pStyle w:val="ListParagraph"/>
        <w:numPr>
          <w:ilvl w:val="1"/>
          <w:numId w:val="18"/>
        </w:numPr>
        <w:spacing w:line="240" w:lineRule="auto"/>
      </w:pPr>
      <w:r w:rsidRPr="007510F4">
        <w:rPr>
          <w:lang w:val="fr-CA"/>
        </w:rPr>
        <w:t>Les gros gibiers</w:t>
      </w:r>
    </w:p>
    <w:p w:rsidR="00000000" w:rsidRPr="007510F4" w:rsidRDefault="001D0D43" w:rsidP="001D0D43">
      <w:pPr>
        <w:pStyle w:val="ListParagraph"/>
        <w:numPr>
          <w:ilvl w:val="1"/>
          <w:numId w:val="18"/>
        </w:numPr>
        <w:spacing w:line="240" w:lineRule="auto"/>
      </w:pPr>
      <w:r w:rsidRPr="007510F4">
        <w:rPr>
          <w:lang w:val="fr-CA"/>
        </w:rPr>
        <w:lastRenderedPageBreak/>
        <w:t>Les grenouilles</w:t>
      </w:r>
    </w:p>
    <w:p w:rsidR="007510F4" w:rsidRDefault="001D0D43" w:rsidP="001D0D43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  <w:sectPr w:rsidR="007510F4" w:rsidSect="007510F4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7510F4">
        <w:rPr>
          <w:lang w:val="fr-CA"/>
        </w:rPr>
        <w:t>Les chats domestiques</w:t>
      </w:r>
    </w:p>
    <w:p w:rsidR="007510F4" w:rsidRPr="007510F4" w:rsidRDefault="007510F4" w:rsidP="007510F4">
      <w:pPr>
        <w:pStyle w:val="ListParagraph"/>
        <w:spacing w:line="240" w:lineRule="auto"/>
        <w:ind w:left="1440"/>
      </w:pPr>
    </w:p>
    <w:p w:rsidR="00000000" w:rsidRPr="007510F4" w:rsidRDefault="001D0D43" w:rsidP="001D0D43">
      <w:pPr>
        <w:pStyle w:val="ListParagraph"/>
        <w:numPr>
          <w:ilvl w:val="0"/>
          <w:numId w:val="18"/>
        </w:numPr>
        <w:spacing w:line="240" w:lineRule="auto"/>
        <w:rPr>
          <w:b/>
          <w:lang w:val="fr-CA"/>
        </w:rPr>
      </w:pPr>
      <w:r w:rsidRPr="007510F4">
        <w:rPr>
          <w:b/>
          <w:lang w:val="fr-CA"/>
        </w:rPr>
        <w:t xml:space="preserve">Décrire les moyens de prévention de la Maladie de Lyme. </w:t>
      </w:r>
    </w:p>
    <w:p w:rsidR="007510F4" w:rsidRPr="007510F4" w:rsidRDefault="007510F4" w:rsidP="007510F4">
      <w:pPr>
        <w:spacing w:line="240" w:lineRule="auto"/>
        <w:rPr>
          <w:b/>
          <w:lang w:val="fr-CA"/>
        </w:rPr>
      </w:pPr>
    </w:p>
    <w:p w:rsidR="00000000" w:rsidRPr="007510F4" w:rsidRDefault="001D0D43" w:rsidP="001D0D43">
      <w:pPr>
        <w:pStyle w:val="ListParagraph"/>
        <w:numPr>
          <w:ilvl w:val="0"/>
          <w:numId w:val="18"/>
        </w:numPr>
        <w:spacing w:line="240" w:lineRule="auto"/>
        <w:rPr>
          <w:b/>
          <w:lang w:val="fr-CA"/>
        </w:rPr>
      </w:pPr>
      <w:r w:rsidRPr="007510F4">
        <w:rPr>
          <w:b/>
          <w:lang w:val="fr-CA"/>
        </w:rPr>
        <w:t>Au sujet de la physiologie de</w:t>
      </w:r>
      <w:r w:rsidRPr="007510F4">
        <w:rPr>
          <w:b/>
          <w:lang w:val="fr-CA"/>
        </w:rPr>
        <w:t>s rickettsies, lequel des énoncés suivants est faux?</w:t>
      </w:r>
    </w:p>
    <w:p w:rsidR="007510F4" w:rsidRDefault="007510F4" w:rsidP="001D0D43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  <w:sectPr w:rsidR="007510F4" w:rsidSect="007510F4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7510F4" w:rsidRDefault="001D0D43" w:rsidP="001D0D43">
      <w:pPr>
        <w:pStyle w:val="ListParagraph"/>
        <w:numPr>
          <w:ilvl w:val="1"/>
          <w:numId w:val="18"/>
        </w:numPr>
        <w:spacing w:line="240" w:lineRule="auto"/>
        <w:ind w:left="927"/>
        <w:rPr>
          <w:lang w:val="fr-CA"/>
        </w:rPr>
      </w:pPr>
      <w:r w:rsidRPr="007510F4">
        <w:rPr>
          <w:lang w:val="fr-CA"/>
        </w:rPr>
        <w:lastRenderedPageBreak/>
        <w:t xml:space="preserve">Elles transportent l’ATP de la cellule hôte. </w:t>
      </w:r>
    </w:p>
    <w:p w:rsidR="00000000" w:rsidRPr="007510F4" w:rsidRDefault="001D0D43" w:rsidP="001D0D43">
      <w:pPr>
        <w:pStyle w:val="ListParagraph"/>
        <w:numPr>
          <w:ilvl w:val="1"/>
          <w:numId w:val="18"/>
        </w:numPr>
        <w:spacing w:line="240" w:lineRule="auto"/>
        <w:ind w:left="927"/>
      </w:pPr>
      <w:r w:rsidRPr="007510F4">
        <w:rPr>
          <w:lang w:val="fr-CA"/>
        </w:rPr>
        <w:t>Elles synthétisent de l’A</w:t>
      </w:r>
      <w:r w:rsidRPr="007510F4">
        <w:rPr>
          <w:lang w:val="fr-CA"/>
        </w:rPr>
        <w:t xml:space="preserve">TP. </w:t>
      </w:r>
    </w:p>
    <w:p w:rsidR="00000000" w:rsidRPr="007510F4" w:rsidRDefault="001D0D43" w:rsidP="001D0D43">
      <w:pPr>
        <w:pStyle w:val="ListParagraph"/>
        <w:numPr>
          <w:ilvl w:val="1"/>
          <w:numId w:val="18"/>
        </w:numPr>
        <w:spacing w:line="240" w:lineRule="auto"/>
        <w:ind w:left="927"/>
        <w:rPr>
          <w:lang w:val="fr-CA"/>
        </w:rPr>
      </w:pPr>
      <w:r w:rsidRPr="007510F4">
        <w:rPr>
          <w:lang w:val="fr-CA"/>
        </w:rPr>
        <w:lastRenderedPageBreak/>
        <w:t>Elles se développ</w:t>
      </w:r>
      <w:r w:rsidR="00A31A62">
        <w:rPr>
          <w:lang w:val="fr-CA"/>
        </w:rPr>
        <w:t>ent dans le noyau de la C</w:t>
      </w:r>
      <w:r w:rsidRPr="007510F4">
        <w:rPr>
          <w:lang w:val="fr-CA"/>
        </w:rPr>
        <w:t xml:space="preserve"> </w:t>
      </w:r>
    </w:p>
    <w:p w:rsidR="007510F4" w:rsidRDefault="001D0D43" w:rsidP="001D0D43">
      <w:pPr>
        <w:pStyle w:val="ListParagraph"/>
        <w:numPr>
          <w:ilvl w:val="1"/>
          <w:numId w:val="18"/>
        </w:numPr>
        <w:spacing w:line="240" w:lineRule="auto"/>
        <w:ind w:left="927"/>
        <w:rPr>
          <w:lang w:val="fr-CA"/>
        </w:rPr>
        <w:sectPr w:rsidR="007510F4" w:rsidSect="007510F4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7510F4">
        <w:rPr>
          <w:lang w:val="fr-CA"/>
        </w:rPr>
        <w:t>Elles sont transmises pas un vecteur</w:t>
      </w:r>
    </w:p>
    <w:p w:rsidR="007510F4" w:rsidRPr="007510F4" w:rsidRDefault="007510F4" w:rsidP="007510F4">
      <w:pPr>
        <w:pStyle w:val="ListParagraph"/>
        <w:spacing w:line="240" w:lineRule="auto"/>
        <w:ind w:left="1440"/>
        <w:rPr>
          <w:lang w:val="fr-CA"/>
        </w:rPr>
      </w:pPr>
    </w:p>
    <w:p w:rsidR="00000000" w:rsidRPr="007510F4" w:rsidRDefault="001D0D43" w:rsidP="001D0D43">
      <w:pPr>
        <w:pStyle w:val="ListParagraph"/>
        <w:numPr>
          <w:ilvl w:val="0"/>
          <w:numId w:val="18"/>
        </w:numPr>
        <w:spacing w:line="240" w:lineRule="auto"/>
        <w:rPr>
          <w:b/>
          <w:lang w:val="fr-CA"/>
        </w:rPr>
      </w:pPr>
      <w:r w:rsidRPr="007510F4">
        <w:rPr>
          <w:b/>
          <w:lang w:val="fr-CA"/>
        </w:rPr>
        <w:t>Rickettsie commune dans l’est de l’Amérique du Nord</w:t>
      </w:r>
    </w:p>
    <w:p w:rsidR="007510F4" w:rsidRDefault="007510F4" w:rsidP="001D0D43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  <w:sectPr w:rsidR="007510F4" w:rsidSect="007510F4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7510F4" w:rsidRDefault="001D0D43" w:rsidP="001D0D43">
      <w:pPr>
        <w:pStyle w:val="ListParagraph"/>
        <w:numPr>
          <w:ilvl w:val="1"/>
          <w:numId w:val="18"/>
        </w:numPr>
        <w:spacing w:line="240" w:lineRule="auto"/>
      </w:pPr>
      <w:r w:rsidRPr="007510F4">
        <w:rPr>
          <w:lang w:val="fr-CA"/>
        </w:rPr>
        <w:lastRenderedPageBreak/>
        <w:t>Rickettsia conorii</w:t>
      </w:r>
    </w:p>
    <w:p w:rsidR="00000000" w:rsidRPr="007510F4" w:rsidRDefault="001D0D43" w:rsidP="001D0D43">
      <w:pPr>
        <w:pStyle w:val="ListParagraph"/>
        <w:numPr>
          <w:ilvl w:val="1"/>
          <w:numId w:val="18"/>
        </w:numPr>
        <w:spacing w:line="240" w:lineRule="auto"/>
      </w:pPr>
      <w:r w:rsidRPr="007510F4">
        <w:rPr>
          <w:lang w:val="fr-CA"/>
        </w:rPr>
        <w:t>Rickettsia Rickettsii</w:t>
      </w:r>
    </w:p>
    <w:p w:rsidR="00000000" w:rsidRPr="007510F4" w:rsidRDefault="001D0D43" w:rsidP="001D0D43">
      <w:pPr>
        <w:pStyle w:val="ListParagraph"/>
        <w:numPr>
          <w:ilvl w:val="1"/>
          <w:numId w:val="18"/>
        </w:numPr>
        <w:spacing w:line="240" w:lineRule="auto"/>
      </w:pPr>
      <w:r w:rsidRPr="007510F4">
        <w:rPr>
          <w:lang w:val="fr-CA"/>
        </w:rPr>
        <w:lastRenderedPageBreak/>
        <w:t>Rickettsiose typhi</w:t>
      </w:r>
    </w:p>
    <w:p w:rsidR="007510F4" w:rsidRDefault="001D0D43" w:rsidP="001D0D43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  <w:sectPr w:rsidR="007510F4" w:rsidSect="007510F4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7510F4">
        <w:rPr>
          <w:lang w:val="fr-CA"/>
        </w:rPr>
        <w:t>Rickettsiose prowazeckii</w:t>
      </w:r>
    </w:p>
    <w:p w:rsidR="007510F4" w:rsidRPr="007510F4" w:rsidRDefault="007510F4" w:rsidP="007510F4">
      <w:pPr>
        <w:pStyle w:val="ListParagraph"/>
        <w:spacing w:line="240" w:lineRule="auto"/>
        <w:ind w:left="1440"/>
      </w:pPr>
    </w:p>
    <w:p w:rsidR="007510F4" w:rsidRPr="00A31A62" w:rsidRDefault="001D0D43" w:rsidP="001D0D43">
      <w:pPr>
        <w:pStyle w:val="ListParagraph"/>
        <w:numPr>
          <w:ilvl w:val="0"/>
          <w:numId w:val="18"/>
        </w:numPr>
        <w:spacing w:line="240" w:lineRule="auto"/>
        <w:rPr>
          <w:b/>
          <w:sz w:val="28"/>
          <w:szCs w:val="28"/>
        </w:rPr>
      </w:pPr>
      <w:r w:rsidRPr="007510F4">
        <w:rPr>
          <w:b/>
          <w:lang w:val="fr-CA"/>
        </w:rPr>
        <w:t>Décrire l’application du PCR</w:t>
      </w:r>
    </w:p>
    <w:sectPr w:rsidR="007510F4" w:rsidRPr="00A31A62" w:rsidSect="007510F4">
      <w:type w:val="continuous"/>
      <w:pgSz w:w="12240" w:h="15840"/>
      <w:pgMar w:top="1276" w:right="669" w:bottom="680" w:left="66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D43" w:rsidRDefault="001D0D43" w:rsidP="0040236A">
      <w:pPr>
        <w:spacing w:after="0" w:line="240" w:lineRule="auto"/>
      </w:pPr>
      <w:r>
        <w:separator/>
      </w:r>
    </w:p>
  </w:endnote>
  <w:endnote w:type="continuationSeparator" w:id="0">
    <w:p w:rsidR="001D0D43" w:rsidRDefault="001D0D43" w:rsidP="00402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D43" w:rsidRDefault="001D0D43" w:rsidP="0040236A">
      <w:pPr>
        <w:spacing w:after="0" w:line="240" w:lineRule="auto"/>
      </w:pPr>
      <w:r>
        <w:separator/>
      </w:r>
    </w:p>
  </w:footnote>
  <w:footnote w:type="continuationSeparator" w:id="0">
    <w:p w:rsidR="001D0D43" w:rsidRDefault="001D0D43" w:rsidP="00402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36A" w:rsidRDefault="0040236A">
    <w:pPr>
      <w:pStyle w:val="Header"/>
      <w:jc w:val="right"/>
    </w:pPr>
    <w:r>
      <w:t xml:space="preserve">HSS 1500   </w:t>
    </w:r>
    <w:sdt>
      <w:sdtPr>
        <w:id w:val="609013556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1A62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40236A" w:rsidRDefault="004023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832B7"/>
    <w:multiLevelType w:val="hybridMultilevel"/>
    <w:tmpl w:val="8E803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FF57AB"/>
    <w:multiLevelType w:val="hybridMultilevel"/>
    <w:tmpl w:val="2C7A97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D545AF"/>
    <w:multiLevelType w:val="hybridMultilevel"/>
    <w:tmpl w:val="0E00958A"/>
    <w:lvl w:ilvl="0" w:tplc="54CEBCC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AC4517"/>
    <w:multiLevelType w:val="hybridMultilevel"/>
    <w:tmpl w:val="A566EA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6C320F"/>
    <w:multiLevelType w:val="hybridMultilevel"/>
    <w:tmpl w:val="64B03E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6E10E7"/>
    <w:multiLevelType w:val="hybridMultilevel"/>
    <w:tmpl w:val="4FFA8D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415A3B"/>
    <w:multiLevelType w:val="hybridMultilevel"/>
    <w:tmpl w:val="923450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F42F51"/>
    <w:multiLevelType w:val="hybridMultilevel"/>
    <w:tmpl w:val="5652FA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5036CF"/>
    <w:multiLevelType w:val="hybridMultilevel"/>
    <w:tmpl w:val="B616E0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1F3295"/>
    <w:multiLevelType w:val="hybridMultilevel"/>
    <w:tmpl w:val="3D86AC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446CA9"/>
    <w:multiLevelType w:val="hybridMultilevel"/>
    <w:tmpl w:val="B4CA4F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127EA0"/>
    <w:multiLevelType w:val="hybridMultilevel"/>
    <w:tmpl w:val="D972666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796F31"/>
    <w:multiLevelType w:val="hybridMultilevel"/>
    <w:tmpl w:val="F5960C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9B4D00"/>
    <w:multiLevelType w:val="hybridMultilevel"/>
    <w:tmpl w:val="84E6E6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DC2DE8"/>
    <w:multiLevelType w:val="hybridMultilevel"/>
    <w:tmpl w:val="B714F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4A5572"/>
    <w:multiLevelType w:val="hybridMultilevel"/>
    <w:tmpl w:val="9FCE2C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077568"/>
    <w:multiLevelType w:val="hybridMultilevel"/>
    <w:tmpl w:val="B066B8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B05715"/>
    <w:multiLevelType w:val="hybridMultilevel"/>
    <w:tmpl w:val="AC4436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12"/>
  </w:num>
  <w:num w:numId="4">
    <w:abstractNumId w:val="14"/>
  </w:num>
  <w:num w:numId="5">
    <w:abstractNumId w:val="17"/>
  </w:num>
  <w:num w:numId="6">
    <w:abstractNumId w:val="13"/>
  </w:num>
  <w:num w:numId="7">
    <w:abstractNumId w:val="7"/>
  </w:num>
  <w:num w:numId="8">
    <w:abstractNumId w:val="5"/>
  </w:num>
  <w:num w:numId="9">
    <w:abstractNumId w:val="0"/>
  </w:num>
  <w:num w:numId="10">
    <w:abstractNumId w:val="16"/>
  </w:num>
  <w:num w:numId="11">
    <w:abstractNumId w:val="15"/>
  </w:num>
  <w:num w:numId="12">
    <w:abstractNumId w:val="9"/>
  </w:num>
  <w:num w:numId="13">
    <w:abstractNumId w:val="11"/>
  </w:num>
  <w:num w:numId="14">
    <w:abstractNumId w:val="10"/>
  </w:num>
  <w:num w:numId="15">
    <w:abstractNumId w:val="6"/>
  </w:num>
  <w:num w:numId="16">
    <w:abstractNumId w:val="4"/>
  </w:num>
  <w:num w:numId="17">
    <w:abstractNumId w:val="8"/>
  </w:num>
  <w:num w:numId="18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478"/>
    <w:rsid w:val="00173478"/>
    <w:rsid w:val="001D0D43"/>
    <w:rsid w:val="00234EBF"/>
    <w:rsid w:val="00241E9D"/>
    <w:rsid w:val="003A4EBA"/>
    <w:rsid w:val="003B11C1"/>
    <w:rsid w:val="0040236A"/>
    <w:rsid w:val="007510F4"/>
    <w:rsid w:val="00780BEE"/>
    <w:rsid w:val="009401E2"/>
    <w:rsid w:val="009B57FB"/>
    <w:rsid w:val="00A31A62"/>
    <w:rsid w:val="00A9442B"/>
    <w:rsid w:val="00B757DF"/>
    <w:rsid w:val="00C117CC"/>
    <w:rsid w:val="00C12B2C"/>
    <w:rsid w:val="00CB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EB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23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36A"/>
  </w:style>
  <w:style w:type="paragraph" w:styleId="Footer">
    <w:name w:val="footer"/>
    <w:basedOn w:val="Normal"/>
    <w:link w:val="FooterChar"/>
    <w:uiPriority w:val="99"/>
    <w:unhideWhenUsed/>
    <w:rsid w:val="004023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36A"/>
  </w:style>
  <w:style w:type="paragraph" w:styleId="ListParagraph">
    <w:name w:val="List Paragraph"/>
    <w:basedOn w:val="Normal"/>
    <w:uiPriority w:val="34"/>
    <w:qFormat/>
    <w:rsid w:val="00780B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EB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23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36A"/>
  </w:style>
  <w:style w:type="paragraph" w:styleId="Footer">
    <w:name w:val="footer"/>
    <w:basedOn w:val="Normal"/>
    <w:link w:val="FooterChar"/>
    <w:uiPriority w:val="99"/>
    <w:unhideWhenUsed/>
    <w:rsid w:val="004023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36A"/>
  </w:style>
  <w:style w:type="paragraph" w:styleId="ListParagraph">
    <w:name w:val="List Paragraph"/>
    <w:basedOn w:val="Normal"/>
    <w:uiPriority w:val="34"/>
    <w:qFormat/>
    <w:rsid w:val="00780B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435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8153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8825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335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70661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49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7457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2569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4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1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6619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7821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954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0543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0577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457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440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2609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4859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91504">
          <w:marLeft w:val="155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4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6326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8954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310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219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519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23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5525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0605">
          <w:marLeft w:val="835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4201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3078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7927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6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55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156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9036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8833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2268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3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770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2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40053">
          <w:marLeft w:val="547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11227">
          <w:marLeft w:val="1094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7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3430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6822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121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4324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929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2387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1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372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4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7843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690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7547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293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6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1581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23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7719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692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8781">
          <w:marLeft w:val="155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56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78270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768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9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86332">
          <w:marLeft w:val="10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86720">
          <w:marLeft w:val="10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5310">
          <w:marLeft w:val="10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8106">
          <w:marLeft w:val="10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8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59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83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52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378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9250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7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96267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17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0588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500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40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440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434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07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508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44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937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883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314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033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61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6751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1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411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57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451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365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6176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7482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507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91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362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2519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49">
          <w:marLeft w:val="155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4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5105">
          <w:marLeft w:val="10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1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236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5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65811">
          <w:marLeft w:val="10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7346">
          <w:marLeft w:val="10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419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72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27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7765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2125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65385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7007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3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931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648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64019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72992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6368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76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2001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14830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579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3549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4402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145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88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70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4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4531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2949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5884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9451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1654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6497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2857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9710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3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23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39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251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16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62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448642">
          <w:marLeft w:val="54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227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6971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92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851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7313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3201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3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780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488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9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6500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822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0901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500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4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6957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1441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9690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4000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1172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984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8579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9995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80196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8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20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093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942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2000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2548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60608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18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1001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53634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9970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976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7032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90740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5541">
          <w:marLeft w:val="155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3970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123">
          <w:marLeft w:val="155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3037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8090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3732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0596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197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55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Germain</dc:creator>
  <cp:keywords/>
  <dc:description/>
  <cp:lastModifiedBy>Vivian Germain</cp:lastModifiedBy>
  <cp:revision>6</cp:revision>
  <dcterms:created xsi:type="dcterms:W3CDTF">2014-03-31T13:49:00Z</dcterms:created>
  <dcterms:modified xsi:type="dcterms:W3CDTF">2014-04-17T05:04:00Z</dcterms:modified>
</cp:coreProperties>
</file>