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D0C" w:rsidRPr="00A23789" w:rsidRDefault="00533518" w:rsidP="00A23789">
      <w:pPr>
        <w:spacing w:line="240" w:lineRule="auto"/>
        <w:rPr>
          <w:b/>
          <w:bCs/>
          <w:color w:val="FF0000"/>
          <w:sz w:val="28"/>
          <w:szCs w:val="28"/>
          <w:lang w:val="fr-CA"/>
        </w:rPr>
      </w:pPr>
      <w:bookmarkStart w:id="0" w:name="_GoBack"/>
      <w:bookmarkEnd w:id="0"/>
      <w:r w:rsidRPr="00A23789">
        <w:rPr>
          <w:b/>
          <w:bCs/>
          <w:color w:val="FF0000"/>
          <w:sz w:val="28"/>
          <w:szCs w:val="28"/>
          <w:lang w:val="fr-CA"/>
        </w:rPr>
        <w:t>10. Les hépatites virales</w:t>
      </w:r>
    </w:p>
    <w:p w:rsidR="00000000" w:rsidRPr="00A23789" w:rsidRDefault="00A23789" w:rsidP="00A23789">
      <w:pPr>
        <w:spacing w:line="240" w:lineRule="auto"/>
        <w:rPr>
          <w:b/>
          <w:u w:val="single"/>
          <w:lang w:val="fr-CA"/>
        </w:rPr>
      </w:pPr>
      <w:r w:rsidRPr="00A23789">
        <w:rPr>
          <w:b/>
          <w:u w:val="single"/>
          <w:lang w:val="fr-CA"/>
        </w:rPr>
        <w:t>Définitions</w:t>
      </w:r>
    </w:p>
    <w:p w:rsidR="00000000" w:rsidRPr="00A23789" w:rsidRDefault="00D97906" w:rsidP="00D97906">
      <w:pPr>
        <w:pStyle w:val="ListParagraph"/>
        <w:numPr>
          <w:ilvl w:val="0"/>
          <w:numId w:val="1"/>
        </w:numPr>
        <w:spacing w:line="240" w:lineRule="auto"/>
        <w:rPr>
          <w:bCs/>
          <w:lang w:val="fr-CA"/>
        </w:rPr>
      </w:pPr>
      <w:r w:rsidRPr="00A23789">
        <w:rPr>
          <w:b/>
          <w:bCs/>
          <w:lang w:val="fr-CA"/>
        </w:rPr>
        <w:t>Hépatite</w:t>
      </w:r>
      <w:r w:rsidRPr="00A23789">
        <w:rPr>
          <w:bCs/>
          <w:lang w:val="fr-CA"/>
        </w:rPr>
        <w:t>: Inflammation et nécrose (dans le contexte d’une infection chronique) du parenchyme hépatique.</w:t>
      </w:r>
    </w:p>
    <w:p w:rsidR="00000000" w:rsidRPr="00A23789" w:rsidRDefault="00D97906" w:rsidP="00D97906">
      <w:pPr>
        <w:pStyle w:val="ListParagraph"/>
        <w:numPr>
          <w:ilvl w:val="0"/>
          <w:numId w:val="1"/>
        </w:numPr>
        <w:spacing w:line="240" w:lineRule="auto"/>
        <w:rPr>
          <w:bCs/>
          <w:lang w:val="fr-CA"/>
        </w:rPr>
      </w:pPr>
      <w:r w:rsidRPr="00A23789">
        <w:rPr>
          <w:b/>
          <w:bCs/>
          <w:lang w:val="fr-CA"/>
        </w:rPr>
        <w:t>Hépatites virales</w:t>
      </w:r>
      <w:r w:rsidRPr="00A23789">
        <w:rPr>
          <w:bCs/>
          <w:lang w:val="fr-CA"/>
        </w:rPr>
        <w:t>: Maladies infectieuses du foie dont l’étiologie est un nombre limit</w:t>
      </w:r>
      <w:r w:rsidRPr="00A23789">
        <w:rPr>
          <w:bCs/>
          <w:lang w:val="fr-CA"/>
        </w:rPr>
        <w:t>é</w:t>
      </w:r>
      <w:r w:rsidRPr="00A23789">
        <w:rPr>
          <w:bCs/>
          <w:lang w:val="fr-CA"/>
        </w:rPr>
        <w:t xml:space="preserve"> de virus h</w:t>
      </w:r>
      <w:r w:rsidRPr="00A23789">
        <w:rPr>
          <w:bCs/>
          <w:lang w:val="fr-CA"/>
        </w:rPr>
        <w:t>é</w:t>
      </w:r>
      <w:r w:rsidRPr="00A23789">
        <w:rPr>
          <w:bCs/>
          <w:lang w:val="fr-CA"/>
        </w:rPr>
        <w:t>patotropes.</w:t>
      </w:r>
    </w:p>
    <w:p w:rsidR="00000000" w:rsidRPr="00A23789" w:rsidRDefault="00D97906" w:rsidP="00D97906">
      <w:pPr>
        <w:pStyle w:val="ListParagraph"/>
        <w:numPr>
          <w:ilvl w:val="1"/>
          <w:numId w:val="1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Manifestation principale: hé</w:t>
      </w:r>
      <w:r w:rsidRPr="00A23789">
        <w:rPr>
          <w:bCs/>
          <w:lang w:val="fr-CA"/>
        </w:rPr>
        <w:t>patite</w:t>
      </w:r>
    </w:p>
    <w:p w:rsidR="00000000" w:rsidRPr="00A23789" w:rsidRDefault="00A23789" w:rsidP="00A23789">
      <w:pPr>
        <w:spacing w:line="240" w:lineRule="auto"/>
        <w:rPr>
          <w:b/>
          <w:bCs/>
          <w:u w:val="single"/>
          <w:lang w:val="fr-CA"/>
        </w:rPr>
      </w:pPr>
      <w:r w:rsidRPr="00A23789">
        <w:rPr>
          <w:b/>
          <w:bCs/>
          <w:u w:val="single"/>
          <w:lang w:val="fr-CA"/>
        </w:rPr>
        <w:t>Les Causes</w:t>
      </w:r>
    </w:p>
    <w:p w:rsidR="00000000" w:rsidRPr="00A23789" w:rsidRDefault="00D97906" w:rsidP="00D97906">
      <w:pPr>
        <w:pStyle w:val="ListParagraph"/>
        <w:numPr>
          <w:ilvl w:val="0"/>
          <w:numId w:val="2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Hépatites Virales:</w:t>
      </w:r>
    </w:p>
    <w:p w:rsidR="00A23789" w:rsidRDefault="00A23789" w:rsidP="00D97906">
      <w:pPr>
        <w:pStyle w:val="ListParagraph"/>
        <w:numPr>
          <w:ilvl w:val="1"/>
          <w:numId w:val="2"/>
        </w:numPr>
        <w:spacing w:line="240" w:lineRule="auto"/>
        <w:rPr>
          <w:bCs/>
          <w:lang w:val="fr-CA"/>
        </w:rPr>
        <w:sectPr w:rsidR="00A23789" w:rsidSect="00A23789">
          <w:headerReference w:type="default" r:id="rId8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A23789" w:rsidRDefault="00D97906" w:rsidP="00D97906">
      <w:pPr>
        <w:pStyle w:val="ListParagraph"/>
        <w:numPr>
          <w:ilvl w:val="1"/>
          <w:numId w:val="2"/>
        </w:numPr>
        <w:spacing w:line="240" w:lineRule="auto"/>
        <w:rPr>
          <w:bCs/>
          <w:lang w:val="fr-CA"/>
        </w:rPr>
      </w:pPr>
      <w:r w:rsidRPr="00A23789">
        <w:rPr>
          <w:b/>
          <w:bCs/>
          <w:lang w:val="fr-CA"/>
        </w:rPr>
        <w:lastRenderedPageBreak/>
        <w:t>VHA</w:t>
      </w:r>
      <w:r w:rsidRPr="00A23789">
        <w:rPr>
          <w:bCs/>
          <w:lang w:val="fr-CA"/>
        </w:rPr>
        <w:t>: Picornavirus</w:t>
      </w:r>
    </w:p>
    <w:p w:rsidR="00000000" w:rsidRPr="00A23789" w:rsidRDefault="00D97906" w:rsidP="00D97906">
      <w:pPr>
        <w:pStyle w:val="ListParagraph"/>
        <w:numPr>
          <w:ilvl w:val="1"/>
          <w:numId w:val="2"/>
        </w:numPr>
        <w:spacing w:line="240" w:lineRule="auto"/>
        <w:rPr>
          <w:bCs/>
          <w:lang w:val="fr-CA"/>
        </w:rPr>
      </w:pPr>
      <w:r w:rsidRPr="00A23789">
        <w:rPr>
          <w:b/>
          <w:bCs/>
          <w:lang w:val="fr-CA"/>
        </w:rPr>
        <w:t>VHB</w:t>
      </w:r>
      <w:r w:rsidRPr="00A23789">
        <w:rPr>
          <w:bCs/>
          <w:lang w:val="fr-CA"/>
        </w:rPr>
        <w:t>: Hepnavirus</w:t>
      </w:r>
    </w:p>
    <w:p w:rsidR="00000000" w:rsidRPr="00A23789" w:rsidRDefault="00D97906" w:rsidP="00D97906">
      <w:pPr>
        <w:pStyle w:val="ListParagraph"/>
        <w:numPr>
          <w:ilvl w:val="1"/>
          <w:numId w:val="2"/>
        </w:numPr>
        <w:spacing w:line="240" w:lineRule="auto"/>
        <w:rPr>
          <w:bCs/>
          <w:lang w:val="fr-CA"/>
        </w:rPr>
      </w:pPr>
      <w:r w:rsidRPr="00A23789">
        <w:rPr>
          <w:b/>
          <w:bCs/>
          <w:lang w:val="fr-CA"/>
        </w:rPr>
        <w:t>VHC</w:t>
      </w:r>
      <w:r w:rsidRPr="00A23789">
        <w:rPr>
          <w:bCs/>
          <w:lang w:val="fr-CA"/>
        </w:rPr>
        <w:t>: Togavirus (Non A-Non B)</w:t>
      </w:r>
    </w:p>
    <w:p w:rsidR="00000000" w:rsidRPr="00A23789" w:rsidRDefault="00D97906" w:rsidP="00D97906">
      <w:pPr>
        <w:pStyle w:val="ListParagraph"/>
        <w:numPr>
          <w:ilvl w:val="1"/>
          <w:numId w:val="2"/>
        </w:numPr>
        <w:spacing w:line="240" w:lineRule="auto"/>
        <w:rPr>
          <w:bCs/>
          <w:lang w:val="fr-CA"/>
        </w:rPr>
      </w:pPr>
      <w:r w:rsidRPr="00A23789">
        <w:rPr>
          <w:b/>
          <w:bCs/>
          <w:lang w:val="fr-CA"/>
        </w:rPr>
        <w:lastRenderedPageBreak/>
        <w:t>VHD</w:t>
      </w:r>
      <w:r w:rsidRPr="00A23789">
        <w:rPr>
          <w:bCs/>
          <w:lang w:val="fr-CA"/>
        </w:rPr>
        <w:t>: Agent Delta, particule défective</w:t>
      </w:r>
    </w:p>
    <w:p w:rsidR="00000000" w:rsidRPr="00A23789" w:rsidRDefault="00D97906" w:rsidP="00D97906">
      <w:pPr>
        <w:pStyle w:val="ListParagraph"/>
        <w:numPr>
          <w:ilvl w:val="1"/>
          <w:numId w:val="2"/>
        </w:numPr>
        <w:spacing w:line="240" w:lineRule="auto"/>
        <w:rPr>
          <w:bCs/>
          <w:lang w:val="fr-CA"/>
        </w:rPr>
      </w:pPr>
      <w:r w:rsidRPr="00A23789">
        <w:rPr>
          <w:b/>
          <w:bCs/>
          <w:lang w:val="fr-CA"/>
        </w:rPr>
        <w:t>VHE</w:t>
      </w:r>
      <w:r w:rsidRPr="00A23789">
        <w:rPr>
          <w:bCs/>
          <w:lang w:val="fr-CA"/>
        </w:rPr>
        <w:t>: Calicivirus</w:t>
      </w:r>
    </w:p>
    <w:p w:rsidR="00A23789" w:rsidRDefault="00D97906" w:rsidP="00D97906">
      <w:pPr>
        <w:pStyle w:val="ListParagraph"/>
        <w:numPr>
          <w:ilvl w:val="1"/>
          <w:numId w:val="2"/>
        </w:numPr>
        <w:spacing w:line="240" w:lineRule="auto"/>
        <w:rPr>
          <w:bCs/>
          <w:lang w:val="fr-CA"/>
        </w:rPr>
        <w:sectPr w:rsidR="00A23789" w:rsidSect="00A23789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A23789">
        <w:rPr>
          <w:b/>
          <w:bCs/>
          <w:lang w:val="fr-CA"/>
        </w:rPr>
        <w:t>VHG</w:t>
      </w:r>
      <w:r w:rsidRPr="00A23789">
        <w:rPr>
          <w:bCs/>
          <w:lang w:val="fr-CA"/>
        </w:rPr>
        <w:t>: Apparent</w:t>
      </w:r>
      <w:r w:rsidRPr="00A23789">
        <w:rPr>
          <w:bCs/>
          <w:lang w:val="fr-CA"/>
        </w:rPr>
        <w:t>é</w:t>
      </w:r>
      <w:r w:rsidRPr="00A23789">
        <w:rPr>
          <w:bCs/>
          <w:lang w:val="fr-CA"/>
        </w:rPr>
        <w:t>s aux Flavivirus</w:t>
      </w:r>
    </w:p>
    <w:p w:rsidR="00000000" w:rsidRPr="00A23789" w:rsidRDefault="00D97906" w:rsidP="00A23789">
      <w:pPr>
        <w:pStyle w:val="ListParagraph"/>
        <w:spacing w:line="240" w:lineRule="auto"/>
        <w:ind w:left="1440"/>
        <w:rPr>
          <w:bCs/>
          <w:lang w:val="fr-CA"/>
        </w:rPr>
      </w:pPr>
    </w:p>
    <w:p w:rsidR="00533518" w:rsidRPr="00A23789" w:rsidRDefault="00D97906" w:rsidP="00D97906">
      <w:pPr>
        <w:pStyle w:val="ListParagraph"/>
        <w:numPr>
          <w:ilvl w:val="0"/>
          <w:numId w:val="2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Autres causes: EBV, CMV, Rickettsies, spirochètes, protozoaires</w:t>
      </w:r>
    </w:p>
    <w:p w:rsidR="00000000" w:rsidRPr="00A23789" w:rsidRDefault="00A23789" w:rsidP="00A23789">
      <w:pPr>
        <w:spacing w:line="240" w:lineRule="auto"/>
        <w:rPr>
          <w:b/>
          <w:bCs/>
          <w:u w:val="single"/>
          <w:lang w:val="fr-CA"/>
        </w:rPr>
      </w:pPr>
      <w:r w:rsidRPr="00A23789">
        <w:rPr>
          <w:b/>
          <w:bCs/>
          <w:u w:val="single"/>
          <w:lang w:val="fr-CA"/>
        </w:rPr>
        <w:t>Généralités</w:t>
      </w:r>
    </w:p>
    <w:p w:rsidR="00533518" w:rsidRPr="00A23789" w:rsidRDefault="00533518" w:rsidP="00D97906">
      <w:pPr>
        <w:pStyle w:val="ListParagraph"/>
        <w:numPr>
          <w:ilvl w:val="0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Aspects communs:</w:t>
      </w:r>
    </w:p>
    <w:p w:rsidR="00000000" w:rsidRPr="00A23789" w:rsidRDefault="00D97906" w:rsidP="00D97906">
      <w:pPr>
        <w:pStyle w:val="ListParagraph"/>
        <w:numPr>
          <w:ilvl w:val="1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Hépatotrope</w:t>
      </w:r>
    </w:p>
    <w:p w:rsidR="00000000" w:rsidRPr="00A23789" w:rsidRDefault="00D97906" w:rsidP="00D97906">
      <w:pPr>
        <w:pStyle w:val="ListParagraph"/>
        <w:numPr>
          <w:ilvl w:val="1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Incubation prolongée, déclenchement aigu</w:t>
      </w:r>
      <w:r w:rsidRPr="00A23789">
        <w:rPr>
          <w:bCs/>
          <w:lang w:val="fr-CA"/>
        </w:rPr>
        <w:t>ë</w:t>
      </w:r>
      <w:r w:rsidRPr="00A23789">
        <w:rPr>
          <w:bCs/>
          <w:lang w:val="fr-CA"/>
        </w:rPr>
        <w:t xml:space="preserve"> ou insidieuse.</w:t>
      </w:r>
    </w:p>
    <w:p w:rsidR="00000000" w:rsidRPr="00A23789" w:rsidRDefault="00D97906" w:rsidP="00D97906">
      <w:pPr>
        <w:pStyle w:val="ListParagraph"/>
        <w:numPr>
          <w:ilvl w:val="1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VHB, C, D: Hépatite chronique, complications à long terme – cirrhose, cancer</w:t>
      </w:r>
    </w:p>
    <w:p w:rsidR="00000000" w:rsidRPr="00A23789" w:rsidRDefault="00D97906" w:rsidP="00D97906">
      <w:pPr>
        <w:pStyle w:val="ListParagraph"/>
        <w:numPr>
          <w:ilvl w:val="1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VHA, E: Présentation limitée à l’hépatite a</w:t>
      </w:r>
      <w:r w:rsidRPr="00A23789">
        <w:rPr>
          <w:bCs/>
          <w:lang w:val="fr-CA"/>
        </w:rPr>
        <w:t>ï</w:t>
      </w:r>
      <w:r w:rsidRPr="00A23789">
        <w:rPr>
          <w:bCs/>
          <w:lang w:val="fr-CA"/>
        </w:rPr>
        <w:t>gue</w:t>
      </w:r>
    </w:p>
    <w:p w:rsidR="00000000" w:rsidRPr="00A23789" w:rsidRDefault="00D97906" w:rsidP="00D97906">
      <w:pPr>
        <w:pStyle w:val="ListParagraph"/>
        <w:numPr>
          <w:ilvl w:val="1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Les 4 étapes de l’infection:</w:t>
      </w:r>
    </w:p>
    <w:p w:rsidR="00000000" w:rsidRPr="00A23789" w:rsidRDefault="00D97906" w:rsidP="00D97906">
      <w:pPr>
        <w:pStyle w:val="ListParagraph"/>
        <w:numPr>
          <w:ilvl w:val="2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Incubation: Variable, prolongée, 15 à 180 jours</w:t>
      </w:r>
    </w:p>
    <w:p w:rsidR="00000000" w:rsidRPr="00A23789" w:rsidRDefault="00D97906" w:rsidP="00D97906">
      <w:pPr>
        <w:pStyle w:val="ListParagraph"/>
        <w:numPr>
          <w:ilvl w:val="2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Pré-Ictérique: anorexie, asthénie, N/V, douleurs abdominales</w:t>
      </w:r>
    </w:p>
    <w:p w:rsidR="00000000" w:rsidRPr="00A23789" w:rsidRDefault="00D97906" w:rsidP="00D97906">
      <w:pPr>
        <w:pStyle w:val="ListParagraph"/>
        <w:numPr>
          <w:ilvl w:val="2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Ictérique: jaunisse, selles décolorées, urine jaune</w:t>
      </w:r>
    </w:p>
    <w:p w:rsidR="00533518" w:rsidRPr="00A23789" w:rsidRDefault="00D97906" w:rsidP="00D97906">
      <w:pPr>
        <w:pStyle w:val="ListParagraph"/>
        <w:numPr>
          <w:ilvl w:val="2"/>
          <w:numId w:val="3"/>
        </w:numPr>
        <w:spacing w:line="240" w:lineRule="auto"/>
        <w:rPr>
          <w:bCs/>
          <w:lang w:val="fr-CA"/>
        </w:rPr>
      </w:pPr>
      <w:r w:rsidRPr="00A23789">
        <w:rPr>
          <w:bCs/>
          <w:lang w:val="fr-CA"/>
        </w:rPr>
        <w:t>Convalescence: résolution ou infection chronique</w:t>
      </w:r>
    </w:p>
    <w:p w:rsidR="00000000" w:rsidRPr="00A23789" w:rsidRDefault="00A23789" w:rsidP="00A23789">
      <w:pPr>
        <w:spacing w:line="240" w:lineRule="auto"/>
        <w:rPr>
          <w:b/>
          <w:u w:val="single"/>
          <w:lang w:val="fr-CA"/>
        </w:rPr>
      </w:pPr>
      <w:r w:rsidRPr="00A23789">
        <w:rPr>
          <w:b/>
          <w:u w:val="single"/>
          <w:lang w:val="fr-CA"/>
        </w:rPr>
        <w:t>Évolution</w:t>
      </w:r>
    </w:p>
    <w:p w:rsidR="00000000" w:rsidRPr="00A23789" w:rsidRDefault="00D97906" w:rsidP="00D9790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Gravité de l’infection est variable selon l’étiologie</w:t>
      </w:r>
    </w:p>
    <w:p w:rsidR="00000000" w:rsidRPr="00A23789" w:rsidRDefault="00D97906" w:rsidP="00D9790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La forme aigu</w:t>
      </w:r>
      <w:r w:rsidRPr="00A23789">
        <w:rPr>
          <w:lang w:val="fr-CA"/>
        </w:rPr>
        <w:t>ë</w:t>
      </w:r>
      <w:r w:rsidRPr="00A23789">
        <w:rPr>
          <w:lang w:val="fr-CA"/>
        </w:rPr>
        <w:t xml:space="preserve"> du VHA et E évolue vers la guérison</w:t>
      </w:r>
    </w:p>
    <w:p w:rsidR="00000000" w:rsidRPr="00A23789" w:rsidRDefault="00D97906" w:rsidP="00D9790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VHB, C, D peuvent se compliquer en évoluant vers une hépatite chronique</w:t>
      </w:r>
    </w:p>
    <w:p w:rsidR="00000000" w:rsidRPr="00A23789" w:rsidRDefault="00D97906" w:rsidP="00D9790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La forme classique: prodrome de fièvre, arthralgies, ictère sans fièvre, ast</w:t>
      </w:r>
      <w:r w:rsidRPr="00A23789">
        <w:rPr>
          <w:lang w:val="fr-CA"/>
        </w:rPr>
        <w:t>hénie, anorexie</w:t>
      </w:r>
    </w:p>
    <w:p w:rsidR="00000000" w:rsidRPr="00A23789" w:rsidRDefault="00D97906" w:rsidP="00D9790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Durée: 3 semaines à 1 mois</w:t>
      </w:r>
    </w:p>
    <w:p w:rsidR="00000000" w:rsidRPr="00A23789" w:rsidRDefault="00D97906" w:rsidP="00D9790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Formes anictériques: &gt;90% asymptomatiques, peu de symptômes ou atypiques</w:t>
      </w:r>
    </w:p>
    <w:p w:rsidR="00000000" w:rsidRPr="00A23789" w:rsidRDefault="00D97906" w:rsidP="00D9790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Hépatite fulminante (VHB): 1/1000, mortalité spontanée dans 80-90% des cas</w:t>
      </w:r>
    </w:p>
    <w:p w:rsidR="00000000" w:rsidRPr="00A23789" w:rsidRDefault="00D97906" w:rsidP="00D97906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Portage chronique (VHB, VHC): fréquence variable</w:t>
      </w:r>
    </w:p>
    <w:p w:rsidR="00000000" w:rsidRPr="00A23789" w:rsidRDefault="00D97906" w:rsidP="00D9790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Chronique persistante sans cytolyse</w:t>
      </w:r>
    </w:p>
    <w:p w:rsidR="00000000" w:rsidRPr="00A23789" w:rsidRDefault="00D97906" w:rsidP="00D9790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Chronique active, avec cytolyse</w:t>
      </w:r>
    </w:p>
    <w:p w:rsidR="00000000" w:rsidRPr="00A23789" w:rsidRDefault="00D97906" w:rsidP="00D97906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A23789">
        <w:rPr>
          <w:lang w:val="fr-CA"/>
        </w:rPr>
        <w:t>Complications: cirrhose, cancer</w:t>
      </w:r>
    </w:p>
    <w:p w:rsidR="00000000" w:rsidRPr="00A23789" w:rsidRDefault="00A23789" w:rsidP="00A23789">
      <w:pPr>
        <w:spacing w:line="240" w:lineRule="auto"/>
        <w:rPr>
          <w:b/>
          <w:u w:val="single"/>
          <w:lang w:val="fr-CA"/>
        </w:rPr>
      </w:pPr>
      <w:r w:rsidRPr="00A23789">
        <w:rPr>
          <w:b/>
          <w:u w:val="single"/>
          <w:lang w:val="fr-CA"/>
        </w:rPr>
        <w:t>Diagnostique</w:t>
      </w:r>
    </w:p>
    <w:p w:rsidR="00000000" w:rsidRPr="00A23789" w:rsidRDefault="00D97906" w:rsidP="00D97906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A23789">
        <w:rPr>
          <w:lang w:val="fr-CA"/>
        </w:rPr>
        <w:t>Indicatifs non</w:t>
      </w:r>
      <w:r w:rsidRPr="00A23789">
        <w:rPr>
          <w:lang w:val="fr-CA"/>
        </w:rPr>
        <w:t xml:space="preserve"> spécifiques:</w:t>
      </w:r>
    </w:p>
    <w:p w:rsidR="00000000" w:rsidRPr="00A23789" w:rsidRDefault="00D97906" w:rsidP="00D97906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A23789">
        <w:rPr>
          <w:lang w:val="fr-CA"/>
        </w:rPr>
        <w:t>Élévation des transaminases (ALT, AST)</w:t>
      </w:r>
    </w:p>
    <w:p w:rsidR="00000000" w:rsidRPr="00A23789" w:rsidRDefault="00D97906" w:rsidP="00D97906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A23789">
        <w:rPr>
          <w:lang w:val="fr-CA"/>
        </w:rPr>
        <w:t>Sérologie: IgM, IgG – core, surface, enveloppe, capside</w:t>
      </w:r>
    </w:p>
    <w:p w:rsidR="00000000" w:rsidRPr="00A23789" w:rsidRDefault="00D97906" w:rsidP="00D97906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A23789">
        <w:rPr>
          <w:lang w:val="fr-CA"/>
        </w:rPr>
        <w:t>Détection des Ag de surface</w:t>
      </w:r>
    </w:p>
    <w:p w:rsidR="00000000" w:rsidRPr="00A23789" w:rsidRDefault="00D97906" w:rsidP="00D97906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A23789">
        <w:rPr>
          <w:lang w:val="fr-CA"/>
        </w:rPr>
        <w:t>PCR</w:t>
      </w:r>
    </w:p>
    <w:p w:rsidR="00533518" w:rsidRDefault="00D97906" w:rsidP="00D97906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A23789">
        <w:rPr>
          <w:lang w:val="fr-CA"/>
        </w:rPr>
        <w:t>Biopsie</w:t>
      </w:r>
    </w:p>
    <w:p w:rsidR="00A23789" w:rsidRPr="00A23789" w:rsidRDefault="00A23789" w:rsidP="00D97906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</w:p>
    <w:p w:rsidR="00000000" w:rsidRPr="00A23789" w:rsidRDefault="009E4F10" w:rsidP="00A23789">
      <w:pPr>
        <w:spacing w:line="240" w:lineRule="auto"/>
        <w:rPr>
          <w:sz w:val="26"/>
          <w:szCs w:val="26"/>
          <w:lang w:val="fr-CA"/>
        </w:rPr>
      </w:pPr>
      <w:r w:rsidRPr="00A23789">
        <w:rPr>
          <w:b/>
          <w:bCs/>
          <w:color w:val="FFC000"/>
          <w:sz w:val="26"/>
          <w:szCs w:val="26"/>
          <w:lang w:val="fr-CA"/>
        </w:rPr>
        <w:lastRenderedPageBreak/>
        <w:t>L’hépatite A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Structure:</w:t>
      </w:r>
    </w:p>
    <w:p w:rsidR="00000000" w:rsidRPr="00A23789" w:rsidRDefault="00D97906" w:rsidP="00D97906">
      <w:pPr>
        <w:pStyle w:val="ListParagraph"/>
        <w:numPr>
          <w:ilvl w:val="0"/>
          <w:numId w:val="6"/>
        </w:numPr>
        <w:spacing w:line="240" w:lineRule="auto"/>
        <w:rPr>
          <w:lang w:val="fr-CA"/>
        </w:rPr>
      </w:pPr>
      <w:r w:rsidRPr="00A23789">
        <w:rPr>
          <w:lang w:val="fr-CA"/>
        </w:rPr>
        <w:t>Virion: Capside icosaédrique, non envelopp</w:t>
      </w:r>
      <w:r w:rsidRPr="00A23789">
        <w:rPr>
          <w:lang w:val="fr-CA"/>
        </w:rPr>
        <w:t>é</w:t>
      </w:r>
    </w:p>
    <w:p w:rsidR="00000000" w:rsidRPr="00A23789" w:rsidRDefault="00D97906" w:rsidP="00D97906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A23789">
        <w:rPr>
          <w:lang w:val="fr-CA"/>
        </w:rPr>
        <w:t>1 s</w:t>
      </w:r>
      <w:r w:rsidRPr="00A23789">
        <w:rPr>
          <w:lang w:val="fr-CA"/>
        </w:rPr>
        <w:t>é</w:t>
      </w:r>
      <w:r w:rsidRPr="00A23789">
        <w:rPr>
          <w:lang w:val="fr-CA"/>
        </w:rPr>
        <w:t>rotype bas</w:t>
      </w:r>
      <w:r w:rsidRPr="00A23789">
        <w:rPr>
          <w:lang w:val="fr-CA"/>
        </w:rPr>
        <w:t>é</w:t>
      </w:r>
      <w:r w:rsidRPr="00A23789">
        <w:rPr>
          <w:lang w:val="fr-CA"/>
        </w:rPr>
        <w:t xml:space="preserve"> sur 1 antigène</w:t>
      </w:r>
    </w:p>
    <w:p w:rsidR="00000000" w:rsidRPr="00A23789" w:rsidRDefault="00D97906" w:rsidP="00D97906">
      <w:pPr>
        <w:pStyle w:val="ListParagraph"/>
        <w:numPr>
          <w:ilvl w:val="1"/>
          <w:numId w:val="6"/>
        </w:numPr>
        <w:spacing w:line="240" w:lineRule="auto"/>
        <w:rPr>
          <w:lang w:val="fr-CA"/>
        </w:rPr>
      </w:pPr>
      <w:r w:rsidRPr="00A23789">
        <w:rPr>
          <w:lang w:val="fr-CA"/>
        </w:rPr>
        <w:t>Très résistant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Épidémiologie:</w:t>
      </w:r>
    </w:p>
    <w:p w:rsidR="00000000" w:rsidRPr="00A23789" w:rsidRDefault="00D97906" w:rsidP="00D97906">
      <w:pPr>
        <w:pStyle w:val="ListParagraph"/>
        <w:numPr>
          <w:ilvl w:val="0"/>
          <w:numId w:val="7"/>
        </w:numPr>
        <w:spacing w:line="240" w:lineRule="auto"/>
        <w:rPr>
          <w:lang w:val="fr-CA"/>
        </w:rPr>
      </w:pPr>
      <w:r w:rsidRPr="00A23789">
        <w:rPr>
          <w:lang w:val="fr-CA"/>
        </w:rPr>
        <w:t>Hépatite virale la plus répandue</w:t>
      </w:r>
    </w:p>
    <w:p w:rsidR="00000000" w:rsidRPr="00A23789" w:rsidRDefault="00D97906" w:rsidP="00D97906">
      <w:pPr>
        <w:pStyle w:val="ListParagraph"/>
        <w:numPr>
          <w:ilvl w:val="0"/>
          <w:numId w:val="7"/>
        </w:numPr>
        <w:spacing w:line="240" w:lineRule="auto"/>
        <w:rPr>
          <w:lang w:val="fr-CA"/>
        </w:rPr>
      </w:pPr>
      <w:r w:rsidRPr="00A23789">
        <w:rPr>
          <w:lang w:val="fr-CA"/>
        </w:rPr>
        <w:t>Endémique dans les pays du tiers monde</w:t>
      </w:r>
    </w:p>
    <w:p w:rsidR="00000000" w:rsidRPr="00A23789" w:rsidRDefault="00D97906" w:rsidP="00D97906">
      <w:pPr>
        <w:pStyle w:val="ListParagraph"/>
        <w:numPr>
          <w:ilvl w:val="0"/>
          <w:numId w:val="7"/>
        </w:numPr>
        <w:spacing w:line="240" w:lineRule="auto"/>
        <w:rPr>
          <w:lang w:val="fr-CA"/>
        </w:rPr>
      </w:pPr>
      <w:r w:rsidRPr="00A23789">
        <w:rPr>
          <w:lang w:val="fr-CA"/>
        </w:rPr>
        <w:t>Pays développ</w:t>
      </w:r>
      <w:r w:rsidRPr="00A23789">
        <w:rPr>
          <w:lang w:val="fr-CA"/>
        </w:rPr>
        <w:t>é</w:t>
      </w:r>
      <w:r w:rsidRPr="00A23789">
        <w:rPr>
          <w:lang w:val="fr-CA"/>
        </w:rPr>
        <w:t>s/industrialisés: les cas sont sporadiq</w:t>
      </w:r>
      <w:r w:rsidRPr="00A23789">
        <w:rPr>
          <w:lang w:val="fr-CA"/>
        </w:rPr>
        <w:t xml:space="preserve">ues, liés aux </w:t>
      </w:r>
      <w:r w:rsidRPr="00A23789">
        <w:rPr>
          <w:lang w:val="fr-CA"/>
        </w:rPr>
        <w:t>é</w:t>
      </w:r>
      <w:r w:rsidRPr="00A23789">
        <w:rPr>
          <w:lang w:val="fr-CA"/>
        </w:rPr>
        <w:t>closions localisées</w:t>
      </w:r>
    </w:p>
    <w:p w:rsidR="00000000" w:rsidRPr="00A23789" w:rsidRDefault="00D97906" w:rsidP="00D97906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A23789">
        <w:rPr>
          <w:lang w:val="fr-CA"/>
        </w:rPr>
        <w:t>Taux d’immunisation</w:t>
      </w:r>
      <w:r w:rsidRPr="00A23789">
        <w:rPr>
          <w:lang w:val="fr-CA"/>
        </w:rPr>
        <w:t xml:space="preserve"> insuffisant</w:t>
      </w:r>
    </w:p>
    <w:p w:rsidR="00000000" w:rsidRPr="00A23789" w:rsidRDefault="00D97906" w:rsidP="00D97906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A23789">
        <w:rPr>
          <w:lang w:val="fr-CA"/>
        </w:rPr>
        <w:t>Les personnes qui se déplacent d’endroit endémique à un pays à basse incidence deviennent la source importante d’éclosion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Transmission:</w:t>
      </w:r>
    </w:p>
    <w:p w:rsidR="00000000" w:rsidRPr="00A23789" w:rsidRDefault="00D97906" w:rsidP="00D97906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Interhumaine: Fécale – orale (péril f</w:t>
      </w:r>
      <w:r w:rsidRPr="00A23789">
        <w:rPr>
          <w:lang w:val="fr-CA"/>
        </w:rPr>
        <w:t>é</w:t>
      </w:r>
      <w:r w:rsidRPr="00A23789">
        <w:rPr>
          <w:lang w:val="fr-CA"/>
        </w:rPr>
        <w:t>cale)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Contact étroit, restaurants, garderies, manque d’hygiène personnel</w:t>
      </w:r>
    </w:p>
    <w:p w:rsidR="00000000" w:rsidRPr="00A23789" w:rsidRDefault="00D97906" w:rsidP="00D97906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Indirecte: Eau, aliments souillés par la m</w:t>
      </w:r>
      <w:r w:rsidRPr="00A23789">
        <w:rPr>
          <w:lang w:val="fr-CA"/>
        </w:rPr>
        <w:t>atière fécale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 xml:space="preserve">Fruits de mers 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555 cas de VHA en Pennsylvanie associ</w:t>
      </w:r>
      <w:r w:rsidRPr="00A23789">
        <w:rPr>
          <w:lang w:val="fr-CA"/>
        </w:rPr>
        <w:t>é</w:t>
      </w:r>
      <w:r w:rsidRPr="00A23789">
        <w:rPr>
          <w:lang w:val="fr-CA"/>
        </w:rPr>
        <w:t>s aux oignons verts-2003</w:t>
      </w:r>
    </w:p>
    <w:p w:rsidR="00000000" w:rsidRPr="00A23789" w:rsidRDefault="00D97906" w:rsidP="00D97906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Parentérale: rare</w:t>
      </w:r>
    </w:p>
    <w:p w:rsidR="00A23789" w:rsidRDefault="00A23789" w:rsidP="00A23789">
      <w:pPr>
        <w:pStyle w:val="ListParagraph"/>
        <w:spacing w:line="240" w:lineRule="auto"/>
        <w:rPr>
          <w:lang w:val="fr-CA"/>
        </w:rPr>
      </w:pPr>
    </w:p>
    <w:p w:rsidR="00000000" w:rsidRPr="00A23789" w:rsidRDefault="00D97906" w:rsidP="00D97906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Incubation: 1-7 semaines, moyenne 21 jours</w:t>
      </w:r>
    </w:p>
    <w:p w:rsidR="00000000" w:rsidRPr="00A23789" w:rsidRDefault="00D97906" w:rsidP="00D97906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Évolution clinique: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Phase pré-Ictérique: Prodrome grippale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Phase ictérique: Selles décolorées, urine foncée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Guérison spontanée, immunité a vie</w:t>
      </w:r>
    </w:p>
    <w:p w:rsidR="00A23789" w:rsidRDefault="00A23789" w:rsidP="00A23789">
      <w:pPr>
        <w:pStyle w:val="ListParagraph"/>
        <w:spacing w:line="240" w:lineRule="auto"/>
        <w:rPr>
          <w:lang w:val="fr-CA"/>
        </w:rPr>
      </w:pPr>
    </w:p>
    <w:p w:rsidR="00000000" w:rsidRPr="00A23789" w:rsidRDefault="00D97906" w:rsidP="00D97906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Hépatite fulminante: &lt;1% des cas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S</w:t>
      </w:r>
      <w:r w:rsidRPr="00A23789">
        <w:rPr>
          <w:lang w:val="fr-CA"/>
        </w:rPr>
        <w:t>é</w:t>
      </w:r>
      <w:r w:rsidRPr="00A23789">
        <w:rPr>
          <w:lang w:val="fr-CA"/>
        </w:rPr>
        <w:t>v</w:t>
      </w:r>
      <w:r w:rsidRPr="00A23789">
        <w:rPr>
          <w:lang w:val="fr-CA"/>
        </w:rPr>
        <w:t>é</w:t>
      </w:r>
      <w:r w:rsidRPr="00A23789">
        <w:rPr>
          <w:lang w:val="fr-CA"/>
        </w:rPr>
        <w:t>rit</w:t>
      </w:r>
      <w:r w:rsidRPr="00A23789">
        <w:rPr>
          <w:lang w:val="fr-CA"/>
        </w:rPr>
        <w:t>é</w:t>
      </w:r>
      <w:r w:rsidRPr="00A23789">
        <w:rPr>
          <w:lang w:val="fr-CA"/>
        </w:rPr>
        <w:t xml:space="preserve"> de l’infection augmente avec l’</w:t>
      </w:r>
      <w:r w:rsidRPr="00A23789">
        <w:rPr>
          <w:lang w:val="fr-CA"/>
        </w:rPr>
        <w:t>â</w:t>
      </w:r>
      <w:r w:rsidRPr="00A23789">
        <w:rPr>
          <w:lang w:val="fr-CA"/>
        </w:rPr>
        <w:t>ge.</w:t>
      </w:r>
    </w:p>
    <w:p w:rsidR="00000000" w:rsidRPr="00A23789" w:rsidRDefault="00D97906" w:rsidP="00D97906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VHA selles: 2 semaines avant le début des symptômes  jusqu’à 1 semaine après la jaunisse</w:t>
      </w:r>
    </w:p>
    <w:p w:rsidR="00000000" w:rsidRPr="00A23789" w:rsidRDefault="00D97906" w:rsidP="00D97906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A23789">
        <w:rPr>
          <w:lang w:val="fr-CA"/>
        </w:rPr>
        <w:t>Pas de porteurs chronique</w:t>
      </w:r>
      <w:r w:rsidRPr="00A23789">
        <w:rPr>
          <w:lang w:val="fr-CA"/>
        </w:rPr>
        <w:t>s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Diagnostique:</w:t>
      </w:r>
    </w:p>
    <w:p w:rsidR="00000000" w:rsidRPr="00A23789" w:rsidRDefault="00D97906" w:rsidP="00D97906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A23789">
        <w:rPr>
          <w:b/>
          <w:lang w:val="fr-CA"/>
        </w:rPr>
        <w:t>IgM/IgG</w:t>
      </w:r>
      <w:r w:rsidRPr="00A23789">
        <w:rPr>
          <w:lang w:val="fr-CA"/>
        </w:rPr>
        <w:t>: Détectables à la présentation (&gt;95%)</w:t>
      </w:r>
    </w:p>
    <w:p w:rsidR="00000000" w:rsidRPr="00A23789" w:rsidRDefault="00D97906" w:rsidP="00D97906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A23789">
        <w:rPr>
          <w:b/>
          <w:lang w:val="fr-CA"/>
        </w:rPr>
        <w:t>IgG</w:t>
      </w:r>
      <w:r w:rsidRPr="00A23789">
        <w:rPr>
          <w:lang w:val="fr-CA"/>
        </w:rPr>
        <w:t>: Immunité et/ou convalescence</w:t>
      </w:r>
    </w:p>
    <w:p w:rsidR="00000000" w:rsidRPr="00A23789" w:rsidRDefault="00D97906" w:rsidP="00D97906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A23789">
        <w:rPr>
          <w:b/>
          <w:lang w:val="fr-CA"/>
        </w:rPr>
        <w:t>IgM</w:t>
      </w:r>
      <w:r w:rsidRPr="00A23789">
        <w:rPr>
          <w:lang w:val="fr-CA"/>
        </w:rPr>
        <w:t>: Infection aigu</w:t>
      </w:r>
      <w:r w:rsidRPr="00A23789">
        <w:rPr>
          <w:lang w:val="fr-CA"/>
        </w:rPr>
        <w:t>ë</w:t>
      </w:r>
    </w:p>
    <w:p w:rsidR="00000000" w:rsidRPr="00A23789" w:rsidRDefault="00D97906" w:rsidP="00D97906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A23789">
        <w:rPr>
          <w:b/>
          <w:lang w:val="fr-CA"/>
        </w:rPr>
        <w:t>Détection Ag</w:t>
      </w:r>
      <w:r w:rsidRPr="00A23789">
        <w:rPr>
          <w:lang w:val="fr-CA"/>
        </w:rPr>
        <w:t>: pas nécessaire</w:t>
      </w:r>
    </w:p>
    <w:p w:rsidR="00000000" w:rsidRPr="00A23789" w:rsidRDefault="00D97906" w:rsidP="00D97906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A23789">
        <w:rPr>
          <w:b/>
          <w:lang w:val="fr-CA"/>
        </w:rPr>
        <w:t>Traitement</w:t>
      </w:r>
      <w:r w:rsidRPr="00A23789">
        <w:rPr>
          <w:lang w:val="fr-CA"/>
        </w:rPr>
        <w:t>: Aucun spécifique, symptomatique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Prévention:</w:t>
      </w:r>
    </w:p>
    <w:p w:rsidR="00000000" w:rsidRPr="00A23789" w:rsidRDefault="00D97906" w:rsidP="00D97906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A23789">
        <w:rPr>
          <w:lang w:val="fr-CA"/>
        </w:rPr>
        <w:t xml:space="preserve">Immunoglobuline: </w:t>
      </w:r>
      <w:r w:rsidRPr="00A23789">
        <w:rPr>
          <w:u w:val="single"/>
          <w:lang w:val="fr-CA"/>
        </w:rPr>
        <w:t>&lt;</w:t>
      </w:r>
      <w:r w:rsidRPr="00A23789">
        <w:rPr>
          <w:lang w:val="fr-CA"/>
        </w:rPr>
        <w:t>2 semaines après avoir été exposé; prévient ou réduit la s</w:t>
      </w:r>
      <w:r w:rsidRPr="00A23789">
        <w:rPr>
          <w:lang w:val="fr-CA"/>
        </w:rPr>
        <w:t>é</w:t>
      </w:r>
      <w:r w:rsidRPr="00A23789">
        <w:rPr>
          <w:lang w:val="fr-CA"/>
        </w:rPr>
        <w:t>v</w:t>
      </w:r>
      <w:r w:rsidRPr="00A23789">
        <w:rPr>
          <w:lang w:val="fr-CA"/>
        </w:rPr>
        <w:t>é</w:t>
      </w:r>
      <w:r w:rsidRPr="00A23789">
        <w:rPr>
          <w:lang w:val="fr-CA"/>
        </w:rPr>
        <w:t>rit</w:t>
      </w:r>
      <w:r w:rsidRPr="00A23789">
        <w:rPr>
          <w:lang w:val="fr-CA"/>
        </w:rPr>
        <w:t>é</w:t>
      </w:r>
      <w:r w:rsidRPr="00A23789">
        <w:rPr>
          <w:lang w:val="fr-CA"/>
        </w:rPr>
        <w:t xml:space="preserve"> (80-90%).</w:t>
      </w:r>
    </w:p>
    <w:p w:rsidR="00000000" w:rsidRPr="00A23789" w:rsidRDefault="00D97906" w:rsidP="00D97906">
      <w:pPr>
        <w:pStyle w:val="ListParagraph"/>
        <w:numPr>
          <w:ilvl w:val="1"/>
          <w:numId w:val="10"/>
        </w:numPr>
        <w:spacing w:line="240" w:lineRule="auto"/>
        <w:rPr>
          <w:lang w:val="fr-CA"/>
        </w:rPr>
      </w:pPr>
      <w:r w:rsidRPr="00A23789">
        <w:rPr>
          <w:lang w:val="fr-CA"/>
        </w:rPr>
        <w:t>Application chez les professionnelles de la santé</w:t>
      </w:r>
    </w:p>
    <w:p w:rsidR="00000000" w:rsidRPr="00A23789" w:rsidRDefault="00D97906" w:rsidP="00D97906">
      <w:pPr>
        <w:pStyle w:val="ListParagraph"/>
        <w:numPr>
          <w:ilvl w:val="1"/>
          <w:numId w:val="10"/>
        </w:numPr>
        <w:spacing w:line="240" w:lineRule="auto"/>
        <w:rPr>
          <w:lang w:val="fr-CA"/>
        </w:rPr>
      </w:pPr>
      <w:r w:rsidRPr="00A23789">
        <w:rPr>
          <w:lang w:val="fr-CA"/>
        </w:rPr>
        <w:t>Déclin de la séroprévalence en pays développ</w:t>
      </w:r>
      <w:r w:rsidRPr="00A23789">
        <w:rPr>
          <w:lang w:val="fr-CA"/>
        </w:rPr>
        <w:t>é</w:t>
      </w:r>
      <w:r w:rsidRPr="00A23789">
        <w:rPr>
          <w:lang w:val="fr-CA"/>
        </w:rPr>
        <w:t>s diminue l’efficacité</w:t>
      </w:r>
    </w:p>
    <w:p w:rsidR="00000000" w:rsidRPr="00A23789" w:rsidRDefault="00D97906" w:rsidP="00D97906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A23789">
        <w:rPr>
          <w:lang w:val="fr-CA"/>
        </w:rPr>
        <w:t>Vaccin: Inactiv</w:t>
      </w:r>
      <w:r w:rsidRPr="00A23789">
        <w:rPr>
          <w:lang w:val="fr-CA"/>
        </w:rPr>
        <w:t>é</w:t>
      </w:r>
      <w:r w:rsidRPr="00A23789">
        <w:rPr>
          <w:lang w:val="fr-CA"/>
        </w:rPr>
        <w:t>, recommand</w:t>
      </w:r>
      <w:r w:rsidRPr="00A23789">
        <w:rPr>
          <w:lang w:val="fr-CA"/>
        </w:rPr>
        <w:t>é</w:t>
      </w:r>
      <w:r w:rsidRPr="00A23789">
        <w:rPr>
          <w:lang w:val="fr-CA"/>
        </w:rPr>
        <w:t xml:space="preserve"> aux voyageurs allant en zones endémiques, personnes exposées </w:t>
      </w:r>
      <w:r w:rsidRPr="00A23789">
        <w:rPr>
          <w:lang w:val="fr-CA"/>
        </w:rPr>
        <w:t>à risques élevés</w:t>
      </w:r>
    </w:p>
    <w:p w:rsidR="00000000" w:rsidRPr="00A23789" w:rsidRDefault="00D97906" w:rsidP="00D97906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A23789">
        <w:rPr>
          <w:lang w:val="fr-CA"/>
        </w:rPr>
        <w:t>Amélioration de l ’hygiène alimentaire: assurer une source d’eau potable, éviter les endroits ou comportement à risques</w:t>
      </w:r>
    </w:p>
    <w:p w:rsidR="00000000" w:rsidRPr="00A23789" w:rsidRDefault="009E4F10" w:rsidP="00A23789">
      <w:pPr>
        <w:spacing w:line="240" w:lineRule="auto"/>
        <w:rPr>
          <w:b/>
          <w:sz w:val="28"/>
          <w:szCs w:val="28"/>
          <w:lang w:val="fr-CA"/>
        </w:rPr>
      </w:pPr>
      <w:r w:rsidRPr="00A23789">
        <w:rPr>
          <w:b/>
          <w:color w:val="00B050"/>
          <w:sz w:val="28"/>
          <w:szCs w:val="28"/>
          <w:lang w:val="fr-CA"/>
        </w:rPr>
        <w:lastRenderedPageBreak/>
        <w:t>Virus De L’hépatite B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Classification et Structure:</w:t>
      </w:r>
    </w:p>
    <w:p w:rsidR="00000000" w:rsidRPr="00A23789" w:rsidRDefault="00D97906" w:rsidP="00D97906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A23789">
        <w:rPr>
          <w:lang w:val="fr-CA"/>
        </w:rPr>
        <w:t>Famille: Hepnavirus</w:t>
      </w:r>
    </w:p>
    <w:p w:rsidR="00000000" w:rsidRPr="00A23789" w:rsidRDefault="00D97906" w:rsidP="00D97906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A23789">
        <w:rPr>
          <w:lang w:val="fr-CA"/>
        </w:rPr>
        <w:t>Virion: nucléocapside (AgHBc, AgHBe), entourée d’une enveloppe (AgHBs)</w:t>
      </w:r>
    </w:p>
    <w:p w:rsidR="00000000" w:rsidRPr="00A23789" w:rsidRDefault="00D97906" w:rsidP="00D97906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A23789">
        <w:rPr>
          <w:lang w:val="fr-CA"/>
        </w:rPr>
        <w:t>Particules sphériques, tubulaires et Danes (virus complet, infectieux)</w:t>
      </w:r>
    </w:p>
    <w:p w:rsidR="00000000" w:rsidRPr="00A23789" w:rsidRDefault="00D97906" w:rsidP="00D97906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A23789">
        <w:rPr>
          <w:lang w:val="fr-CA"/>
        </w:rPr>
        <w:t>S</w:t>
      </w:r>
      <w:r w:rsidRPr="00A23789">
        <w:rPr>
          <w:lang w:val="fr-CA"/>
        </w:rPr>
        <w:t>é</w:t>
      </w:r>
      <w:r w:rsidRPr="00A23789">
        <w:rPr>
          <w:lang w:val="fr-CA"/>
        </w:rPr>
        <w:t>rotype basée sur AgHBs:</w:t>
      </w:r>
    </w:p>
    <w:p w:rsidR="00000000" w:rsidRPr="00A23789" w:rsidRDefault="00D97906" w:rsidP="00D97906">
      <w:pPr>
        <w:pStyle w:val="ListParagraph"/>
        <w:numPr>
          <w:ilvl w:val="1"/>
          <w:numId w:val="11"/>
        </w:numPr>
        <w:spacing w:line="240" w:lineRule="auto"/>
        <w:rPr>
          <w:lang w:val="fr-CA"/>
        </w:rPr>
      </w:pPr>
      <w:r w:rsidRPr="00A23789">
        <w:rPr>
          <w:lang w:val="fr-CA"/>
        </w:rPr>
        <w:t>1 Ag commun et 4 sous-classes (génotypes)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Structure Antigénique</w:t>
      </w:r>
    </w:p>
    <w:p w:rsidR="00000000" w:rsidRPr="00A23789" w:rsidRDefault="00D97906" w:rsidP="00D97906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A23789">
        <w:rPr>
          <w:b/>
          <w:bCs/>
          <w:lang w:val="fr-CA"/>
        </w:rPr>
        <w:t>HBsAg</w:t>
      </w:r>
      <w:r w:rsidRPr="00A23789">
        <w:rPr>
          <w:lang w:val="fr-CA"/>
        </w:rPr>
        <w:t>: Enveloppe, 4 sous-classes</w:t>
      </w:r>
    </w:p>
    <w:p w:rsidR="00000000" w:rsidRPr="00A23789" w:rsidRDefault="00D97906" w:rsidP="00D97906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A23789">
        <w:rPr>
          <w:lang w:val="fr-CA"/>
        </w:rPr>
        <w:t>Apparaît &lt;1 mois après contage (avant les symptômes)</w:t>
      </w:r>
    </w:p>
    <w:p w:rsidR="00000000" w:rsidRPr="00A23789" w:rsidRDefault="00D97906" w:rsidP="00D97906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A23789">
        <w:rPr>
          <w:lang w:val="fr-CA"/>
        </w:rPr>
        <w:t>Présence dans le sang est diagnostique d’une infection aigu</w:t>
      </w:r>
      <w:r w:rsidRPr="00A23789">
        <w:rPr>
          <w:lang w:val="fr-CA"/>
        </w:rPr>
        <w:t>ë</w:t>
      </w:r>
      <w:r w:rsidRPr="00A23789">
        <w:rPr>
          <w:lang w:val="fr-CA"/>
        </w:rPr>
        <w:t xml:space="preserve"> ou chronique</w:t>
      </w:r>
    </w:p>
    <w:p w:rsidR="00000000" w:rsidRPr="00A23789" w:rsidRDefault="00D97906" w:rsidP="00D97906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A23789">
        <w:rPr>
          <w:lang w:val="fr-CA"/>
        </w:rPr>
        <w:t>Induit l’immunité adaptive et forme la base du vaccin</w:t>
      </w:r>
    </w:p>
    <w:p w:rsidR="00000000" w:rsidRPr="00A23789" w:rsidRDefault="00D97906" w:rsidP="00D97906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A23789">
        <w:rPr>
          <w:b/>
          <w:bCs/>
          <w:lang w:val="fr-CA"/>
        </w:rPr>
        <w:t>HBcAg</w:t>
      </w:r>
      <w:r w:rsidRPr="00A23789">
        <w:rPr>
          <w:lang w:val="fr-CA"/>
        </w:rPr>
        <w:t>: nucléocapside</w:t>
      </w:r>
    </w:p>
    <w:p w:rsidR="00000000" w:rsidRPr="00A23789" w:rsidRDefault="00D97906" w:rsidP="00D97906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A23789">
        <w:rPr>
          <w:lang w:val="fr-CA"/>
        </w:rPr>
        <w:t>Pas dépisté dans le sang (insoluble)</w:t>
      </w:r>
    </w:p>
    <w:p w:rsidR="00000000" w:rsidRPr="00A23789" w:rsidRDefault="00D97906" w:rsidP="00D97906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A23789">
        <w:rPr>
          <w:b/>
          <w:bCs/>
          <w:lang w:val="fr-CA"/>
        </w:rPr>
        <w:t>HBeAg</w:t>
      </w:r>
      <w:r w:rsidRPr="00A23789">
        <w:rPr>
          <w:lang w:val="fr-CA"/>
        </w:rPr>
        <w:t>: nucléocapside associé avec HBc (soluble)</w:t>
      </w:r>
    </w:p>
    <w:p w:rsidR="00000000" w:rsidRPr="00A23789" w:rsidRDefault="00D97906" w:rsidP="00D97906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A23789">
        <w:rPr>
          <w:lang w:val="fr-CA"/>
        </w:rPr>
        <w:t xml:space="preserve">Signification pronostique, présence </w:t>
      </w:r>
      <w:r w:rsidRPr="00A23789">
        <w:rPr>
          <w:lang w:val="fr-CA"/>
        </w:rPr>
        <w:t>indique la réplication active</w:t>
      </w:r>
    </w:p>
    <w:p w:rsidR="00000000" w:rsidRPr="00A23789" w:rsidRDefault="00D97906" w:rsidP="00D97906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A23789">
        <w:rPr>
          <w:lang w:val="fr-CA"/>
        </w:rPr>
        <w:t>Présence d’Ac anti-HBeAg favorise la guérison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Épidémiologie</w:t>
      </w:r>
    </w:p>
    <w:p w:rsidR="00000000" w:rsidRPr="00A23789" w:rsidRDefault="00D97906" w:rsidP="00D97906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A23789">
        <w:rPr>
          <w:lang w:val="fr-CA"/>
        </w:rPr>
        <w:t>Au Canada, variation géographique:</w:t>
      </w:r>
    </w:p>
    <w:p w:rsidR="00000000" w:rsidRPr="00A23789" w:rsidRDefault="00D97906" w:rsidP="00D97906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A23789">
        <w:rPr>
          <w:lang w:val="fr-CA"/>
        </w:rPr>
        <w:t>Autochtones/Inuits: 4%</w:t>
      </w:r>
    </w:p>
    <w:p w:rsidR="00000000" w:rsidRPr="00A23789" w:rsidRDefault="00D97906" w:rsidP="00D97906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A23789">
        <w:rPr>
          <w:lang w:val="fr-CA"/>
        </w:rPr>
        <w:t>Immigrants: 4.3%</w:t>
      </w:r>
    </w:p>
    <w:p w:rsidR="00000000" w:rsidRPr="00A23789" w:rsidRDefault="00D97906" w:rsidP="00D97906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A23789">
        <w:rPr>
          <w:lang w:val="fr-CA"/>
        </w:rPr>
        <w:t>Non-immigrants: 0.2</w:t>
      </w:r>
      <w:r w:rsidRPr="00A23789">
        <w:rPr>
          <w:lang w:val="fr-CA"/>
        </w:rPr>
        <w:t>-0.5%</w:t>
      </w:r>
    </w:p>
    <w:p w:rsidR="00000000" w:rsidRPr="00A23789" w:rsidRDefault="00D97906" w:rsidP="00D97906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A23789">
        <w:rPr>
          <w:lang w:val="fr-CA"/>
        </w:rPr>
        <w:t>Toxicomanes</w:t>
      </w:r>
    </w:p>
    <w:p w:rsidR="00000000" w:rsidRPr="00A23789" w:rsidRDefault="00D97906" w:rsidP="00D97906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A23789">
        <w:rPr>
          <w:lang w:val="fr-CA"/>
        </w:rPr>
        <w:t>Total: 206000 à 280000</w:t>
      </w:r>
    </w:p>
    <w:p w:rsidR="00533518" w:rsidRPr="00A23789" w:rsidRDefault="00533518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Transmission:</w:t>
      </w:r>
    </w:p>
    <w:p w:rsidR="00000000" w:rsidRPr="00A23789" w:rsidRDefault="00D97906" w:rsidP="00D97906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23789">
        <w:rPr>
          <w:u w:val="single"/>
          <w:lang w:val="fr-CA"/>
        </w:rPr>
        <w:t>Transmission parentéral</w:t>
      </w:r>
      <w:r w:rsidRPr="00A23789">
        <w:rPr>
          <w:u w:val="single"/>
          <w:lang w:val="fr-CA"/>
        </w:rPr>
        <w:t>e</w:t>
      </w:r>
      <w:r w:rsidRPr="00A23789">
        <w:rPr>
          <w:lang w:val="fr-CA"/>
        </w:rPr>
        <w:t>: injection, piqûre, acupuncture, rasage, tatouage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Le sang est le vecteur principal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Risque de transmission percutanée:</w:t>
      </w:r>
    </w:p>
    <w:p w:rsidR="00000000" w:rsidRPr="00A23789" w:rsidRDefault="00D97906" w:rsidP="00D97906">
      <w:pPr>
        <w:pStyle w:val="ListParagraph"/>
        <w:numPr>
          <w:ilvl w:val="2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Varie de 10% si le patient est HBe négatif à 40% si HBe positif (3% pour VHC, 0.3%-VIH)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Transmission par voie sexuelle: secrétions g</w:t>
      </w:r>
      <w:r w:rsidRPr="00A23789">
        <w:rPr>
          <w:lang w:val="fr-CA"/>
        </w:rPr>
        <w:t>énitales</w:t>
      </w:r>
    </w:p>
    <w:p w:rsidR="00000000" w:rsidRPr="00A23789" w:rsidRDefault="00D97906" w:rsidP="00D97906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23789">
        <w:rPr>
          <w:u w:val="single"/>
          <w:lang w:val="fr-CA"/>
        </w:rPr>
        <w:t>Transmission verticale</w:t>
      </w:r>
      <w:r w:rsidRPr="00A23789">
        <w:rPr>
          <w:lang w:val="fr-CA"/>
        </w:rPr>
        <w:t xml:space="preserve">: accouchement, ou néonatale </w:t>
      </w:r>
    </w:p>
    <w:p w:rsidR="00000000" w:rsidRPr="00A23789" w:rsidRDefault="00D97906" w:rsidP="00D97906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23789">
        <w:rPr>
          <w:u w:val="single"/>
          <w:lang w:val="fr-CA"/>
        </w:rPr>
        <w:t>Transmission directe</w:t>
      </w:r>
      <w:r w:rsidRPr="00A23789">
        <w:rPr>
          <w:lang w:val="fr-CA"/>
        </w:rPr>
        <w:t>: risque théorique</w:t>
      </w:r>
    </w:p>
    <w:p w:rsidR="00000000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Présence du virus: Salive, urine, selles</w:t>
      </w:r>
    </w:p>
    <w:p w:rsidR="00A23789" w:rsidRPr="00A23789" w:rsidRDefault="00A23789" w:rsidP="00A23789">
      <w:pPr>
        <w:pStyle w:val="ListParagraph"/>
        <w:spacing w:line="240" w:lineRule="auto"/>
        <w:ind w:left="1440"/>
        <w:rPr>
          <w:lang w:val="fr-CA"/>
        </w:rPr>
      </w:pPr>
    </w:p>
    <w:p w:rsidR="00000000" w:rsidRPr="00A23789" w:rsidRDefault="00D97906" w:rsidP="00D97906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 xml:space="preserve">Incubation: 6 </w:t>
      </w:r>
      <w:r w:rsidRPr="00A23789">
        <w:rPr>
          <w:lang w:val="fr-CA"/>
        </w:rPr>
        <w:t>à</w:t>
      </w:r>
      <w:r w:rsidRPr="00A23789">
        <w:rPr>
          <w:lang w:val="fr-CA"/>
        </w:rPr>
        <w:t xml:space="preserve"> 16 semaines</w:t>
      </w:r>
    </w:p>
    <w:p w:rsidR="00000000" w:rsidRPr="00A23789" w:rsidRDefault="00D97906" w:rsidP="00D97906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Tableau Clinique: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Spectre: Asymptomatiqu</w:t>
      </w:r>
      <w:r w:rsidRPr="00A23789">
        <w:rPr>
          <w:lang w:val="fr-CA"/>
        </w:rPr>
        <w:t xml:space="preserve">e </w:t>
      </w:r>
      <w:r w:rsidRPr="00A23789">
        <w:rPr>
          <w:lang w:val="fr-CA"/>
        </w:rPr>
        <w:t>à</w:t>
      </w:r>
      <w:r w:rsidRPr="00A23789">
        <w:rPr>
          <w:lang w:val="fr-CA"/>
        </w:rPr>
        <w:t xml:space="preserve"> sévère avec défaillance hépatique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Infection aigue: Prodrome gr</w:t>
      </w:r>
      <w:r w:rsidRPr="00A23789">
        <w:rPr>
          <w:lang w:val="fr-CA"/>
        </w:rPr>
        <w:t>ippale, myalgies, asthénie, exanthème, ictère (25%)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Hépatite fulminante (1%)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 xml:space="preserve">Infection chronique active: </w:t>
      </w:r>
      <w:r w:rsidRPr="00A23789">
        <w:rPr>
          <w:lang w:val="fr-CA"/>
        </w:rPr>
        <w:t>recrudescence symptomatique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Infection chronique inactive: asymptomatique</w:t>
      </w:r>
    </w:p>
    <w:p w:rsidR="00000000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Carcinome hépatocellulaire</w:t>
      </w:r>
    </w:p>
    <w:p w:rsidR="00A23789" w:rsidRDefault="00A23789" w:rsidP="00A23789">
      <w:pPr>
        <w:pStyle w:val="ListParagraph"/>
        <w:spacing w:line="240" w:lineRule="auto"/>
        <w:rPr>
          <w:lang w:val="fr-CA"/>
        </w:rPr>
      </w:pPr>
    </w:p>
    <w:p w:rsidR="00A23789" w:rsidRDefault="00A23789" w:rsidP="00A23789">
      <w:pPr>
        <w:pStyle w:val="ListParagraph"/>
        <w:spacing w:line="240" w:lineRule="auto"/>
        <w:rPr>
          <w:lang w:val="fr-CA"/>
        </w:rPr>
      </w:pPr>
    </w:p>
    <w:p w:rsidR="00A23789" w:rsidRPr="00A23789" w:rsidRDefault="00A23789" w:rsidP="00A23789">
      <w:pPr>
        <w:pStyle w:val="ListParagraph"/>
        <w:spacing w:line="240" w:lineRule="auto"/>
        <w:rPr>
          <w:lang w:val="fr-CA"/>
        </w:rPr>
      </w:pPr>
    </w:p>
    <w:p w:rsidR="00000000" w:rsidRPr="00A23789" w:rsidRDefault="00D97906" w:rsidP="00D97906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lastRenderedPageBreak/>
        <w:t>Manifestations extra hépatique: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Réactions auto-immunes</w:t>
      </w:r>
    </w:p>
    <w:p w:rsidR="00000000" w:rsidRPr="00A23789" w:rsidRDefault="00D97906" w:rsidP="00D97906">
      <w:pPr>
        <w:pStyle w:val="ListParagraph"/>
        <w:numPr>
          <w:ilvl w:val="2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Glomérulonéphrite, cryoglobulin</w:t>
      </w:r>
      <w:r w:rsidRPr="00A23789">
        <w:rPr>
          <w:lang w:val="fr-CA"/>
        </w:rPr>
        <w:t>é</w:t>
      </w:r>
      <w:r w:rsidRPr="00A23789">
        <w:rPr>
          <w:lang w:val="fr-CA"/>
        </w:rPr>
        <w:t>mie, exanthème, arthrite, œdème angioneurotique (œdème Quincke), maladies sérique, vasculite</w:t>
      </w:r>
    </w:p>
    <w:p w:rsidR="00000000" w:rsidRPr="00A23789" w:rsidRDefault="00D97906" w:rsidP="00D97906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 xml:space="preserve">Facteurs de risque associés avec la progression </w:t>
      </w:r>
      <w:r w:rsidRPr="00A23789">
        <w:rPr>
          <w:lang w:val="fr-CA"/>
        </w:rPr>
        <w:t>à</w:t>
      </w:r>
      <w:r w:rsidRPr="00A23789">
        <w:rPr>
          <w:lang w:val="fr-CA"/>
        </w:rPr>
        <w:t xml:space="preserve"> la cirr</w:t>
      </w:r>
      <w:r w:rsidRPr="00A23789">
        <w:rPr>
          <w:lang w:val="fr-CA"/>
        </w:rPr>
        <w:t>hose: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Alcool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Sexe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co-infection: VIH, VHD</w:t>
      </w:r>
    </w:p>
    <w:p w:rsidR="00000000" w:rsidRPr="00A23789" w:rsidRDefault="00D97906" w:rsidP="00D97906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A23789">
        <w:rPr>
          <w:lang w:val="fr-CA"/>
        </w:rPr>
        <w:t>Caractéristique de laboratoire: HBeAg +, HB ADN +, élévation des transaminases (exacerbations fréquentes)</w:t>
      </w:r>
    </w:p>
    <w:p w:rsidR="00533518" w:rsidRPr="00A23789" w:rsidRDefault="00533518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t>Evolution Naturelle</w:t>
      </w:r>
    </w:p>
    <w:p w:rsidR="001700A7" w:rsidRPr="00A23789" w:rsidRDefault="001700A7" w:rsidP="00A23789">
      <w:pPr>
        <w:spacing w:line="240" w:lineRule="auto"/>
        <w:rPr>
          <w:noProof/>
          <w:lang w:val="fr-CA" w:eastAsia="en-CA"/>
        </w:rPr>
      </w:pPr>
      <w:r w:rsidRPr="00A23789">
        <w:rPr>
          <w:noProof/>
          <w:lang w:val="fr-CA" w:eastAsia="en-CA"/>
        </w:rPr>
        <w:drawing>
          <wp:anchor distT="0" distB="0" distL="114300" distR="114300" simplePos="0" relativeHeight="251658240" behindDoc="1" locked="0" layoutInCell="1" allowOverlap="1" wp14:anchorId="1F1DD413" wp14:editId="565DAA01">
            <wp:simplePos x="0" y="0"/>
            <wp:positionH relativeFrom="column">
              <wp:posOffset>0</wp:posOffset>
            </wp:positionH>
            <wp:positionV relativeFrom="paragraph">
              <wp:posOffset>26670</wp:posOffset>
            </wp:positionV>
            <wp:extent cx="4295775" cy="2577465"/>
            <wp:effectExtent l="0" t="0" r="9525" b="0"/>
            <wp:wrapTight wrapText="bothSides">
              <wp:wrapPolygon edited="0">
                <wp:start x="0" y="0"/>
                <wp:lineTo x="0" y="21392"/>
                <wp:lineTo x="21552" y="21392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35" t="34208" r="24199" b="21322"/>
                    <a:stretch/>
                  </pic:blipFill>
                  <pic:spPr bwMode="auto">
                    <a:xfrm>
                      <a:off x="0" y="0"/>
                      <a:ext cx="4295775" cy="2577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Default="001700A7" w:rsidP="00A23789">
      <w:pPr>
        <w:spacing w:line="240" w:lineRule="auto"/>
        <w:rPr>
          <w:lang w:val="fr-CA"/>
        </w:rPr>
      </w:pPr>
    </w:p>
    <w:p w:rsidR="0052573E" w:rsidRPr="00A23789" w:rsidRDefault="0052573E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Investigations:</w:t>
      </w:r>
    </w:p>
    <w:p w:rsidR="00000000" w:rsidRPr="0052573E" w:rsidRDefault="00D97906" w:rsidP="00D97906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Enzymes (transaminases) et fonc</w:t>
      </w:r>
      <w:r w:rsidRPr="0052573E">
        <w:rPr>
          <w:lang w:val="fr-CA"/>
        </w:rPr>
        <w:t>tion hépatique</w:t>
      </w:r>
    </w:p>
    <w:p w:rsidR="00000000" w:rsidRPr="0052573E" w:rsidRDefault="00D97906" w:rsidP="00D97906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Sérologie:</w:t>
      </w:r>
    </w:p>
    <w:p w:rsidR="00000000" w:rsidRPr="0052573E" w:rsidRDefault="00D97906" w:rsidP="00D97906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Antigènes: HBs, HBe</w:t>
      </w:r>
    </w:p>
    <w:p w:rsidR="00000000" w:rsidRPr="0052573E" w:rsidRDefault="00D97906" w:rsidP="00D97906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Anticorps:</w:t>
      </w:r>
      <w:r w:rsidRPr="0052573E">
        <w:rPr>
          <w:lang w:val="fr-CA"/>
        </w:rPr>
        <w:t xml:space="preserve"> HBs , HBc (IgM/IgG), HBe</w:t>
      </w:r>
    </w:p>
    <w:p w:rsidR="00000000" w:rsidRPr="0052573E" w:rsidRDefault="00D97906" w:rsidP="00D97906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ADN/Génotype</w:t>
      </w:r>
    </w:p>
    <w:p w:rsidR="00000000" w:rsidRPr="0052573E" w:rsidRDefault="00D97906" w:rsidP="00D97906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Éliminer les autres causes:</w:t>
      </w:r>
    </w:p>
    <w:p w:rsidR="00000000" w:rsidRPr="0052573E" w:rsidRDefault="00D97906" w:rsidP="00D97906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VIH, VHC, VHD, autres</w:t>
      </w:r>
    </w:p>
    <w:p w:rsidR="00000000" w:rsidRDefault="00D97906" w:rsidP="00D97906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52573E">
        <w:rPr>
          <w:lang w:val="fr-CA"/>
        </w:rPr>
        <w:t>Maladies héréditaires du foie</w:t>
      </w:r>
    </w:p>
    <w:p w:rsidR="0052573E" w:rsidRDefault="0052573E" w:rsidP="0052573E">
      <w:pPr>
        <w:spacing w:line="240" w:lineRule="auto"/>
        <w:rPr>
          <w:lang w:val="fr-CA"/>
        </w:rPr>
      </w:pPr>
      <w:r w:rsidRPr="00A23789">
        <w:rPr>
          <w:noProof/>
          <w:lang w:val="fr-CA" w:eastAsia="en-CA"/>
        </w:rPr>
        <w:drawing>
          <wp:anchor distT="0" distB="0" distL="114300" distR="114300" simplePos="0" relativeHeight="251659264" behindDoc="1" locked="0" layoutInCell="1" allowOverlap="1" wp14:anchorId="6112E2B4" wp14:editId="2C8FF33A">
            <wp:simplePos x="0" y="0"/>
            <wp:positionH relativeFrom="column">
              <wp:posOffset>1784985</wp:posOffset>
            </wp:positionH>
            <wp:positionV relativeFrom="paragraph">
              <wp:posOffset>175260</wp:posOffset>
            </wp:positionV>
            <wp:extent cx="3902710" cy="2453005"/>
            <wp:effectExtent l="0" t="0" r="2540" b="4445"/>
            <wp:wrapTight wrapText="bothSides">
              <wp:wrapPolygon edited="0">
                <wp:start x="0" y="0"/>
                <wp:lineTo x="0" y="21471"/>
                <wp:lineTo x="21509" y="21471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77" t="33923" r="25160" b="22178"/>
                    <a:stretch/>
                  </pic:blipFill>
                  <pic:spPr bwMode="auto">
                    <a:xfrm>
                      <a:off x="0" y="0"/>
                      <a:ext cx="3902710" cy="2453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0A7" w:rsidRPr="00A23789" w:rsidRDefault="001700A7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t>Évolution de l’hépatite aiguë</w:t>
      </w:r>
    </w:p>
    <w:p w:rsidR="001700A7" w:rsidRPr="00A23789" w:rsidRDefault="0052573E" w:rsidP="00A23789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480060</wp:posOffset>
                </wp:positionH>
                <wp:positionV relativeFrom="paragraph">
                  <wp:posOffset>142240</wp:posOffset>
                </wp:positionV>
                <wp:extent cx="609600" cy="0"/>
                <wp:effectExtent l="0" t="76200" r="19050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37.8pt;margin-top:11.2pt;width:48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" strokecolor="black [3040]">
                <v:stroke endarrow="open"/>
              </v:shape>
            </w:pict>
          </mc:Fallback>
        </mc:AlternateContent>
      </w:r>
      <w:r>
        <w:rPr>
          <w:noProof/>
          <w:lang w:val="fr-CA" w:eastAsia="en-CA"/>
        </w:rPr>
        <w:tab/>
      </w:r>
    </w:p>
    <w:p w:rsidR="001700A7" w:rsidRPr="00A23789" w:rsidRDefault="001700A7" w:rsidP="00A23789">
      <w:pPr>
        <w:spacing w:line="240" w:lineRule="auto"/>
        <w:rPr>
          <w:b/>
          <w:lang w:val="fr-CA"/>
        </w:rPr>
      </w:pPr>
    </w:p>
    <w:p w:rsidR="001700A7" w:rsidRPr="00A23789" w:rsidRDefault="001700A7" w:rsidP="00A23789">
      <w:pPr>
        <w:spacing w:line="240" w:lineRule="auto"/>
        <w:rPr>
          <w:b/>
          <w:lang w:val="fr-CA"/>
        </w:rPr>
      </w:pPr>
    </w:p>
    <w:p w:rsidR="001700A7" w:rsidRPr="00A23789" w:rsidRDefault="001700A7" w:rsidP="00A23789">
      <w:pPr>
        <w:spacing w:line="240" w:lineRule="auto"/>
        <w:rPr>
          <w:b/>
          <w:lang w:val="fr-CA"/>
        </w:rPr>
      </w:pPr>
    </w:p>
    <w:p w:rsidR="0052573E" w:rsidRDefault="0052573E" w:rsidP="00A23789">
      <w:pPr>
        <w:spacing w:line="240" w:lineRule="auto"/>
        <w:rPr>
          <w:b/>
          <w:lang w:val="fr-CA"/>
        </w:rPr>
      </w:pPr>
    </w:p>
    <w:p w:rsidR="001700A7" w:rsidRPr="00A23789" w:rsidRDefault="0052573E" w:rsidP="00A23789">
      <w:pPr>
        <w:spacing w:line="240" w:lineRule="auto"/>
        <w:rPr>
          <w:b/>
          <w:lang w:val="fr-CA"/>
        </w:rPr>
      </w:pPr>
      <w:r w:rsidRPr="00A23789">
        <w:rPr>
          <w:noProof/>
          <w:lang w:val="fr-CA" w:eastAsia="en-CA"/>
        </w:rPr>
        <w:lastRenderedPageBreak/>
        <w:drawing>
          <wp:anchor distT="0" distB="0" distL="114300" distR="114300" simplePos="0" relativeHeight="251661312" behindDoc="1" locked="0" layoutInCell="1" allowOverlap="1" wp14:anchorId="764BDDED" wp14:editId="578DCAD4">
            <wp:simplePos x="0" y="0"/>
            <wp:positionH relativeFrom="column">
              <wp:posOffset>3375660</wp:posOffset>
            </wp:positionH>
            <wp:positionV relativeFrom="paragraph">
              <wp:posOffset>146685</wp:posOffset>
            </wp:positionV>
            <wp:extent cx="3895725" cy="2333625"/>
            <wp:effectExtent l="0" t="0" r="9525" b="9525"/>
            <wp:wrapTight wrapText="bothSides">
              <wp:wrapPolygon edited="0">
                <wp:start x="0" y="0"/>
                <wp:lineTo x="0" y="21512"/>
                <wp:lineTo x="21547" y="21512"/>
                <wp:lineTo x="2154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82" t="36488" r="26041" b="23681"/>
                    <a:stretch/>
                  </pic:blipFill>
                  <pic:spPr bwMode="auto">
                    <a:xfrm>
                      <a:off x="0" y="0"/>
                      <a:ext cx="3895725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0A7" w:rsidRPr="00A23789">
        <w:rPr>
          <w:b/>
          <w:lang w:val="fr-CA"/>
        </w:rPr>
        <w:t>Évolution de l’hépatite chronique</w:t>
      </w:r>
    </w:p>
    <w:p w:rsidR="001700A7" w:rsidRPr="00A23789" w:rsidRDefault="0052573E" w:rsidP="00A23789">
      <w:pPr>
        <w:spacing w:line="240" w:lineRule="auto"/>
        <w:rPr>
          <w:noProof/>
          <w:lang w:val="fr-CA" w:eastAsia="en-CA"/>
        </w:rPr>
      </w:pPr>
      <w:r w:rsidRPr="00A23789">
        <w:rPr>
          <w:noProof/>
          <w:lang w:val="fr-CA" w:eastAsia="en-CA"/>
        </w:rPr>
        <w:drawing>
          <wp:anchor distT="0" distB="0" distL="114300" distR="114300" simplePos="0" relativeHeight="251660288" behindDoc="1" locked="0" layoutInCell="1" allowOverlap="1" wp14:anchorId="70D1B107" wp14:editId="37814BF6">
            <wp:simplePos x="0" y="0"/>
            <wp:positionH relativeFrom="column">
              <wp:posOffset>-234315</wp:posOffset>
            </wp:positionH>
            <wp:positionV relativeFrom="paragraph">
              <wp:posOffset>47625</wp:posOffset>
            </wp:positionV>
            <wp:extent cx="334327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538" y="21394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7" t="35633" r="27083" b="24458"/>
                    <a:stretch/>
                  </pic:blipFill>
                  <pic:spPr bwMode="auto">
                    <a:xfrm>
                      <a:off x="0" y="0"/>
                      <a:ext cx="3343275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0A7" w:rsidRPr="00A23789" w:rsidRDefault="001700A7" w:rsidP="00A23789">
      <w:pPr>
        <w:spacing w:line="240" w:lineRule="auto"/>
        <w:rPr>
          <w:b/>
          <w:lang w:val="fr-CA"/>
        </w:rPr>
      </w:pPr>
    </w:p>
    <w:p w:rsidR="001700A7" w:rsidRPr="00A23789" w:rsidRDefault="001700A7" w:rsidP="00A23789">
      <w:pPr>
        <w:spacing w:line="240" w:lineRule="auto"/>
        <w:rPr>
          <w:b/>
          <w:lang w:val="fr-CA"/>
        </w:rPr>
      </w:pPr>
      <w:r w:rsidRPr="00A23789">
        <w:rPr>
          <w:b/>
          <w:bCs/>
          <w:u w:val="single"/>
          <w:lang w:val="fr-CA"/>
        </w:rPr>
        <w:t>Traitements:</w:t>
      </w:r>
    </w:p>
    <w:p w:rsidR="00000000" w:rsidRPr="0052573E" w:rsidRDefault="00D97906" w:rsidP="00D97906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52573E">
        <w:rPr>
          <w:lang w:val="fr-CA"/>
        </w:rPr>
        <w:t>Interféron p</w:t>
      </w:r>
      <w:r w:rsidRPr="0052573E">
        <w:rPr>
          <w:lang w:val="fr-CA"/>
        </w:rPr>
        <w:t>é</w:t>
      </w:r>
      <w:r w:rsidRPr="0052573E">
        <w:rPr>
          <w:lang w:val="fr-CA"/>
        </w:rPr>
        <w:t>gyl</w:t>
      </w:r>
      <w:r w:rsidRPr="0052573E">
        <w:rPr>
          <w:lang w:val="fr-CA"/>
        </w:rPr>
        <w:t>é</w:t>
      </w:r>
      <w:r w:rsidRPr="0052573E">
        <w:rPr>
          <w:lang w:val="fr-CA"/>
        </w:rPr>
        <w:t xml:space="preserve"> (PEG):</w:t>
      </w:r>
    </w:p>
    <w:p w:rsidR="00000000" w:rsidRPr="0052573E" w:rsidRDefault="00D97906" w:rsidP="00D97906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52573E">
        <w:rPr>
          <w:lang w:val="fr-CA"/>
        </w:rPr>
        <w:t>Cytokine responsable pour l’activation des cellules immunitaires e.g. T cytot</w:t>
      </w:r>
      <w:r w:rsidRPr="0052573E">
        <w:rPr>
          <w:lang w:val="fr-CA"/>
        </w:rPr>
        <w:t>oxique</w:t>
      </w:r>
    </w:p>
    <w:p w:rsidR="00000000" w:rsidRPr="0052573E" w:rsidRDefault="00D97906" w:rsidP="00D97906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52573E">
        <w:rPr>
          <w:lang w:val="fr-CA"/>
        </w:rPr>
        <w:t>Succès: 30-40%</w:t>
      </w:r>
    </w:p>
    <w:p w:rsidR="00000000" w:rsidRPr="0052573E" w:rsidRDefault="00D97906" w:rsidP="00D97906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52573E">
        <w:rPr>
          <w:lang w:val="fr-CA"/>
        </w:rPr>
        <w:t>Effets secondaires importants, limitent la durée du Tx</w:t>
      </w:r>
    </w:p>
    <w:p w:rsidR="00000000" w:rsidRPr="0052573E" w:rsidRDefault="00D97906" w:rsidP="00D97906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52573E">
        <w:rPr>
          <w:lang w:val="fr-CA"/>
        </w:rPr>
        <w:t>Analogues:</w:t>
      </w:r>
    </w:p>
    <w:p w:rsidR="00000000" w:rsidRPr="0052573E" w:rsidRDefault="00D97906" w:rsidP="00D97906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52573E">
        <w:rPr>
          <w:lang w:val="fr-CA"/>
        </w:rPr>
        <w:t>Lamivudine, Adefovir</w:t>
      </w:r>
    </w:p>
    <w:p w:rsidR="00000000" w:rsidRPr="0052573E" w:rsidRDefault="00D97906" w:rsidP="00D97906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52573E">
        <w:rPr>
          <w:lang w:val="fr-CA"/>
        </w:rPr>
        <w:t>Avantages: Dosage orale, effets secondaires réduits, efficacité semblable à IFN</w:t>
      </w:r>
      <w:r w:rsidRPr="0052573E">
        <w:rPr>
          <w:lang w:val="fr-CA"/>
        </w:rPr>
        <w:t>.</w:t>
      </w:r>
    </w:p>
    <w:p w:rsidR="0052573E" w:rsidRDefault="0052573E" w:rsidP="00A23789">
      <w:pPr>
        <w:spacing w:line="240" w:lineRule="auto"/>
        <w:rPr>
          <w:b/>
          <w:bCs/>
          <w:u w:val="single"/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Considérations pour le traitement:</w:t>
      </w:r>
    </w:p>
    <w:p w:rsidR="0052573E" w:rsidRDefault="0052573E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  <w:sectPr w:rsidR="0052573E" w:rsidSect="00A2378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52573E" w:rsidRDefault="00D97906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Age</w:t>
      </w:r>
    </w:p>
    <w:p w:rsidR="00000000" w:rsidRPr="0052573E" w:rsidRDefault="00D97906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52573E">
        <w:rPr>
          <w:lang w:val="fr-CA"/>
        </w:rPr>
        <w:t xml:space="preserve">Importance </w:t>
      </w:r>
      <w:r w:rsidRPr="0052573E">
        <w:rPr>
          <w:lang w:val="fr-CA"/>
        </w:rPr>
        <w:t>de la fibrose</w:t>
      </w:r>
    </w:p>
    <w:p w:rsidR="00000000" w:rsidRPr="0052573E" w:rsidRDefault="00D97906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52573E">
        <w:rPr>
          <w:lang w:val="fr-CA"/>
        </w:rPr>
        <w:t>Charge virale</w:t>
      </w:r>
    </w:p>
    <w:p w:rsidR="00000000" w:rsidRPr="0052573E" w:rsidRDefault="00D97906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52573E">
        <w:rPr>
          <w:lang w:val="fr-CA"/>
        </w:rPr>
        <w:t>Considération de l’impacte des effets secondaires</w:t>
      </w:r>
    </w:p>
    <w:p w:rsidR="00000000" w:rsidRPr="0052573E" w:rsidRDefault="00D97906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Immunocompétence</w:t>
      </w:r>
    </w:p>
    <w:p w:rsidR="00000000" w:rsidRPr="0052573E" w:rsidRDefault="00D97906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52573E">
        <w:rPr>
          <w:lang w:val="fr-CA"/>
        </w:rPr>
        <w:t>Risque d’apparition de virus mutants</w:t>
      </w:r>
    </w:p>
    <w:p w:rsidR="0052573E" w:rsidRDefault="0052573E" w:rsidP="00D97906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  <w:sectPr w:rsidR="0052573E" w:rsidSect="0052573E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>
        <w:rPr>
          <w:lang w:val="fr-CA"/>
        </w:rPr>
        <w:t>Possibilité de grossess</w:t>
      </w:r>
    </w:p>
    <w:p w:rsidR="0052573E" w:rsidRDefault="0052573E" w:rsidP="00A23789">
      <w:pPr>
        <w:spacing w:line="240" w:lineRule="auto"/>
        <w:rPr>
          <w:b/>
          <w:bCs/>
          <w:u w:val="single"/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Prévention:</w:t>
      </w:r>
    </w:p>
    <w:p w:rsidR="00000000" w:rsidRPr="0052573E" w:rsidRDefault="00D97906" w:rsidP="00D97906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52573E">
        <w:rPr>
          <w:lang w:val="fr-CA"/>
        </w:rPr>
        <w:t>Immunoglobuline:</w:t>
      </w:r>
    </w:p>
    <w:p w:rsidR="00000000" w:rsidRPr="0052573E" w:rsidRDefault="00D97906" w:rsidP="00D97906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52573E">
        <w:rPr>
          <w:lang w:val="fr-CA"/>
        </w:rPr>
        <w:t>Risque occupationnel: 24-48hr après contacte</w:t>
      </w:r>
    </w:p>
    <w:p w:rsidR="00000000" w:rsidRPr="0052573E" w:rsidRDefault="00D97906" w:rsidP="00D97906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52573E">
        <w:rPr>
          <w:lang w:val="fr-CA"/>
        </w:rPr>
        <w:t xml:space="preserve">Nouveau-nés: jusqu’ à 7 jours après la naissance d’une mère HBsAg+. </w:t>
      </w:r>
    </w:p>
    <w:p w:rsidR="00000000" w:rsidRPr="0052573E" w:rsidRDefault="00D97906" w:rsidP="00D97906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52573E">
        <w:rPr>
          <w:lang w:val="fr-CA"/>
        </w:rPr>
        <w:t>Vaccin: (recombivax)</w:t>
      </w:r>
    </w:p>
    <w:p w:rsidR="00000000" w:rsidRPr="0052573E" w:rsidRDefault="00D97906" w:rsidP="00D97906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52573E">
        <w:rPr>
          <w:lang w:val="fr-CA"/>
        </w:rPr>
        <w:t>Vaccin recombiné (sAg)</w:t>
      </w:r>
    </w:p>
    <w:p w:rsidR="00F3649C" w:rsidRDefault="00D97906" w:rsidP="00D97906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52573E">
        <w:rPr>
          <w:lang w:val="fr-CA"/>
        </w:rPr>
        <w:t>3 doses: 0,1 et 6 mois. Rappel après 10 ans si il n’y a pas d’évidence d’immunités</w:t>
      </w:r>
    </w:p>
    <w:p w:rsidR="0052573E" w:rsidRDefault="0052573E" w:rsidP="0052573E">
      <w:pPr>
        <w:pStyle w:val="ListParagraph"/>
        <w:spacing w:line="240" w:lineRule="auto"/>
        <w:ind w:left="1440"/>
        <w:rPr>
          <w:lang w:val="fr-CA"/>
        </w:rPr>
      </w:pPr>
    </w:p>
    <w:p w:rsidR="0052573E" w:rsidRDefault="0052573E" w:rsidP="0052573E">
      <w:pPr>
        <w:pStyle w:val="ListParagraph"/>
        <w:spacing w:line="240" w:lineRule="auto"/>
        <w:ind w:left="1440"/>
        <w:rPr>
          <w:lang w:val="fr-CA"/>
        </w:rPr>
      </w:pPr>
    </w:p>
    <w:p w:rsidR="0052573E" w:rsidRDefault="0052573E" w:rsidP="0052573E">
      <w:pPr>
        <w:pStyle w:val="ListParagraph"/>
        <w:spacing w:line="240" w:lineRule="auto"/>
        <w:ind w:left="1440"/>
        <w:rPr>
          <w:lang w:val="fr-CA"/>
        </w:rPr>
      </w:pPr>
    </w:p>
    <w:p w:rsidR="0052573E" w:rsidRDefault="0052573E" w:rsidP="0052573E">
      <w:pPr>
        <w:pStyle w:val="ListParagraph"/>
        <w:spacing w:line="240" w:lineRule="auto"/>
        <w:ind w:left="1440"/>
        <w:rPr>
          <w:lang w:val="fr-CA"/>
        </w:rPr>
      </w:pPr>
    </w:p>
    <w:p w:rsidR="0052573E" w:rsidRDefault="0052573E" w:rsidP="0052573E">
      <w:pPr>
        <w:pStyle w:val="ListParagraph"/>
        <w:spacing w:line="240" w:lineRule="auto"/>
        <w:ind w:left="1440"/>
        <w:rPr>
          <w:lang w:val="fr-CA"/>
        </w:rPr>
      </w:pPr>
    </w:p>
    <w:p w:rsidR="0052573E" w:rsidRPr="0052573E" w:rsidRDefault="0052573E" w:rsidP="0052573E">
      <w:pPr>
        <w:pStyle w:val="ListParagraph"/>
        <w:spacing w:line="240" w:lineRule="auto"/>
        <w:ind w:left="1440"/>
        <w:rPr>
          <w:lang w:val="fr-CA"/>
        </w:rPr>
      </w:pPr>
    </w:p>
    <w:p w:rsidR="001700A7" w:rsidRPr="00A23789" w:rsidRDefault="00F3649C" w:rsidP="00A23789">
      <w:pPr>
        <w:spacing w:line="240" w:lineRule="auto"/>
        <w:rPr>
          <w:b/>
          <w:sz w:val="26"/>
          <w:szCs w:val="26"/>
          <w:lang w:val="fr-CA"/>
        </w:rPr>
      </w:pPr>
      <w:r w:rsidRPr="00A23789">
        <w:rPr>
          <w:b/>
          <w:color w:val="7030A0"/>
          <w:sz w:val="26"/>
          <w:szCs w:val="26"/>
          <w:lang w:val="fr-CA"/>
        </w:rPr>
        <w:lastRenderedPageBreak/>
        <w:t>Virus De L’Hépatite C</w:t>
      </w:r>
    </w:p>
    <w:p w:rsidR="001700A7" w:rsidRPr="00A23789" w:rsidRDefault="001700A7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Classification et Structure:</w:t>
      </w:r>
    </w:p>
    <w:p w:rsidR="00000000" w:rsidRPr="0052573E" w:rsidRDefault="00D97906" w:rsidP="00D97906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52573E">
        <w:rPr>
          <w:lang w:val="fr-CA"/>
        </w:rPr>
        <w:t>Variabilité génétique:</w:t>
      </w:r>
    </w:p>
    <w:p w:rsidR="00000000" w:rsidRPr="0052573E" w:rsidRDefault="00D97906" w:rsidP="00D97906">
      <w:pPr>
        <w:pStyle w:val="ListParagraph"/>
        <w:numPr>
          <w:ilvl w:val="1"/>
          <w:numId w:val="19"/>
        </w:numPr>
        <w:spacing w:line="240" w:lineRule="auto"/>
        <w:rPr>
          <w:lang w:val="fr-CA"/>
        </w:rPr>
      </w:pPr>
      <w:r w:rsidRPr="0052573E">
        <w:rPr>
          <w:lang w:val="fr-CA"/>
        </w:rPr>
        <w:t>Dépourvue de mécanismes de correction</w:t>
      </w:r>
    </w:p>
    <w:p w:rsidR="00000000" w:rsidRPr="0052573E" w:rsidRDefault="00D97906" w:rsidP="00D97906">
      <w:pPr>
        <w:pStyle w:val="ListParagraph"/>
        <w:numPr>
          <w:ilvl w:val="1"/>
          <w:numId w:val="19"/>
        </w:numPr>
        <w:spacing w:line="240" w:lineRule="auto"/>
        <w:rPr>
          <w:lang w:val="fr-CA"/>
        </w:rPr>
      </w:pPr>
      <w:r w:rsidRPr="0052573E">
        <w:rPr>
          <w:lang w:val="fr-CA"/>
        </w:rPr>
        <w:t>8 Génotypes, divisés en plusieurs sous-type</w:t>
      </w:r>
    </w:p>
    <w:p w:rsidR="00000000" w:rsidRPr="0052573E" w:rsidRDefault="00D97906" w:rsidP="00D97906">
      <w:pPr>
        <w:pStyle w:val="ListParagraph"/>
        <w:numPr>
          <w:ilvl w:val="1"/>
          <w:numId w:val="19"/>
        </w:numPr>
        <w:spacing w:line="240" w:lineRule="auto"/>
        <w:rPr>
          <w:lang w:val="fr-CA"/>
        </w:rPr>
      </w:pPr>
      <w:r w:rsidRPr="0052573E">
        <w:rPr>
          <w:lang w:val="fr-CA"/>
        </w:rPr>
        <w:t>Anticorps n</w:t>
      </w:r>
      <w:r w:rsidRPr="0052573E">
        <w:rPr>
          <w:lang w:val="fr-CA"/>
        </w:rPr>
        <w:t>e protègent pas contre la réinfection</w:t>
      </w:r>
    </w:p>
    <w:p w:rsidR="001700A7" w:rsidRPr="00A23789" w:rsidRDefault="001700A7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Épidémiologie:</w:t>
      </w:r>
    </w:p>
    <w:p w:rsidR="00000000" w:rsidRPr="0052573E" w:rsidRDefault="00D97906" w:rsidP="00D97906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Incidence: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Mondiale: 170 million d’individus infectés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Canada: Prévalence de 0.8%</w:t>
      </w:r>
    </w:p>
    <w:p w:rsidR="00000000" w:rsidRPr="0052573E" w:rsidRDefault="00D97906" w:rsidP="00D97906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 xml:space="preserve">Personnes </w:t>
      </w:r>
      <w:r w:rsidRPr="0052573E">
        <w:rPr>
          <w:lang w:val="fr-CA"/>
        </w:rPr>
        <w:t>à</w:t>
      </w:r>
      <w:r w:rsidRPr="0052573E">
        <w:rPr>
          <w:lang w:val="fr-CA"/>
        </w:rPr>
        <w:t xml:space="preserve"> risques: toxicomanes IV, aborigènes, prisonniers, VIH-séropositifs</w:t>
      </w:r>
    </w:p>
    <w:p w:rsidR="0052573E" w:rsidRDefault="0052573E" w:rsidP="0052573E">
      <w:pPr>
        <w:pStyle w:val="ListParagraph"/>
        <w:spacing w:line="240" w:lineRule="auto"/>
        <w:rPr>
          <w:lang w:val="fr-CA"/>
        </w:rPr>
      </w:pPr>
    </w:p>
    <w:p w:rsidR="00000000" w:rsidRPr="0052573E" w:rsidRDefault="00D97906" w:rsidP="00D97906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 xml:space="preserve">Transmission: 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Parentérale, percutanée – risque 3-10%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Mucosale, cutanée (intacte) – risque théorique</w:t>
      </w:r>
    </w:p>
    <w:p w:rsidR="00000000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IST: Incidence élevée chez les homosexuels VIH+</w:t>
      </w:r>
    </w:p>
    <w:p w:rsidR="0052573E" w:rsidRPr="0052573E" w:rsidRDefault="0052573E" w:rsidP="0052573E">
      <w:pPr>
        <w:pStyle w:val="ListParagraph"/>
        <w:spacing w:line="240" w:lineRule="auto"/>
        <w:ind w:left="1440"/>
        <w:rPr>
          <w:lang w:val="fr-CA"/>
        </w:rPr>
      </w:pPr>
    </w:p>
    <w:p w:rsidR="00000000" w:rsidRPr="0052573E" w:rsidRDefault="00D97906" w:rsidP="00D97906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Comportements qui augmentent le risque d’infection:</w:t>
      </w:r>
    </w:p>
    <w:p w:rsidR="0052573E" w:rsidRDefault="0052573E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  <w:sectPr w:rsidR="0052573E" w:rsidSect="00A2378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Toxicomanie (drogues intraveineuses)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Ren</w:t>
      </w:r>
      <w:r w:rsidRPr="0052573E">
        <w:rPr>
          <w:lang w:val="fr-CA"/>
        </w:rPr>
        <w:t>ifler la cocaïne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Tatouage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Produits sanguins (hémophile)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Réutilis</w:t>
      </w:r>
      <w:r w:rsidRPr="0052573E">
        <w:rPr>
          <w:lang w:val="fr-CA"/>
        </w:rPr>
        <w:t>ation d’aiguilles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Allaitement (&lt;5%)</w:t>
      </w:r>
    </w:p>
    <w:p w:rsidR="00000000" w:rsidRP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Transmission périnatale</w:t>
      </w:r>
    </w:p>
    <w:p w:rsidR="00000000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52573E">
        <w:rPr>
          <w:lang w:val="fr-CA"/>
        </w:rPr>
        <w:t>Cont</w:t>
      </w:r>
      <w:r w:rsidRPr="0052573E">
        <w:rPr>
          <w:lang w:val="fr-CA"/>
        </w:rPr>
        <w:t xml:space="preserve">act familiale (?) </w:t>
      </w:r>
    </w:p>
    <w:p w:rsidR="0052573E" w:rsidRDefault="00D97906" w:rsidP="00D97906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  <w:sectPr w:rsidR="0052573E" w:rsidSect="0052573E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52573E">
        <w:rPr>
          <w:lang w:val="fr-CA"/>
        </w:rPr>
        <w:t>Transmission sexuelle</w:t>
      </w:r>
    </w:p>
    <w:p w:rsidR="0052573E" w:rsidRDefault="0052573E" w:rsidP="00A23789">
      <w:pPr>
        <w:spacing w:line="240" w:lineRule="auto"/>
        <w:rPr>
          <w:b/>
          <w:lang w:val="fr-CA"/>
        </w:rPr>
      </w:pPr>
    </w:p>
    <w:p w:rsidR="001700A7" w:rsidRPr="00A23789" w:rsidRDefault="001700A7" w:rsidP="00A23789">
      <w:pPr>
        <w:spacing w:line="240" w:lineRule="auto"/>
        <w:rPr>
          <w:b/>
          <w:lang w:val="fr-CA"/>
        </w:rPr>
      </w:pPr>
      <w:r w:rsidRPr="00A23789">
        <w:rPr>
          <w:noProof/>
          <w:lang w:val="fr-CA" w:eastAsia="en-CA"/>
        </w:rPr>
        <w:drawing>
          <wp:anchor distT="0" distB="0" distL="114300" distR="114300" simplePos="0" relativeHeight="251662336" behindDoc="1" locked="0" layoutInCell="1" allowOverlap="1" wp14:anchorId="6A2C81B4" wp14:editId="4878C390">
            <wp:simplePos x="0" y="0"/>
            <wp:positionH relativeFrom="column">
              <wp:posOffset>1489710</wp:posOffset>
            </wp:positionH>
            <wp:positionV relativeFrom="paragraph">
              <wp:posOffset>117475</wp:posOffset>
            </wp:positionV>
            <wp:extent cx="3762375" cy="2227580"/>
            <wp:effectExtent l="0" t="0" r="9525" b="1270"/>
            <wp:wrapTight wrapText="bothSides">
              <wp:wrapPolygon edited="0">
                <wp:start x="0" y="0"/>
                <wp:lineTo x="0" y="21428"/>
                <wp:lineTo x="21545" y="21428"/>
                <wp:lineTo x="2154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0" t="35634" r="25160" b="25028"/>
                    <a:stretch/>
                  </pic:blipFill>
                  <pic:spPr bwMode="auto">
                    <a:xfrm>
                      <a:off x="0" y="0"/>
                      <a:ext cx="3762375" cy="2227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789">
        <w:rPr>
          <w:b/>
          <w:lang w:val="fr-CA"/>
        </w:rPr>
        <w:t>Évolution naturelle</w:t>
      </w:r>
    </w:p>
    <w:p w:rsidR="001700A7" w:rsidRPr="00A23789" w:rsidRDefault="001700A7" w:rsidP="00A23789">
      <w:pPr>
        <w:spacing w:line="240" w:lineRule="auto"/>
        <w:rPr>
          <w:noProof/>
          <w:lang w:val="fr-CA" w:eastAsia="en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noProof/>
          <w:lang w:val="fr-CA" w:eastAsia="en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Tableau Clinique:</w:t>
      </w:r>
    </w:p>
    <w:p w:rsidR="00000000" w:rsidRPr="0052573E" w:rsidRDefault="00D97906" w:rsidP="00D97906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52573E">
        <w:rPr>
          <w:lang w:val="fr-CA"/>
        </w:rPr>
        <w:t>Spectre: asy</w:t>
      </w:r>
      <w:r w:rsidRPr="0052573E">
        <w:rPr>
          <w:lang w:val="fr-CA"/>
        </w:rPr>
        <w:t>mptomatique à sévère</w:t>
      </w:r>
    </w:p>
    <w:p w:rsidR="00000000" w:rsidRPr="0052573E" w:rsidRDefault="00D97906" w:rsidP="00D97906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52573E">
        <w:rPr>
          <w:lang w:val="fr-CA"/>
        </w:rPr>
        <w:t>Infection aigue: anict</w:t>
      </w:r>
      <w:r w:rsidRPr="0052573E">
        <w:rPr>
          <w:lang w:val="fr-CA"/>
        </w:rPr>
        <w:t>é</w:t>
      </w:r>
      <w:r w:rsidRPr="0052573E">
        <w:rPr>
          <w:lang w:val="fr-CA"/>
        </w:rPr>
        <w:t>rique et asymptoma</w:t>
      </w:r>
      <w:r w:rsidRPr="0052573E">
        <w:rPr>
          <w:lang w:val="fr-CA"/>
        </w:rPr>
        <w:t>tique (&gt;75%), fatigue et symptômes non-spécifiques</w:t>
      </w:r>
    </w:p>
    <w:p w:rsidR="00000000" w:rsidRPr="0052573E" w:rsidRDefault="00D97906" w:rsidP="00D97906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52573E">
        <w:rPr>
          <w:lang w:val="fr-CA"/>
        </w:rPr>
        <w:t>Infection Chronique: 70-80%</w:t>
      </w:r>
    </w:p>
    <w:p w:rsidR="00000000" w:rsidRPr="0052573E" w:rsidRDefault="00D97906" w:rsidP="00D97906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52573E">
        <w:rPr>
          <w:lang w:val="fr-CA"/>
        </w:rPr>
        <w:t>Progression et symptômes stables</w:t>
      </w:r>
    </w:p>
    <w:p w:rsidR="00000000" w:rsidRPr="0052573E" w:rsidRDefault="00D97906" w:rsidP="00D97906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52573E">
        <w:rPr>
          <w:lang w:val="fr-CA"/>
        </w:rPr>
        <w:t>Anomalies discrètes des transaminases</w:t>
      </w:r>
    </w:p>
    <w:p w:rsidR="00000000" w:rsidRPr="0052573E" w:rsidRDefault="00D97906" w:rsidP="00D97906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52573E">
        <w:rPr>
          <w:lang w:val="fr-CA"/>
        </w:rPr>
        <w:t>Évolution vers la cirrhose: 30% après 20 ans</w:t>
      </w:r>
    </w:p>
    <w:p w:rsidR="00000000" w:rsidRPr="0052573E" w:rsidRDefault="00D97906" w:rsidP="00D97906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52573E">
        <w:rPr>
          <w:lang w:val="fr-CA"/>
        </w:rPr>
        <w:t>Age, abus de l’alcool, immunité, co-infection (VIH), sexe (male) précipitent la progression vers la fibrose/cirrhose</w:t>
      </w:r>
    </w:p>
    <w:p w:rsidR="009E4F10" w:rsidRPr="00A23789" w:rsidRDefault="009E4F10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lastRenderedPageBreak/>
        <w:t>Relation entre progression de la cirrhose et années après le contage</w:t>
      </w:r>
    </w:p>
    <w:p w:rsidR="009E4F10" w:rsidRPr="00A23789" w:rsidRDefault="009E4F10" w:rsidP="00A23789">
      <w:pPr>
        <w:spacing w:line="240" w:lineRule="auto"/>
        <w:rPr>
          <w:noProof/>
          <w:lang w:val="fr-CA" w:eastAsia="en-CA"/>
        </w:rPr>
      </w:pPr>
      <w:r w:rsidRPr="00A23789">
        <w:rPr>
          <w:noProof/>
          <w:lang w:val="fr-CA" w:eastAsia="en-CA"/>
        </w:rPr>
        <w:drawing>
          <wp:anchor distT="0" distB="0" distL="114300" distR="114300" simplePos="0" relativeHeight="251663360" behindDoc="1" locked="0" layoutInCell="1" allowOverlap="1" wp14:anchorId="5BF337BD" wp14:editId="1CAE31FE">
            <wp:simplePos x="0" y="0"/>
            <wp:positionH relativeFrom="column">
              <wp:posOffset>-47625</wp:posOffset>
            </wp:positionH>
            <wp:positionV relativeFrom="paragraph">
              <wp:posOffset>59690</wp:posOffset>
            </wp:positionV>
            <wp:extent cx="3514725" cy="1960880"/>
            <wp:effectExtent l="0" t="0" r="9525" b="1270"/>
            <wp:wrapTight wrapText="bothSides">
              <wp:wrapPolygon edited="0">
                <wp:start x="0" y="0"/>
                <wp:lineTo x="0" y="21404"/>
                <wp:lineTo x="21541" y="21404"/>
                <wp:lineTo x="2154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22" t="37058" r="25481" b="27309"/>
                    <a:stretch/>
                  </pic:blipFill>
                  <pic:spPr bwMode="auto">
                    <a:xfrm>
                      <a:off x="0" y="0"/>
                      <a:ext cx="3514725" cy="1960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F10" w:rsidRPr="00A23789" w:rsidRDefault="009E4F10" w:rsidP="00A23789">
      <w:pPr>
        <w:spacing w:line="240" w:lineRule="auto"/>
        <w:rPr>
          <w:b/>
          <w:lang w:val="fr-CA"/>
        </w:rPr>
      </w:pPr>
    </w:p>
    <w:p w:rsidR="001700A7" w:rsidRPr="00A23789" w:rsidRDefault="001700A7" w:rsidP="00A23789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</w:p>
    <w:p w:rsidR="0052573E" w:rsidRDefault="0052573E" w:rsidP="00A23789">
      <w:pPr>
        <w:spacing w:line="240" w:lineRule="auto"/>
        <w:rPr>
          <w:b/>
          <w:bCs/>
          <w:u w:val="single"/>
          <w:lang w:val="fr-CA"/>
        </w:rPr>
      </w:pPr>
    </w:p>
    <w:p w:rsidR="0052573E" w:rsidRDefault="0052573E" w:rsidP="00A23789">
      <w:pPr>
        <w:spacing w:line="240" w:lineRule="auto"/>
        <w:rPr>
          <w:b/>
          <w:bCs/>
          <w:u w:val="single"/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Manifestations extra-hépatiques:</w:t>
      </w:r>
    </w:p>
    <w:p w:rsidR="0052573E" w:rsidRDefault="0052573E" w:rsidP="00D97906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  <w:sectPr w:rsidR="0052573E" w:rsidSect="00A2378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Nature immunolo</w:t>
      </w:r>
      <w:r w:rsidRPr="0052573E">
        <w:rPr>
          <w:lang w:val="fr-CA"/>
        </w:rPr>
        <w:t>gique</w:t>
      </w:r>
    </w:p>
    <w:p w:rsidR="00000000" w:rsidRP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52573E">
        <w:rPr>
          <w:lang w:val="fr-CA"/>
        </w:rPr>
        <w:t>Cryoglobulinémie</w:t>
      </w:r>
    </w:p>
    <w:p w:rsidR="00000000" w:rsidRP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52573E">
        <w:rPr>
          <w:lang w:val="fr-CA"/>
        </w:rPr>
        <w:t>Glomérulonéphrite</w:t>
      </w:r>
    </w:p>
    <w:p w:rsidR="00000000" w:rsidRP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52573E">
        <w:rPr>
          <w:lang w:val="fr-CA"/>
        </w:rPr>
        <w:t>Syndrome de</w:t>
      </w:r>
      <w:r w:rsidRPr="0052573E">
        <w:rPr>
          <w:lang w:val="fr-CA"/>
        </w:rPr>
        <w:t xml:space="preserve"> Sj</w:t>
      </w:r>
      <w:r w:rsidRPr="0052573E">
        <w:rPr>
          <w:lang w:val="fr-CA"/>
        </w:rPr>
        <w:t>ö</w:t>
      </w:r>
      <w:r w:rsidRPr="0052573E">
        <w:rPr>
          <w:lang w:val="fr-CA"/>
        </w:rPr>
        <w:t>gren</w:t>
      </w:r>
    </w:p>
    <w:p w:rsidR="00000000" w:rsidRP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52573E">
        <w:rPr>
          <w:lang w:val="fr-CA"/>
        </w:rPr>
        <w:t>Arthrite</w:t>
      </w:r>
    </w:p>
    <w:p w:rsidR="00000000" w:rsidRP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Facteur précipitant de Porphyrie cutanée tardive</w:t>
      </w:r>
    </w:p>
    <w:p w:rsidR="00000000" w:rsidRP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52573E">
        <w:rPr>
          <w:lang w:val="fr-CA"/>
        </w:rPr>
        <w:t>Lymphome (cellule B)</w:t>
      </w:r>
    </w:p>
    <w:p w:rsidR="0052573E" w:rsidRDefault="00D97906" w:rsidP="00D97906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  <w:sectPr w:rsidR="0052573E" w:rsidSect="0052573E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52573E">
        <w:rPr>
          <w:lang w:val="fr-CA"/>
        </w:rPr>
        <w:t>Syndrome de fatigu</w:t>
      </w:r>
      <w:r w:rsidRPr="0052573E">
        <w:rPr>
          <w:lang w:val="fr-CA"/>
        </w:rPr>
        <w:t>e chroniqu</w:t>
      </w:r>
      <w:r w:rsidR="0052573E">
        <w:rPr>
          <w:lang w:val="fr-CA"/>
        </w:rPr>
        <w:t>e, neuropathie, Immunodéficienc</w:t>
      </w:r>
    </w:p>
    <w:p w:rsidR="00000000" w:rsidRPr="0052573E" w:rsidRDefault="00D97906" w:rsidP="0052573E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  <w:r w:rsidRPr="00A23789">
        <w:rPr>
          <w:b/>
          <w:bCs/>
          <w:u w:val="single"/>
          <w:lang w:val="fr-CA"/>
        </w:rPr>
        <w:t>Investigations:</w:t>
      </w:r>
    </w:p>
    <w:p w:rsidR="00000000" w:rsidRPr="0052573E" w:rsidRDefault="00D97906" w:rsidP="00D97906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52573E">
        <w:rPr>
          <w:lang w:val="fr-CA"/>
        </w:rPr>
        <w:t>Enzymes (transaminases) et fonction hépatique (INR, album</w:t>
      </w:r>
      <w:r w:rsidRPr="0052573E">
        <w:rPr>
          <w:lang w:val="fr-CA"/>
        </w:rPr>
        <w:t>ine, bilirubine)</w:t>
      </w:r>
    </w:p>
    <w:p w:rsidR="00000000" w:rsidRPr="0052573E" w:rsidRDefault="00D97906" w:rsidP="00D97906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52573E">
        <w:rPr>
          <w:lang w:val="fr-CA"/>
        </w:rPr>
        <w:t>Sérologie - Recherche des anticorps:</w:t>
      </w:r>
    </w:p>
    <w:p w:rsidR="00000000" w:rsidRPr="0052573E" w:rsidRDefault="00D97906" w:rsidP="00D97906">
      <w:pPr>
        <w:pStyle w:val="ListParagraph"/>
        <w:numPr>
          <w:ilvl w:val="1"/>
          <w:numId w:val="24"/>
        </w:numPr>
        <w:spacing w:line="240" w:lineRule="auto"/>
        <w:rPr>
          <w:lang w:val="fr-CA"/>
        </w:rPr>
      </w:pPr>
      <w:r w:rsidRPr="0052573E">
        <w:rPr>
          <w:lang w:val="fr-CA"/>
        </w:rPr>
        <w:t>Séroconversion: 10-15 semaines après contage</w:t>
      </w:r>
    </w:p>
    <w:p w:rsidR="00000000" w:rsidRPr="0052573E" w:rsidRDefault="00D97906" w:rsidP="00D97906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52573E">
        <w:rPr>
          <w:lang w:val="fr-CA"/>
        </w:rPr>
        <w:t>PCR: ADN/Génotype (RT-PCR)</w:t>
      </w:r>
    </w:p>
    <w:p w:rsidR="00000000" w:rsidRPr="0052573E" w:rsidRDefault="00D97906" w:rsidP="00D97906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52573E">
        <w:rPr>
          <w:lang w:val="fr-CA"/>
        </w:rPr>
        <w:t>Biopsie du foie</w:t>
      </w:r>
    </w:p>
    <w:p w:rsidR="00000000" w:rsidRPr="0052573E" w:rsidRDefault="00D97906" w:rsidP="00D97906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52573E">
        <w:rPr>
          <w:lang w:val="fr-CA"/>
        </w:rPr>
        <w:t>Exclure autres causes:</w:t>
      </w:r>
    </w:p>
    <w:p w:rsidR="00000000" w:rsidRPr="0052573E" w:rsidRDefault="00D97906" w:rsidP="00D97906">
      <w:pPr>
        <w:pStyle w:val="ListParagraph"/>
        <w:numPr>
          <w:ilvl w:val="1"/>
          <w:numId w:val="24"/>
        </w:numPr>
        <w:spacing w:line="240" w:lineRule="auto"/>
        <w:rPr>
          <w:lang w:val="fr-CA"/>
        </w:rPr>
      </w:pPr>
      <w:r w:rsidRPr="0052573E">
        <w:rPr>
          <w:lang w:val="fr-CA"/>
        </w:rPr>
        <w:t>VIH,VHB, maladie héréditaire du foie</w:t>
      </w:r>
    </w:p>
    <w:p w:rsidR="009E4F10" w:rsidRPr="00A23789" w:rsidRDefault="009E4F10" w:rsidP="00A23789">
      <w:pPr>
        <w:spacing w:line="240" w:lineRule="auto"/>
        <w:rPr>
          <w:b/>
          <w:lang w:val="fr-CA"/>
        </w:rPr>
      </w:pPr>
      <w:r w:rsidRPr="00A23789">
        <w:rPr>
          <w:noProof/>
          <w:lang w:val="fr-CA" w:eastAsia="en-CA"/>
        </w:rPr>
        <w:drawing>
          <wp:anchor distT="0" distB="0" distL="114300" distR="114300" simplePos="0" relativeHeight="251664384" behindDoc="1" locked="0" layoutInCell="1" allowOverlap="1" wp14:anchorId="6F9C21AA" wp14:editId="53C47037">
            <wp:simplePos x="0" y="0"/>
            <wp:positionH relativeFrom="column">
              <wp:posOffset>146050</wp:posOffset>
            </wp:positionH>
            <wp:positionV relativeFrom="paragraph">
              <wp:posOffset>261620</wp:posOffset>
            </wp:positionV>
            <wp:extent cx="3725545" cy="2266950"/>
            <wp:effectExtent l="0" t="0" r="8255" b="0"/>
            <wp:wrapTight wrapText="bothSides">
              <wp:wrapPolygon edited="0">
                <wp:start x="0" y="0"/>
                <wp:lineTo x="0" y="21418"/>
                <wp:lineTo x="21537" y="21418"/>
                <wp:lineTo x="2153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9" t="36203" r="24519" b="22178"/>
                    <a:stretch/>
                  </pic:blipFill>
                  <pic:spPr bwMode="auto">
                    <a:xfrm>
                      <a:off x="0" y="0"/>
                      <a:ext cx="3725545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789">
        <w:rPr>
          <w:b/>
          <w:lang w:val="fr-CA"/>
        </w:rPr>
        <w:t>Progression Sérologique</w:t>
      </w:r>
    </w:p>
    <w:p w:rsidR="009E4F10" w:rsidRPr="00A23789" w:rsidRDefault="009E4F10" w:rsidP="00A23789">
      <w:pPr>
        <w:spacing w:line="240" w:lineRule="auto"/>
        <w:rPr>
          <w:b/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</w:p>
    <w:p w:rsidR="009E4F10" w:rsidRPr="00A23789" w:rsidRDefault="009E4F10" w:rsidP="00A23789">
      <w:pPr>
        <w:spacing w:line="240" w:lineRule="auto"/>
        <w:rPr>
          <w:lang w:val="fr-CA"/>
        </w:rPr>
      </w:pPr>
    </w:p>
    <w:p w:rsidR="0052573E" w:rsidRDefault="0052573E" w:rsidP="00A23789">
      <w:pPr>
        <w:spacing w:line="240" w:lineRule="auto"/>
        <w:rPr>
          <w:b/>
          <w:lang w:val="fr-CA"/>
        </w:rPr>
      </w:pPr>
    </w:p>
    <w:p w:rsidR="0052573E" w:rsidRDefault="0052573E" w:rsidP="00A23789">
      <w:pPr>
        <w:spacing w:line="240" w:lineRule="auto"/>
        <w:rPr>
          <w:b/>
          <w:lang w:val="fr-CA"/>
        </w:rPr>
      </w:pPr>
    </w:p>
    <w:p w:rsidR="0052573E" w:rsidRDefault="0052573E" w:rsidP="00A23789">
      <w:pPr>
        <w:spacing w:line="240" w:lineRule="auto"/>
        <w:rPr>
          <w:b/>
          <w:lang w:val="fr-CA"/>
        </w:rPr>
      </w:pPr>
    </w:p>
    <w:p w:rsidR="0052573E" w:rsidRDefault="0052573E" w:rsidP="00A23789">
      <w:pPr>
        <w:spacing w:line="240" w:lineRule="auto"/>
        <w:rPr>
          <w:b/>
          <w:lang w:val="fr-CA"/>
        </w:rPr>
      </w:pPr>
    </w:p>
    <w:p w:rsidR="00000000" w:rsidRPr="00A23789" w:rsidRDefault="00D97906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lastRenderedPageBreak/>
        <w:t>Traitement:</w:t>
      </w:r>
    </w:p>
    <w:p w:rsidR="00000000" w:rsidRPr="0052573E" w:rsidRDefault="00D97906" w:rsidP="00D97906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52573E">
        <w:rPr>
          <w:lang w:val="fr-CA"/>
        </w:rPr>
        <w:t>Interféron/Ribavirin</w:t>
      </w:r>
    </w:p>
    <w:p w:rsidR="00000000" w:rsidRPr="0052573E" w:rsidRDefault="00D97906" w:rsidP="00D97906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La réponse aux traitements est déterminée par les facteurs suivants:</w:t>
      </w:r>
    </w:p>
    <w:p w:rsidR="00000000" w:rsidRPr="0052573E" w:rsidRDefault="00D97906" w:rsidP="00D97906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Majeures:</w:t>
      </w:r>
    </w:p>
    <w:p w:rsidR="00000000" w:rsidRPr="0052573E" w:rsidRDefault="00D97906" w:rsidP="00D97906">
      <w:pPr>
        <w:pStyle w:val="ListParagraph"/>
        <w:numPr>
          <w:ilvl w:val="2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Adhérence au régime</w:t>
      </w:r>
    </w:p>
    <w:p w:rsidR="00000000" w:rsidRPr="0052573E" w:rsidRDefault="00D97906" w:rsidP="00D97906">
      <w:pPr>
        <w:pStyle w:val="ListParagraph"/>
        <w:numPr>
          <w:ilvl w:val="2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Génotype du virus</w:t>
      </w:r>
    </w:p>
    <w:p w:rsidR="00000000" w:rsidRPr="0052573E" w:rsidRDefault="00D97906" w:rsidP="00D97906">
      <w:pPr>
        <w:pStyle w:val="ListParagraph"/>
        <w:numPr>
          <w:ilvl w:val="2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abus de l’alcool</w:t>
      </w:r>
    </w:p>
    <w:p w:rsidR="00000000" w:rsidRPr="0052573E" w:rsidRDefault="00D97906" w:rsidP="00D97906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Mineures:</w:t>
      </w:r>
    </w:p>
    <w:p w:rsidR="00000000" w:rsidRPr="0052573E" w:rsidRDefault="00D97906" w:rsidP="00D97906">
      <w:pPr>
        <w:pStyle w:val="ListParagraph"/>
        <w:numPr>
          <w:ilvl w:val="2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Quantification du ARN viral, sexe, age, histolog</w:t>
      </w:r>
      <w:r w:rsidRPr="0052573E">
        <w:rPr>
          <w:lang w:val="fr-CA"/>
        </w:rPr>
        <w:t>ie, transaminases élevées, co-infection</w:t>
      </w:r>
    </w:p>
    <w:p w:rsidR="00000000" w:rsidRPr="0052573E" w:rsidRDefault="00D97906" w:rsidP="00D97906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>Pronostic favorable à la rémission:</w:t>
      </w:r>
    </w:p>
    <w:p w:rsidR="00000000" w:rsidRPr="0052573E" w:rsidRDefault="00D97906" w:rsidP="00D97906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52573E">
        <w:rPr>
          <w:lang w:val="fr-CA"/>
        </w:rPr>
        <w:t xml:space="preserve">ARN indétectable après 6 mois, normalisation de </w:t>
      </w:r>
      <w:r w:rsidRPr="0052573E">
        <w:rPr>
          <w:lang w:val="fr-CA"/>
        </w:rPr>
        <w:t>l’histologie et des enzymes hépatiques</w:t>
      </w:r>
    </w:p>
    <w:p w:rsidR="00000000" w:rsidRPr="00A23789" w:rsidRDefault="00D97906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t>Durées de traitements</w:t>
      </w:r>
    </w:p>
    <w:p w:rsidR="00000000" w:rsidRPr="0052573E" w:rsidRDefault="00D97906" w:rsidP="00D97906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Génotype 1: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Quantification d’ARN viral à 12 sem</w:t>
      </w:r>
      <w:r w:rsidRPr="0052573E">
        <w:rPr>
          <w:lang w:val="fr-CA"/>
        </w:rPr>
        <w:t>aines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Négatif: continuer jusqu’ à 48 semaines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Positif, taux d’ARN non changés, discontinuer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Positif avec réduction de &gt;2 log, réévaluer à 24 semaines et si encore positif, discontinuer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Efficacité: 42-46%</w:t>
      </w:r>
    </w:p>
    <w:p w:rsidR="00000000" w:rsidRPr="0052573E" w:rsidRDefault="00D97906" w:rsidP="00D97906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Génotype 2,3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Quantification d’ARN viral a 24 semaines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Négatif ou réduction &gt;2log continuer</w:t>
      </w:r>
    </w:p>
    <w:p w:rsidR="0000000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Positif ou non changés, discontinuer</w:t>
      </w:r>
    </w:p>
    <w:p w:rsidR="009E4F10" w:rsidRPr="0052573E" w:rsidRDefault="00D97906" w:rsidP="00D97906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52573E">
        <w:rPr>
          <w:lang w:val="fr-CA"/>
        </w:rPr>
        <w:t>Efficacité: 70-90%</w:t>
      </w:r>
    </w:p>
    <w:p w:rsidR="009E4F10" w:rsidRPr="00A23789" w:rsidRDefault="009E4F10" w:rsidP="00A23789">
      <w:pPr>
        <w:spacing w:line="240" w:lineRule="auto"/>
        <w:rPr>
          <w:b/>
          <w:color w:val="FF0000"/>
          <w:sz w:val="26"/>
          <w:szCs w:val="26"/>
          <w:lang w:val="fr-CA"/>
        </w:rPr>
      </w:pPr>
      <w:r w:rsidRPr="00A23789">
        <w:rPr>
          <w:b/>
          <w:color w:val="FF0000"/>
          <w:sz w:val="26"/>
          <w:szCs w:val="26"/>
          <w:lang w:val="fr-CA"/>
        </w:rPr>
        <w:t>Testez vos connaissances</w:t>
      </w:r>
    </w:p>
    <w:p w:rsidR="00000000" w:rsidRPr="00A23789" w:rsidRDefault="009E4F10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t xml:space="preserve">1. </w:t>
      </w:r>
      <w:r w:rsidR="00D97906" w:rsidRPr="00A23789">
        <w:rPr>
          <w:b/>
          <w:lang w:val="fr-CA"/>
        </w:rPr>
        <w:t>Lequel des virus suivants ne peuvent pas développer une hépatite chronique?</w:t>
      </w:r>
    </w:p>
    <w:p w:rsidR="00CC1A4B" w:rsidRDefault="00CC1A4B" w:rsidP="00D97906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  <w:sectPr w:rsidR="00CC1A4B" w:rsidSect="00A2378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52573E" w:rsidRDefault="00D97906" w:rsidP="00D97906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VHA</w:t>
      </w:r>
    </w:p>
    <w:p w:rsidR="00000000" w:rsidRPr="0052573E" w:rsidRDefault="00D97906" w:rsidP="00D97906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52573E">
        <w:rPr>
          <w:lang w:val="fr-CA"/>
        </w:rPr>
        <w:t>VHB</w:t>
      </w:r>
    </w:p>
    <w:p w:rsidR="00000000" w:rsidRPr="0052573E" w:rsidRDefault="00D97906" w:rsidP="00D97906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VHC</w:t>
      </w:r>
    </w:p>
    <w:p w:rsidR="00CC1A4B" w:rsidRDefault="00D97906" w:rsidP="00D97906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  <w:sectPr w:rsidR="00CC1A4B" w:rsidSect="00CC1A4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52573E">
        <w:rPr>
          <w:lang w:val="fr-CA"/>
        </w:rPr>
        <w:t>VHD</w:t>
      </w:r>
    </w:p>
    <w:p w:rsidR="00000000" w:rsidRPr="00A23789" w:rsidRDefault="009E4F10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lastRenderedPageBreak/>
        <w:t xml:space="preserve">2. </w:t>
      </w:r>
      <w:r w:rsidR="00D97906" w:rsidRPr="00A23789">
        <w:rPr>
          <w:b/>
          <w:lang w:val="fr-CA"/>
        </w:rPr>
        <w:t>Lequel des énoncés est FAUX à propos de l’hépatite A?</w:t>
      </w:r>
    </w:p>
    <w:p w:rsidR="00CC1A4B" w:rsidRDefault="00CC1A4B" w:rsidP="00D97906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  <w:sectPr w:rsidR="00CC1A4B" w:rsidSect="00A2378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52573E" w:rsidRDefault="00D97906" w:rsidP="00D97906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Un vaccin est disp</w:t>
      </w:r>
      <w:r w:rsidRPr="0052573E">
        <w:rPr>
          <w:lang w:val="fr-CA"/>
        </w:rPr>
        <w:t>onible</w:t>
      </w:r>
    </w:p>
    <w:p w:rsidR="00000000" w:rsidRPr="0052573E" w:rsidRDefault="00D97906" w:rsidP="00D97906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52573E">
        <w:rPr>
          <w:lang w:val="fr-CA"/>
        </w:rPr>
        <w:t>Endémique dans les pays développés</w:t>
      </w:r>
    </w:p>
    <w:p w:rsidR="00000000" w:rsidRPr="0052573E" w:rsidRDefault="00D97906" w:rsidP="00D97906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52573E">
        <w:rPr>
          <w:lang w:val="fr-CA"/>
        </w:rPr>
        <w:t>Se transmet par voie fécale – orale</w:t>
      </w:r>
    </w:p>
    <w:p w:rsidR="00CC1A4B" w:rsidRDefault="00D97906" w:rsidP="00D97906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  <w:sectPr w:rsidR="00CC1A4B" w:rsidSect="00CC1A4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52573E">
        <w:rPr>
          <w:lang w:val="fr-CA"/>
        </w:rPr>
        <w:lastRenderedPageBreak/>
        <w:t>Il peut y avoir une hépatite fulminante dans moins de 1% des cas</w:t>
      </w:r>
    </w:p>
    <w:p w:rsidR="00CC1A4B" w:rsidRDefault="00CC1A4B" w:rsidP="00A23789">
      <w:pPr>
        <w:spacing w:line="240" w:lineRule="auto"/>
        <w:rPr>
          <w:b/>
          <w:lang w:val="fr-CA"/>
        </w:rPr>
      </w:pPr>
    </w:p>
    <w:p w:rsidR="00000000" w:rsidRPr="00A23789" w:rsidRDefault="009E4F10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t xml:space="preserve">3. </w:t>
      </w:r>
      <w:r w:rsidR="00D97906" w:rsidRPr="00A23789">
        <w:rPr>
          <w:b/>
          <w:lang w:val="fr-CA"/>
        </w:rPr>
        <w:t>Voici les résultats sérologiques pour le diagnostic du virus de l’hépatite B :</w:t>
      </w:r>
      <w:r w:rsidR="00D97906" w:rsidRPr="00A23789">
        <w:rPr>
          <w:b/>
          <w:lang w:val="fr-CA"/>
        </w:rPr>
        <w:br/>
      </w:r>
      <w:r w:rsidR="00D97906" w:rsidRPr="00A23789">
        <w:rPr>
          <w:b/>
          <w:lang w:val="fr-CA"/>
        </w:rPr>
        <w:tab/>
        <w:t>HBsAg -,</w:t>
      </w:r>
      <w:r w:rsidR="00D97906" w:rsidRPr="00A23789">
        <w:rPr>
          <w:b/>
          <w:lang w:val="fr-CA"/>
        </w:rPr>
        <w:t xml:space="preserve"> HBeAg -, HBsAc +, HBeAc +, IgM HBcAc -, IgG HBcAc +</w:t>
      </w:r>
      <w:r w:rsidR="00D97906" w:rsidRPr="00A23789">
        <w:rPr>
          <w:b/>
          <w:lang w:val="fr-CA"/>
        </w:rPr>
        <w:br/>
      </w:r>
      <w:r w:rsidR="00CC1A4B">
        <w:rPr>
          <w:b/>
          <w:lang w:val="fr-CA"/>
        </w:rPr>
        <w:t xml:space="preserve">        </w:t>
      </w:r>
      <w:r w:rsidR="00D97906" w:rsidRPr="00A23789">
        <w:rPr>
          <w:b/>
          <w:lang w:val="fr-CA"/>
        </w:rPr>
        <w:t>Le patient est donc à quel stade?</w:t>
      </w:r>
    </w:p>
    <w:p w:rsidR="00CC1A4B" w:rsidRDefault="00CC1A4B" w:rsidP="00D97906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  <w:sectPr w:rsidR="00CC1A4B" w:rsidSect="00A2378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52573E" w:rsidRDefault="00D97906" w:rsidP="00D97906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Aiguë</w:t>
      </w:r>
    </w:p>
    <w:p w:rsidR="00000000" w:rsidRPr="0052573E" w:rsidRDefault="00D97906" w:rsidP="00D97906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52573E">
        <w:rPr>
          <w:lang w:val="fr-CA"/>
        </w:rPr>
        <w:t>Chronique</w:t>
      </w:r>
    </w:p>
    <w:p w:rsidR="00000000" w:rsidRPr="0052573E" w:rsidRDefault="00D97906" w:rsidP="00D97906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52573E">
        <w:rPr>
          <w:lang w:val="fr-CA"/>
        </w:rPr>
        <w:lastRenderedPageBreak/>
        <w:t>Convalescence</w:t>
      </w:r>
    </w:p>
    <w:p w:rsidR="00CC1A4B" w:rsidRDefault="00D97906" w:rsidP="00D97906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  <w:sectPr w:rsidR="00CC1A4B" w:rsidSect="00CC1A4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52573E">
        <w:rPr>
          <w:lang w:val="fr-CA"/>
        </w:rPr>
        <w:t>Vaccin</w:t>
      </w:r>
    </w:p>
    <w:p w:rsidR="00000000" w:rsidRPr="00A23789" w:rsidRDefault="009E4F10" w:rsidP="00A23789">
      <w:pPr>
        <w:spacing w:line="240" w:lineRule="auto"/>
        <w:rPr>
          <w:b/>
          <w:lang w:val="fr-CA"/>
        </w:rPr>
      </w:pPr>
      <w:r w:rsidRPr="00A23789">
        <w:rPr>
          <w:b/>
          <w:lang w:val="fr-CA"/>
        </w:rPr>
        <w:lastRenderedPageBreak/>
        <w:t xml:space="preserve">4. </w:t>
      </w:r>
      <w:r w:rsidR="00D97906" w:rsidRPr="00A23789">
        <w:rPr>
          <w:b/>
          <w:lang w:val="fr-CA"/>
        </w:rPr>
        <w:t>Quel énoncé est VRAI à propos du virus</w:t>
      </w:r>
      <w:r w:rsidR="00D97906" w:rsidRPr="00A23789">
        <w:rPr>
          <w:b/>
          <w:lang w:val="fr-CA"/>
        </w:rPr>
        <w:t xml:space="preserve"> de l’hépatite C?</w:t>
      </w:r>
    </w:p>
    <w:p w:rsidR="00000000" w:rsidRPr="0052573E" w:rsidRDefault="00D97906" w:rsidP="00D97906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52573E">
        <w:rPr>
          <w:lang w:val="fr-CA"/>
        </w:rPr>
        <w:t>50% des hépatites aiguës  deviendront chronique et l’autre 50% auront une guérison</w:t>
      </w:r>
    </w:p>
    <w:p w:rsidR="00000000" w:rsidRPr="0052573E" w:rsidRDefault="00D97906" w:rsidP="00D97906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52573E">
        <w:rPr>
          <w:lang w:val="fr-CA"/>
        </w:rPr>
        <w:t>90% des hépat</w:t>
      </w:r>
      <w:r w:rsidRPr="0052573E">
        <w:rPr>
          <w:lang w:val="fr-CA"/>
        </w:rPr>
        <w:t xml:space="preserve">ites chroniques seront asymptomatique </w:t>
      </w:r>
    </w:p>
    <w:p w:rsidR="00000000" w:rsidRPr="0052573E" w:rsidRDefault="00D97906" w:rsidP="00D97906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52573E">
        <w:rPr>
          <w:lang w:val="fr-CA"/>
        </w:rPr>
        <w:t>40% des hépatites chroniques développeront une cirrhose</w:t>
      </w:r>
    </w:p>
    <w:p w:rsidR="009E4F10" w:rsidRPr="00490AEA" w:rsidRDefault="00D97906" w:rsidP="00D97906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52573E">
        <w:rPr>
          <w:lang w:val="fr-CA"/>
        </w:rPr>
        <w:t xml:space="preserve">20% des hépatites chroniques développeront un carcinome avec métastase </w:t>
      </w:r>
    </w:p>
    <w:sectPr w:rsidR="009E4F10" w:rsidRPr="00490AEA" w:rsidSect="00A23789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906" w:rsidRDefault="00D97906" w:rsidP="0048675E">
      <w:pPr>
        <w:spacing w:after="0" w:line="240" w:lineRule="auto"/>
      </w:pPr>
      <w:r>
        <w:separator/>
      </w:r>
    </w:p>
  </w:endnote>
  <w:endnote w:type="continuationSeparator" w:id="0">
    <w:p w:rsidR="00D97906" w:rsidRDefault="00D97906" w:rsidP="00486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906" w:rsidRDefault="00D97906" w:rsidP="0048675E">
      <w:pPr>
        <w:spacing w:after="0" w:line="240" w:lineRule="auto"/>
      </w:pPr>
      <w:r>
        <w:separator/>
      </w:r>
    </w:p>
  </w:footnote>
  <w:footnote w:type="continuationSeparator" w:id="0">
    <w:p w:rsidR="00D97906" w:rsidRDefault="00D97906" w:rsidP="00486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75E" w:rsidRDefault="0048675E">
    <w:pPr>
      <w:pStyle w:val="Header"/>
      <w:jc w:val="right"/>
    </w:pPr>
    <w:r>
      <w:t xml:space="preserve">HSS 1500 </w:t>
    </w:r>
    <w:sdt>
      <w:sdtPr>
        <w:id w:val="-213270239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0AEA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48675E" w:rsidRDefault="004867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3D1"/>
    <w:multiLevelType w:val="hybridMultilevel"/>
    <w:tmpl w:val="EAE023C2"/>
    <w:lvl w:ilvl="0" w:tplc="DDB63992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576F71"/>
    <w:multiLevelType w:val="hybridMultilevel"/>
    <w:tmpl w:val="347038CA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381BC7"/>
    <w:multiLevelType w:val="hybridMultilevel"/>
    <w:tmpl w:val="A0E608D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F6FF0"/>
    <w:multiLevelType w:val="hybridMultilevel"/>
    <w:tmpl w:val="104A6B4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335B94"/>
    <w:multiLevelType w:val="hybridMultilevel"/>
    <w:tmpl w:val="239A306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A4685"/>
    <w:multiLevelType w:val="hybridMultilevel"/>
    <w:tmpl w:val="4B4C097A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32053A7"/>
    <w:multiLevelType w:val="hybridMultilevel"/>
    <w:tmpl w:val="8174A41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4723B9"/>
    <w:multiLevelType w:val="hybridMultilevel"/>
    <w:tmpl w:val="4170D114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F564C9"/>
    <w:multiLevelType w:val="hybridMultilevel"/>
    <w:tmpl w:val="8F5AEBE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51C5B"/>
    <w:multiLevelType w:val="hybridMultilevel"/>
    <w:tmpl w:val="F3E8C07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465124"/>
    <w:multiLevelType w:val="hybridMultilevel"/>
    <w:tmpl w:val="3C5E5EC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EE4EE4"/>
    <w:multiLevelType w:val="hybridMultilevel"/>
    <w:tmpl w:val="A8A8A3F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7FF0E09"/>
    <w:multiLevelType w:val="hybridMultilevel"/>
    <w:tmpl w:val="20DE298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60D78"/>
    <w:multiLevelType w:val="hybridMultilevel"/>
    <w:tmpl w:val="CF7A0A1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70A4C"/>
    <w:multiLevelType w:val="hybridMultilevel"/>
    <w:tmpl w:val="5A52995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E760FB"/>
    <w:multiLevelType w:val="hybridMultilevel"/>
    <w:tmpl w:val="817A9EA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E617C3"/>
    <w:multiLevelType w:val="hybridMultilevel"/>
    <w:tmpl w:val="7CE853F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2457CD"/>
    <w:multiLevelType w:val="hybridMultilevel"/>
    <w:tmpl w:val="5A5614C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FA6166"/>
    <w:multiLevelType w:val="hybridMultilevel"/>
    <w:tmpl w:val="8E280F1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196DEB"/>
    <w:multiLevelType w:val="hybridMultilevel"/>
    <w:tmpl w:val="24F63B0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C11786"/>
    <w:multiLevelType w:val="hybridMultilevel"/>
    <w:tmpl w:val="48ECDEC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426ECE"/>
    <w:multiLevelType w:val="hybridMultilevel"/>
    <w:tmpl w:val="4B64BE84"/>
    <w:lvl w:ilvl="0" w:tplc="DDB63992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076252A"/>
    <w:multiLevelType w:val="hybridMultilevel"/>
    <w:tmpl w:val="D4AE955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AD3840"/>
    <w:multiLevelType w:val="hybridMultilevel"/>
    <w:tmpl w:val="623C36D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37672A"/>
    <w:multiLevelType w:val="hybridMultilevel"/>
    <w:tmpl w:val="04EAF48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B59AA"/>
    <w:multiLevelType w:val="hybridMultilevel"/>
    <w:tmpl w:val="1F3CA61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B441D6"/>
    <w:multiLevelType w:val="hybridMultilevel"/>
    <w:tmpl w:val="F9E2E81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EF03BD"/>
    <w:multiLevelType w:val="hybridMultilevel"/>
    <w:tmpl w:val="72AA44F0"/>
    <w:lvl w:ilvl="0" w:tplc="DDB63992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D6E602B"/>
    <w:multiLevelType w:val="hybridMultilevel"/>
    <w:tmpl w:val="3B3263D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844349"/>
    <w:multiLevelType w:val="hybridMultilevel"/>
    <w:tmpl w:val="09485A9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0D4617"/>
    <w:multiLevelType w:val="hybridMultilevel"/>
    <w:tmpl w:val="39B4FCBE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25"/>
  </w:num>
  <w:num w:numId="4">
    <w:abstractNumId w:val="3"/>
  </w:num>
  <w:num w:numId="5">
    <w:abstractNumId w:val="18"/>
  </w:num>
  <w:num w:numId="6">
    <w:abstractNumId w:val="15"/>
  </w:num>
  <w:num w:numId="7">
    <w:abstractNumId w:val="8"/>
  </w:num>
  <w:num w:numId="8">
    <w:abstractNumId w:val="28"/>
  </w:num>
  <w:num w:numId="9">
    <w:abstractNumId w:val="1"/>
  </w:num>
  <w:num w:numId="10">
    <w:abstractNumId w:val="10"/>
  </w:num>
  <w:num w:numId="11">
    <w:abstractNumId w:val="17"/>
  </w:num>
  <w:num w:numId="12">
    <w:abstractNumId w:val="26"/>
  </w:num>
  <w:num w:numId="13">
    <w:abstractNumId w:val="4"/>
  </w:num>
  <w:num w:numId="14">
    <w:abstractNumId w:val="16"/>
  </w:num>
  <w:num w:numId="15">
    <w:abstractNumId w:val="22"/>
  </w:num>
  <w:num w:numId="16">
    <w:abstractNumId w:val="23"/>
  </w:num>
  <w:num w:numId="17">
    <w:abstractNumId w:val="30"/>
  </w:num>
  <w:num w:numId="18">
    <w:abstractNumId w:val="20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5"/>
  </w:num>
  <w:num w:numId="24">
    <w:abstractNumId w:val="2"/>
  </w:num>
  <w:num w:numId="25">
    <w:abstractNumId w:val="12"/>
  </w:num>
  <w:num w:numId="26">
    <w:abstractNumId w:val="29"/>
  </w:num>
  <w:num w:numId="27">
    <w:abstractNumId w:val="24"/>
  </w:num>
  <w:num w:numId="28">
    <w:abstractNumId w:val="7"/>
  </w:num>
  <w:num w:numId="29">
    <w:abstractNumId w:val="27"/>
  </w:num>
  <w:num w:numId="30">
    <w:abstractNumId w:val="21"/>
  </w:num>
  <w:num w:numId="31">
    <w:abstractNumId w:val="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9F8"/>
    <w:rsid w:val="001700A7"/>
    <w:rsid w:val="00207CE4"/>
    <w:rsid w:val="0048675E"/>
    <w:rsid w:val="00490AEA"/>
    <w:rsid w:val="0052573E"/>
    <w:rsid w:val="00533518"/>
    <w:rsid w:val="00875D0C"/>
    <w:rsid w:val="009E4F10"/>
    <w:rsid w:val="00A23789"/>
    <w:rsid w:val="00A9442B"/>
    <w:rsid w:val="00BB79F8"/>
    <w:rsid w:val="00C12B2C"/>
    <w:rsid w:val="00CC1A4B"/>
    <w:rsid w:val="00D5229D"/>
    <w:rsid w:val="00D56E7E"/>
    <w:rsid w:val="00D97906"/>
    <w:rsid w:val="00F3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07CE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4F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6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5E"/>
  </w:style>
  <w:style w:type="paragraph" w:styleId="Footer">
    <w:name w:val="footer"/>
    <w:basedOn w:val="Normal"/>
    <w:link w:val="FooterChar"/>
    <w:uiPriority w:val="99"/>
    <w:unhideWhenUsed/>
    <w:rsid w:val="00486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07CE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4F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6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5E"/>
  </w:style>
  <w:style w:type="paragraph" w:styleId="Footer">
    <w:name w:val="footer"/>
    <w:basedOn w:val="Normal"/>
    <w:link w:val="FooterChar"/>
    <w:uiPriority w:val="99"/>
    <w:unhideWhenUsed/>
    <w:rsid w:val="00486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37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73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06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703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274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926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437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41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111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1850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0972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678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142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5624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14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089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816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546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076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894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187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370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0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1240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853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669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9560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18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59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30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21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44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099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78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29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19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75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4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34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4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081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97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268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30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6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7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28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042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90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1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11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16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3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31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4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9707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4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499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741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7230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848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19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58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05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98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70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52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9481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981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8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512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276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832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565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1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152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88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13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59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6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609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339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64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13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68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67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10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15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5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10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30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22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37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54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79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63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6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70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52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1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48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71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11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37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52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70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0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09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54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56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46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53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353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52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95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14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49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9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83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49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94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0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3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513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67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0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639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381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165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402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027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127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43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310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68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56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58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84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63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53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77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74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9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54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32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99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8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1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61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43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46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981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42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1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5898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458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53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89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45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646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50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217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19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69687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06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16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449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129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7998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89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368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54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120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215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496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942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938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458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5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2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72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34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22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69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0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43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8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95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90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5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0080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93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30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99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25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16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18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32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490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2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33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51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37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5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6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95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16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93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4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21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64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82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4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30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4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58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16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93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76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7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77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21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0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24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75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20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64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80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3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13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71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8446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75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788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9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83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824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7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9011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442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504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108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162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896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348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79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1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080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7525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2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21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7317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7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85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15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355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01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1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406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8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7</cp:revision>
  <dcterms:created xsi:type="dcterms:W3CDTF">2014-04-03T18:41:00Z</dcterms:created>
  <dcterms:modified xsi:type="dcterms:W3CDTF">2014-04-17T04:34:00Z</dcterms:modified>
</cp:coreProperties>
</file>