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B2C" w:rsidRPr="00EB783E" w:rsidRDefault="00445CC3" w:rsidP="00E63F3F">
      <w:pPr>
        <w:spacing w:line="240" w:lineRule="auto"/>
        <w:rPr>
          <w:b/>
          <w:color w:val="FF0000"/>
          <w:sz w:val="30"/>
          <w:szCs w:val="30"/>
          <w:lang w:val="fr-CA"/>
        </w:rPr>
      </w:pPr>
      <w:r w:rsidRPr="00EB783E">
        <w:rPr>
          <w:b/>
          <w:color w:val="FF0000"/>
          <w:sz w:val="30"/>
          <w:szCs w:val="30"/>
          <w:lang w:val="fr-CA"/>
        </w:rPr>
        <w:t>4</w:t>
      </w:r>
      <w:bookmarkStart w:id="0" w:name="_GoBack"/>
      <w:bookmarkEnd w:id="0"/>
      <w:r w:rsidRPr="00EB783E">
        <w:rPr>
          <w:b/>
          <w:color w:val="FF0000"/>
          <w:sz w:val="30"/>
          <w:szCs w:val="30"/>
          <w:lang w:val="fr-CA"/>
        </w:rPr>
        <w:t>. Les bacilles Gram positifs</w:t>
      </w:r>
    </w:p>
    <w:p w:rsidR="00445CC3" w:rsidRPr="00EB783E" w:rsidRDefault="00EB783E" w:rsidP="00E63F3F">
      <w:pPr>
        <w:spacing w:line="240" w:lineRule="auto"/>
        <w:rPr>
          <w:noProof/>
          <w:lang w:eastAsia="en-CA"/>
        </w:rPr>
      </w:pPr>
      <w:r w:rsidRPr="00EB783E"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4ECDC1C1" wp14:editId="468EE700">
            <wp:simplePos x="0" y="0"/>
            <wp:positionH relativeFrom="column">
              <wp:posOffset>0</wp:posOffset>
            </wp:positionH>
            <wp:positionV relativeFrom="paragraph">
              <wp:posOffset>5715</wp:posOffset>
            </wp:positionV>
            <wp:extent cx="3434080" cy="15925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82" t="40446" r="18358" b="22611"/>
                    <a:stretch/>
                  </pic:blipFill>
                  <pic:spPr bwMode="auto">
                    <a:xfrm>
                      <a:off x="0" y="0"/>
                      <a:ext cx="3434080" cy="159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5CC3" w:rsidRPr="00EB783E" w:rsidRDefault="00445CC3" w:rsidP="00E63F3F">
      <w:pPr>
        <w:spacing w:line="240" w:lineRule="auto"/>
      </w:pPr>
    </w:p>
    <w:p w:rsidR="00445CC3" w:rsidRPr="00EB783E" w:rsidRDefault="00445CC3" w:rsidP="00E63F3F">
      <w:pPr>
        <w:spacing w:line="240" w:lineRule="auto"/>
      </w:pPr>
    </w:p>
    <w:p w:rsidR="00445CC3" w:rsidRPr="00EB783E" w:rsidRDefault="00445CC3" w:rsidP="00E63F3F">
      <w:pPr>
        <w:spacing w:line="240" w:lineRule="auto"/>
      </w:pPr>
    </w:p>
    <w:p w:rsidR="00445CC3" w:rsidRPr="00EB783E" w:rsidRDefault="00445CC3" w:rsidP="00E63F3F">
      <w:pPr>
        <w:spacing w:line="240" w:lineRule="auto"/>
      </w:pPr>
    </w:p>
    <w:p w:rsidR="00445CC3" w:rsidRPr="00EB783E" w:rsidRDefault="00445CC3" w:rsidP="00E63F3F">
      <w:pPr>
        <w:spacing w:line="240" w:lineRule="auto"/>
      </w:pPr>
    </w:p>
    <w:p w:rsidR="00445CC3" w:rsidRPr="00EB783E" w:rsidRDefault="00445CC3" w:rsidP="00E63F3F">
      <w:pPr>
        <w:spacing w:line="240" w:lineRule="auto"/>
        <w:rPr>
          <w:b/>
          <w:i/>
          <w:iCs/>
          <w:sz w:val="28"/>
          <w:szCs w:val="28"/>
          <w:lang w:val="fr-CA"/>
        </w:rPr>
      </w:pPr>
      <w:r w:rsidRPr="00EB783E">
        <w:rPr>
          <w:b/>
          <w:iCs/>
          <w:sz w:val="28"/>
          <w:szCs w:val="28"/>
          <w:lang w:val="en-US"/>
        </w:rPr>
        <w:t>Listeria (</w:t>
      </w:r>
      <w:r w:rsidRPr="00EB783E">
        <w:rPr>
          <w:b/>
          <w:i/>
          <w:iCs/>
          <w:sz w:val="28"/>
          <w:szCs w:val="28"/>
          <w:lang w:val="fr-CA"/>
        </w:rPr>
        <w:t>L. monocytogenes)</w:t>
      </w:r>
    </w:p>
    <w:p w:rsidR="00000000" w:rsidRPr="00EB783E" w:rsidRDefault="009C1844" w:rsidP="009C1844">
      <w:pPr>
        <w:pStyle w:val="ListParagraph"/>
        <w:numPr>
          <w:ilvl w:val="0"/>
          <w:numId w:val="2"/>
        </w:numPr>
        <w:rPr>
          <w:rFonts w:asciiTheme="minorHAnsi" w:hAnsiTheme="minorHAnsi"/>
          <w:iCs/>
          <w:sz w:val="22"/>
          <w:szCs w:val="22"/>
        </w:rPr>
      </w:pPr>
      <w:r w:rsidRPr="00EB783E">
        <w:rPr>
          <w:rFonts w:asciiTheme="minorHAnsi" w:eastAsiaTheme="minorEastAsia" w:hAnsiTheme="minorHAnsi"/>
          <w:iCs/>
          <w:sz w:val="22"/>
          <w:szCs w:val="22"/>
          <w:lang w:val="fr-CA"/>
        </w:rPr>
        <w:t>6 espèces:</w:t>
      </w:r>
    </w:p>
    <w:p w:rsidR="00000000" w:rsidRPr="00EB783E" w:rsidRDefault="009C1844" w:rsidP="009C1844">
      <w:pPr>
        <w:pStyle w:val="ListParagraph"/>
        <w:numPr>
          <w:ilvl w:val="1"/>
          <w:numId w:val="2"/>
        </w:numPr>
        <w:rPr>
          <w:rFonts w:asciiTheme="minorHAnsi" w:hAnsiTheme="minorHAnsi"/>
          <w:iCs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>L. monocytogenes</w:t>
      </w:r>
      <w:r w:rsidRPr="00EB783E">
        <w:rPr>
          <w:rFonts w:asciiTheme="minorHAnsi" w:hAnsiTheme="minorHAnsi"/>
          <w:iCs/>
          <w:sz w:val="22"/>
          <w:szCs w:val="22"/>
          <w:lang w:val="fr-CA"/>
        </w:rPr>
        <w:t>, agent infectieux principal</w:t>
      </w:r>
    </w:p>
    <w:p w:rsidR="00000000" w:rsidRPr="00EB783E" w:rsidRDefault="009C1844" w:rsidP="009C1844">
      <w:pPr>
        <w:pStyle w:val="ListParagraph"/>
        <w:numPr>
          <w:ilvl w:val="0"/>
          <w:numId w:val="2"/>
        </w:numPr>
        <w:rPr>
          <w:rFonts w:asciiTheme="minorHAnsi" w:hAnsiTheme="minorHAnsi"/>
          <w:iCs/>
          <w:sz w:val="22"/>
          <w:szCs w:val="22"/>
        </w:rPr>
      </w:pPr>
      <w:r w:rsidRPr="00EB783E">
        <w:rPr>
          <w:rFonts w:asciiTheme="minorHAnsi" w:eastAsiaTheme="minorEastAsia" w:hAnsiTheme="minorHAnsi"/>
          <w:iCs/>
          <w:sz w:val="22"/>
          <w:szCs w:val="22"/>
          <w:lang w:val="fr-CA"/>
        </w:rPr>
        <w:t>Non-capsulé et non-sporulé</w:t>
      </w:r>
    </w:p>
    <w:p w:rsidR="00000000" w:rsidRPr="00EB783E" w:rsidRDefault="009C1844" w:rsidP="009C1844">
      <w:pPr>
        <w:pStyle w:val="ListParagraph"/>
        <w:numPr>
          <w:ilvl w:val="0"/>
          <w:numId w:val="2"/>
        </w:numPr>
        <w:rPr>
          <w:rFonts w:asciiTheme="minorHAnsi" w:hAnsiTheme="minorHAnsi"/>
          <w:iCs/>
          <w:sz w:val="22"/>
          <w:szCs w:val="22"/>
        </w:rPr>
      </w:pPr>
      <w:r w:rsidRPr="00EB783E">
        <w:rPr>
          <w:rFonts w:asciiTheme="minorHAnsi" w:eastAsiaTheme="minorEastAsia" w:hAnsiTheme="minorHAnsi"/>
          <w:b/>
          <w:bCs/>
          <w:iCs/>
          <w:sz w:val="22"/>
          <w:szCs w:val="22"/>
          <w:lang w:val="fr-CA"/>
        </w:rPr>
        <w:t>Croissance à 4</w:t>
      </w:r>
      <w:r w:rsidRPr="00EB783E">
        <w:rPr>
          <w:rFonts w:asciiTheme="minorHAnsi" w:eastAsiaTheme="minorEastAsia" w:hAnsiTheme="minorHAnsi"/>
          <w:b/>
          <w:bCs/>
          <w:iCs/>
          <w:sz w:val="22"/>
          <w:szCs w:val="22"/>
          <w:vertAlign w:val="superscript"/>
          <w:lang w:val="fr-CA"/>
        </w:rPr>
        <w:t>o</w:t>
      </w:r>
      <w:r w:rsidRPr="00EB783E">
        <w:rPr>
          <w:rFonts w:asciiTheme="minorHAnsi" w:eastAsiaTheme="minorEastAsia" w:hAnsiTheme="minorHAnsi"/>
          <w:b/>
          <w:bCs/>
          <w:iCs/>
          <w:sz w:val="22"/>
          <w:szCs w:val="22"/>
          <w:lang w:val="fr-CA"/>
        </w:rPr>
        <w:t>C</w:t>
      </w:r>
    </w:p>
    <w:p w:rsidR="00000000" w:rsidRPr="00EB783E" w:rsidRDefault="009C1844" w:rsidP="009C1844">
      <w:pPr>
        <w:pStyle w:val="ListParagraph"/>
        <w:numPr>
          <w:ilvl w:val="0"/>
          <w:numId w:val="2"/>
        </w:numPr>
        <w:rPr>
          <w:rFonts w:asciiTheme="minorHAnsi" w:hAnsiTheme="minorHAnsi"/>
          <w:iCs/>
          <w:sz w:val="22"/>
          <w:szCs w:val="22"/>
        </w:rPr>
      </w:pPr>
      <w:r w:rsidRPr="00EB783E">
        <w:rPr>
          <w:rFonts w:asciiTheme="minorHAnsi" w:eastAsiaTheme="minorEastAsia" w:hAnsiTheme="minorHAnsi"/>
          <w:iCs/>
          <w:sz w:val="22"/>
          <w:szCs w:val="22"/>
          <w:lang w:val="fr-CA"/>
        </w:rPr>
        <w:t>Anaérobie facultatif</w:t>
      </w:r>
    </w:p>
    <w:p w:rsidR="00E63F3F" w:rsidRPr="00EB783E" w:rsidRDefault="009C1844" w:rsidP="009C1844">
      <w:pPr>
        <w:pStyle w:val="ListParagraph"/>
        <w:numPr>
          <w:ilvl w:val="0"/>
          <w:numId w:val="2"/>
        </w:numPr>
        <w:rPr>
          <w:rFonts w:asciiTheme="minorHAnsi" w:hAnsiTheme="minorHAnsi"/>
          <w:iCs/>
          <w:sz w:val="22"/>
          <w:szCs w:val="22"/>
        </w:rPr>
      </w:pPr>
      <w:r w:rsidRPr="00EB783E">
        <w:rPr>
          <w:rFonts w:asciiTheme="minorHAnsi" w:eastAsiaTheme="minorEastAsia" w:hAnsiTheme="minorHAnsi"/>
          <w:iCs/>
          <w:sz w:val="22"/>
          <w:szCs w:val="22"/>
          <w:lang w:val="fr-CA"/>
        </w:rPr>
        <w:t>Pathogène intracellulaire</w:t>
      </w:r>
    </w:p>
    <w:p w:rsidR="00E63F3F" w:rsidRPr="00EB783E" w:rsidRDefault="00E63F3F" w:rsidP="00E63F3F">
      <w:pPr>
        <w:pStyle w:val="ListParagraph"/>
        <w:rPr>
          <w:rFonts w:asciiTheme="minorHAnsi" w:hAnsiTheme="minorHAnsi"/>
          <w:iCs/>
          <w:sz w:val="22"/>
          <w:szCs w:val="22"/>
        </w:rPr>
      </w:pPr>
    </w:p>
    <w:p w:rsidR="00000000" w:rsidRPr="00EB783E" w:rsidRDefault="009C1844" w:rsidP="00EB783E">
      <w:pPr>
        <w:spacing w:line="240" w:lineRule="auto"/>
        <w:rPr>
          <w:b/>
          <w:iCs/>
          <w:lang w:val="fr-CA"/>
        </w:rPr>
      </w:pPr>
      <w:r w:rsidRPr="00EB783E">
        <w:rPr>
          <w:b/>
          <w:iCs/>
          <w:lang w:val="fr-CA"/>
        </w:rPr>
        <w:t>Épidémi</w:t>
      </w:r>
      <w:r w:rsidRPr="00EB783E">
        <w:rPr>
          <w:b/>
          <w:iCs/>
          <w:lang w:val="fr-CA"/>
        </w:rPr>
        <w:t>ologie</w:t>
      </w:r>
    </w:p>
    <w:p w:rsidR="00000000" w:rsidRPr="00EB783E" w:rsidRDefault="009C1844" w:rsidP="009C1844">
      <w:pPr>
        <w:pStyle w:val="ListParagraph"/>
        <w:numPr>
          <w:ilvl w:val="0"/>
          <w:numId w:val="3"/>
        </w:numPr>
        <w:rPr>
          <w:rFonts w:asciiTheme="minorHAnsi" w:hAnsiTheme="minorHAnsi"/>
          <w:iCs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iCs/>
          <w:sz w:val="22"/>
          <w:szCs w:val="22"/>
          <w:lang w:val="fr-CA"/>
        </w:rPr>
        <w:t>Habitat:</w:t>
      </w:r>
    </w:p>
    <w:p w:rsidR="00000000" w:rsidRPr="00EB783E" w:rsidRDefault="009C1844" w:rsidP="009C1844">
      <w:pPr>
        <w:pStyle w:val="ListParagraph"/>
        <w:numPr>
          <w:ilvl w:val="1"/>
          <w:numId w:val="3"/>
        </w:numPr>
        <w:rPr>
          <w:rFonts w:asciiTheme="minorHAnsi" w:hAnsiTheme="minorHAnsi"/>
          <w:iCs/>
          <w:sz w:val="22"/>
          <w:szCs w:val="22"/>
          <w:lang w:val="fr-CA"/>
        </w:rPr>
      </w:pPr>
      <w:r w:rsidRPr="00EB783E">
        <w:rPr>
          <w:rFonts w:asciiTheme="minorHAnsi" w:hAnsiTheme="minorHAnsi"/>
          <w:iCs/>
          <w:sz w:val="22"/>
          <w:szCs w:val="22"/>
          <w:lang w:val="fr-CA"/>
        </w:rPr>
        <w:t>Saprophyte - sols, plantes, matière fécale</w:t>
      </w:r>
    </w:p>
    <w:p w:rsidR="00000000" w:rsidRPr="00EB783E" w:rsidRDefault="009C1844" w:rsidP="009C1844">
      <w:pPr>
        <w:pStyle w:val="ListParagraph"/>
        <w:numPr>
          <w:ilvl w:val="0"/>
          <w:numId w:val="3"/>
        </w:numPr>
        <w:rPr>
          <w:rFonts w:asciiTheme="minorHAnsi" w:hAnsiTheme="minorHAnsi"/>
          <w:iCs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iCs/>
          <w:sz w:val="22"/>
          <w:szCs w:val="22"/>
          <w:lang w:val="fr-CA"/>
        </w:rPr>
        <w:t>Transmission:</w:t>
      </w:r>
    </w:p>
    <w:p w:rsidR="00000000" w:rsidRPr="00EB783E" w:rsidRDefault="009C1844" w:rsidP="009C1844">
      <w:pPr>
        <w:pStyle w:val="ListParagraph"/>
        <w:numPr>
          <w:ilvl w:val="1"/>
          <w:numId w:val="3"/>
        </w:numPr>
        <w:rPr>
          <w:rFonts w:asciiTheme="minorHAnsi" w:hAnsiTheme="minorHAnsi"/>
          <w:iCs/>
          <w:sz w:val="22"/>
          <w:szCs w:val="22"/>
          <w:lang w:val="fr-CA"/>
        </w:rPr>
      </w:pPr>
      <w:r w:rsidRPr="00EB783E">
        <w:rPr>
          <w:rFonts w:asciiTheme="minorHAnsi" w:hAnsiTheme="minorHAnsi"/>
          <w:iCs/>
          <w:sz w:val="22"/>
          <w:szCs w:val="22"/>
          <w:lang w:val="fr-CA"/>
        </w:rPr>
        <w:t>Fécal</w:t>
      </w:r>
      <w:r w:rsidRPr="00EB783E">
        <w:rPr>
          <w:rFonts w:asciiTheme="minorHAnsi" w:hAnsiTheme="minorHAnsi"/>
          <w:iCs/>
          <w:sz w:val="22"/>
          <w:szCs w:val="22"/>
          <w:lang w:val="fr-CA"/>
        </w:rPr>
        <w:t>e-orale (aliments contaminés),</w:t>
      </w:r>
    </w:p>
    <w:p w:rsidR="00E63F3F" w:rsidRDefault="009C1844" w:rsidP="009C1844">
      <w:pPr>
        <w:pStyle w:val="ListParagraph"/>
        <w:numPr>
          <w:ilvl w:val="1"/>
          <w:numId w:val="3"/>
        </w:numPr>
        <w:rPr>
          <w:rFonts w:asciiTheme="minorHAnsi" w:hAnsiTheme="minorHAnsi"/>
          <w:iCs/>
          <w:sz w:val="22"/>
          <w:szCs w:val="22"/>
          <w:lang w:val="fr-CA"/>
        </w:rPr>
      </w:pPr>
      <w:r w:rsidRPr="00EB783E">
        <w:rPr>
          <w:rFonts w:asciiTheme="minorHAnsi" w:hAnsiTheme="minorHAnsi"/>
          <w:iCs/>
          <w:sz w:val="22"/>
          <w:szCs w:val="22"/>
          <w:lang w:val="fr-CA"/>
        </w:rPr>
        <w:t>Nouveau-n</w:t>
      </w:r>
      <w:r w:rsidRPr="00EB783E">
        <w:rPr>
          <w:rFonts w:asciiTheme="minorHAnsi" w:hAnsiTheme="minorHAnsi"/>
          <w:iCs/>
          <w:sz w:val="22"/>
          <w:szCs w:val="22"/>
          <w:lang w:val="fr-CA"/>
        </w:rPr>
        <w:t>és</w:t>
      </w:r>
      <w:r w:rsidRPr="00EB783E">
        <w:rPr>
          <w:rFonts w:asciiTheme="minorHAnsi" w:hAnsiTheme="minorHAnsi"/>
          <w:iCs/>
          <w:sz w:val="22"/>
          <w:szCs w:val="22"/>
          <w:lang w:val="fr-CA"/>
        </w:rPr>
        <w:t>: Périnatale, par voie p</w:t>
      </w:r>
      <w:r w:rsidRPr="00EB783E">
        <w:rPr>
          <w:rFonts w:asciiTheme="minorHAnsi" w:hAnsiTheme="minorHAnsi"/>
          <w:iCs/>
          <w:sz w:val="22"/>
          <w:szCs w:val="22"/>
          <w:lang w:val="fr-CA"/>
        </w:rPr>
        <w:t>lacentaire</w:t>
      </w:r>
    </w:p>
    <w:p w:rsidR="00EB783E" w:rsidRPr="00EB783E" w:rsidRDefault="00EB783E" w:rsidP="00EB783E">
      <w:pPr>
        <w:pStyle w:val="ListParagraph"/>
        <w:ind w:left="1440"/>
        <w:rPr>
          <w:rFonts w:asciiTheme="minorHAnsi" w:hAnsiTheme="minorHAnsi"/>
          <w:iCs/>
          <w:sz w:val="22"/>
          <w:szCs w:val="22"/>
          <w:lang w:val="fr-CA"/>
        </w:rPr>
      </w:pP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Manifestations cliniques</w:t>
      </w:r>
    </w:p>
    <w:p w:rsidR="00000000" w:rsidRPr="00EB783E" w:rsidRDefault="009C1844" w:rsidP="009C1844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Pathogène opportuniste:</w:t>
      </w:r>
    </w:p>
    <w:p w:rsidR="00000000" w:rsidRPr="00EB783E" w:rsidRDefault="009C1844" w:rsidP="009C1844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Personnes âgées, nouveau-nés, immunod</w:t>
      </w:r>
      <w:r w:rsidRPr="00EB783E">
        <w:rPr>
          <w:rFonts w:asciiTheme="minorHAnsi" w:hAnsiTheme="minorHAnsi"/>
          <w:sz w:val="22"/>
          <w:szCs w:val="22"/>
          <w:lang w:val="en-US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primés</w:t>
      </w:r>
    </w:p>
    <w:p w:rsidR="00000000" w:rsidRPr="00EB783E" w:rsidRDefault="009C1844" w:rsidP="009C1844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Adultes:</w:t>
      </w:r>
    </w:p>
    <w:p w:rsidR="00000000" w:rsidRPr="00EB783E" w:rsidRDefault="009C1844" w:rsidP="009C1844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Immunocomp</w:t>
      </w:r>
      <w:r w:rsidRPr="00EB783E">
        <w:rPr>
          <w:rFonts w:asciiTheme="minorHAnsi" w:hAnsiTheme="minorHAnsi"/>
          <w:sz w:val="22"/>
          <w:szCs w:val="22"/>
          <w:lang w:val="en-US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tent:</w:t>
      </w:r>
    </w:p>
    <w:p w:rsidR="00000000" w:rsidRPr="00EB783E" w:rsidRDefault="009C1844" w:rsidP="009C1844">
      <w:pPr>
        <w:pStyle w:val="ListParagraph"/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Gastro ou asymptomatique</w:t>
      </w:r>
    </w:p>
    <w:p w:rsidR="00000000" w:rsidRPr="00EB783E" w:rsidRDefault="009C1844" w:rsidP="009C1844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Les personnes à risque:</w:t>
      </w:r>
    </w:p>
    <w:p w:rsidR="00000000" w:rsidRPr="00EB783E" w:rsidRDefault="009C1844" w:rsidP="009C1844">
      <w:pPr>
        <w:pStyle w:val="ListParagraph"/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Bactériémie/se</w:t>
      </w:r>
      <w:r w:rsidRPr="00EB783E">
        <w:rPr>
          <w:rFonts w:asciiTheme="minorHAnsi" w:hAnsiTheme="minorHAnsi"/>
          <w:sz w:val="22"/>
          <w:szCs w:val="22"/>
          <w:lang w:val="fr-CA"/>
        </w:rPr>
        <w:t>pticémie, m</w:t>
      </w:r>
      <w:r w:rsidRPr="00EB783E">
        <w:rPr>
          <w:rFonts w:asciiTheme="minorHAnsi" w:hAnsiTheme="minorHAnsi"/>
          <w:sz w:val="22"/>
          <w:szCs w:val="22"/>
          <w:lang w:val="en-US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ningoenc</w:t>
      </w:r>
      <w:r w:rsidRPr="00EB783E">
        <w:rPr>
          <w:rFonts w:asciiTheme="minorHAnsi" w:hAnsiTheme="minorHAnsi"/>
          <w:sz w:val="22"/>
          <w:szCs w:val="22"/>
          <w:lang w:val="en-US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phalite</w:t>
      </w:r>
    </w:p>
    <w:p w:rsidR="00000000" w:rsidRPr="00EB783E" w:rsidRDefault="009C1844" w:rsidP="009C1844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</w:rPr>
        <w:t>Incubation: 3 jours à 8 semaines</w:t>
      </w:r>
    </w:p>
    <w:p w:rsidR="00000000" w:rsidRPr="00EB783E" w:rsidRDefault="009C1844" w:rsidP="009C1844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en-US"/>
        </w:rPr>
        <w:t>Nouveau-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nés</w:t>
      </w:r>
      <w:r w:rsidRPr="00EB783E">
        <w:rPr>
          <w:rFonts w:asciiTheme="minorHAnsi" w:eastAsiaTheme="minorEastAsia" w:hAnsiTheme="minorHAnsi"/>
          <w:sz w:val="22"/>
          <w:szCs w:val="22"/>
          <w:lang w:val="en-US"/>
        </w:rPr>
        <w:t>:</w:t>
      </w:r>
    </w:p>
    <w:p w:rsidR="00000000" w:rsidRPr="00EB783E" w:rsidRDefault="009C1844" w:rsidP="009C1844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40% des cas cliniques se voient chez les nourrissons</w:t>
      </w:r>
    </w:p>
    <w:p w:rsidR="00000000" w:rsidRPr="00EB783E" w:rsidRDefault="009C1844" w:rsidP="009C1844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Infections périnatales: avortement, mort-né</w:t>
      </w:r>
    </w:p>
    <w:p w:rsidR="00000000" w:rsidRPr="00EB783E" w:rsidRDefault="009C1844" w:rsidP="009C1844">
      <w:pPr>
        <w:pStyle w:val="ListParagraph"/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Pneumonie, encéphalite</w:t>
      </w:r>
    </w:p>
    <w:p w:rsidR="00000000" w:rsidRPr="00EB783E" w:rsidRDefault="009C1844" w:rsidP="009C1844">
      <w:pPr>
        <w:pStyle w:val="ListParagraph"/>
        <w:numPr>
          <w:ilvl w:val="2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Mortalité: &gt;60 %</w:t>
      </w:r>
    </w:p>
    <w:p w:rsidR="00000000" w:rsidRPr="00EB783E" w:rsidRDefault="009C1844" w:rsidP="009C1844">
      <w:pPr>
        <w:pStyle w:val="ListParagraph"/>
        <w:numPr>
          <w:ilvl w:val="1"/>
          <w:numId w:val="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Infections post-partum: méningite, septicémie</w:t>
      </w:r>
    </w:p>
    <w:p w:rsidR="00000000" w:rsidRPr="00EB783E" w:rsidRDefault="00445CC3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Pathog</w:t>
      </w:r>
      <w:r w:rsidRPr="00EB783E">
        <w:rPr>
          <w:b/>
          <w:lang w:val="en-US"/>
        </w:rPr>
        <w:t>é</w:t>
      </w:r>
      <w:r w:rsidRPr="00EB783E">
        <w:rPr>
          <w:b/>
          <w:lang w:val="fr-CA"/>
        </w:rPr>
        <w:t>nicité</w:t>
      </w:r>
    </w:p>
    <w:p w:rsidR="00000000" w:rsidRPr="00EB783E" w:rsidRDefault="009C1844" w:rsidP="009C1844">
      <w:pPr>
        <w:pStyle w:val="ListParagraph"/>
        <w:numPr>
          <w:ilvl w:val="0"/>
          <w:numId w:val="5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Facteurs de pathogénicité:</w:t>
      </w:r>
    </w:p>
    <w:p w:rsidR="00000000" w:rsidRPr="00EB783E" w:rsidRDefault="009C1844" w:rsidP="009C1844">
      <w:pPr>
        <w:pStyle w:val="ListParagraph"/>
        <w:numPr>
          <w:ilvl w:val="1"/>
          <w:numId w:val="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Listeriolysine O: toxine l</w:t>
      </w:r>
      <w:r w:rsidRPr="00EB783E">
        <w:rPr>
          <w:rFonts w:asciiTheme="minorHAnsi" w:hAnsiTheme="minorHAnsi"/>
          <w:sz w:val="22"/>
          <w:szCs w:val="22"/>
          <w:lang w:val="fr-CA"/>
        </w:rPr>
        <w:t>ibérée en milieu intracellulaire. Permet l’échappement de la bactérie de l’intérieure du phagosome au cytoplasme</w:t>
      </w:r>
    </w:p>
    <w:p w:rsidR="00E63F3F" w:rsidRPr="00EB783E" w:rsidRDefault="00E63F3F" w:rsidP="00E63F3F">
      <w:pPr>
        <w:spacing w:line="240" w:lineRule="auto"/>
        <w:rPr>
          <w:b/>
          <w:bCs/>
          <w:sz w:val="28"/>
          <w:szCs w:val="28"/>
          <w:lang w:val="fr-CA"/>
        </w:rPr>
      </w:pPr>
    </w:p>
    <w:p w:rsidR="00445CC3" w:rsidRPr="00EB783E" w:rsidRDefault="00445CC3" w:rsidP="00E63F3F">
      <w:pPr>
        <w:spacing w:line="240" w:lineRule="auto"/>
        <w:rPr>
          <w:b/>
          <w:bCs/>
          <w:color w:val="FFC000"/>
          <w:sz w:val="28"/>
          <w:szCs w:val="28"/>
          <w:lang w:val="fr-CA"/>
        </w:rPr>
      </w:pPr>
      <w:r w:rsidRPr="00EB783E">
        <w:rPr>
          <w:b/>
          <w:bCs/>
          <w:color w:val="FFC000"/>
          <w:sz w:val="28"/>
          <w:szCs w:val="28"/>
          <w:lang w:val="fr-CA"/>
        </w:rPr>
        <w:lastRenderedPageBreak/>
        <w:t>Les bacilles sporulés</w:t>
      </w:r>
    </w:p>
    <w:p w:rsidR="00000000" w:rsidRPr="00EB783E" w:rsidRDefault="009C1844" w:rsidP="00E63F3F">
      <w:pPr>
        <w:spacing w:line="240" w:lineRule="auto"/>
        <w:rPr>
          <w:b/>
          <w:lang w:val="fr-CA"/>
        </w:rPr>
      </w:pPr>
      <w:r w:rsidRPr="00EB783E">
        <w:rPr>
          <w:b/>
          <w:lang w:val="fr-CA"/>
        </w:rPr>
        <w:t>Spores</w:t>
      </w:r>
    </w:p>
    <w:p w:rsidR="00000000" w:rsidRPr="00EB783E" w:rsidRDefault="009C1844" w:rsidP="009C1844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Résistant aux agents chimiques, physiques et conditions environnementales défavorables</w:t>
      </w:r>
    </w:p>
    <w:p w:rsidR="00000000" w:rsidRPr="00EB783E" w:rsidRDefault="009C1844" w:rsidP="009C1844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L’endospore demeure métaboliquement inactif</w:t>
      </w:r>
    </w:p>
    <w:p w:rsidR="00000000" w:rsidRPr="00EB783E" w:rsidRDefault="009C1844" w:rsidP="009C1844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Sporulation stimulée par le manque de facteurs de croissance, épuisement d’oxygène, produit chimique, UV</w:t>
      </w:r>
    </w:p>
    <w:p w:rsidR="00000000" w:rsidRPr="00EB783E" w:rsidRDefault="009C1844" w:rsidP="009C1844">
      <w:pPr>
        <w:pStyle w:val="ListParagraph"/>
        <w:numPr>
          <w:ilvl w:val="0"/>
          <w:numId w:val="6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Le spore retient seulement l’ADN, quelques ribosomes et la membrane cytoplasmique</w:t>
      </w:r>
    </w:p>
    <w:p w:rsidR="00EB783E" w:rsidRDefault="00EB783E" w:rsidP="009C1844">
      <w:pPr>
        <w:pStyle w:val="ListParagraph"/>
        <w:numPr>
          <w:ilvl w:val="1"/>
          <w:numId w:val="6"/>
        </w:numPr>
        <w:rPr>
          <w:rFonts w:asciiTheme="minorHAnsi" w:hAnsiTheme="minorHAnsi"/>
          <w:sz w:val="22"/>
          <w:szCs w:val="22"/>
          <w:lang w:val="fr-CA"/>
        </w:rPr>
        <w:sectPr w:rsidR="00EB783E" w:rsidSect="00E63F3F">
          <w:headerReference w:type="default" r:id="rId9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EB783E" w:rsidRDefault="009C1844" w:rsidP="009C1844">
      <w:pPr>
        <w:pStyle w:val="ListParagraph"/>
        <w:numPr>
          <w:ilvl w:val="1"/>
          <w:numId w:val="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lastRenderedPageBreak/>
        <w:t>Ne peut se reproduire</w:t>
      </w:r>
    </w:p>
    <w:p w:rsidR="00000000" w:rsidRPr="00EB783E" w:rsidRDefault="009C1844" w:rsidP="009C1844">
      <w:pPr>
        <w:pStyle w:val="ListParagraph"/>
        <w:numPr>
          <w:ilvl w:val="1"/>
          <w:numId w:val="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Forme dormante de la bactérie</w:t>
      </w:r>
    </w:p>
    <w:p w:rsidR="00EB783E" w:rsidRDefault="009C1844" w:rsidP="009C1844">
      <w:pPr>
        <w:pStyle w:val="ListParagraph"/>
        <w:numPr>
          <w:ilvl w:val="1"/>
          <w:numId w:val="6"/>
        </w:numPr>
        <w:rPr>
          <w:rFonts w:asciiTheme="minorHAnsi" w:hAnsiTheme="minorHAnsi"/>
          <w:sz w:val="22"/>
          <w:szCs w:val="22"/>
          <w:lang w:val="fr-CA"/>
        </w:rPr>
        <w:sectPr w:rsidR="00EB783E" w:rsidSect="00EB783E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  <w:r w:rsidRPr="00EB783E">
        <w:rPr>
          <w:rFonts w:asciiTheme="minorHAnsi" w:hAnsiTheme="minorHAnsi"/>
          <w:sz w:val="22"/>
          <w:szCs w:val="22"/>
          <w:lang w:val="fr-CA"/>
        </w:rPr>
        <w:lastRenderedPageBreak/>
        <w:t>Propriétés résistantes et assure la longévité</w:t>
      </w:r>
    </w:p>
    <w:p w:rsidR="00000000" w:rsidRPr="00EB783E" w:rsidRDefault="009C1844" w:rsidP="00E63F3F">
      <w:pPr>
        <w:spacing w:line="240" w:lineRule="auto"/>
        <w:rPr>
          <w:b/>
          <w:i/>
        </w:rPr>
      </w:pPr>
      <w:r w:rsidRPr="00EB783E">
        <w:rPr>
          <w:b/>
          <w:i/>
          <w:iCs/>
          <w:lang w:val="en-US"/>
        </w:rPr>
        <w:lastRenderedPageBreak/>
        <w:t>Bacillus</w:t>
      </w:r>
    </w:p>
    <w:p w:rsidR="00000000" w:rsidRPr="00EB783E" w:rsidRDefault="009C1844" w:rsidP="009C1844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 xml:space="preserve">Le genre </w:t>
      </w:r>
      <w:r w:rsidRPr="00EB783E">
        <w:rPr>
          <w:rFonts w:asciiTheme="minorHAnsi" w:eastAsiaTheme="minorEastAsia" w:hAnsiTheme="minorHAnsi"/>
          <w:i/>
          <w:iCs/>
          <w:sz w:val="22"/>
          <w:szCs w:val="22"/>
          <w:lang w:val="fr-CA"/>
        </w:rPr>
        <w:t>Bacillus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 xml:space="preserve"> comprend 36 espèces</w:t>
      </w:r>
    </w:p>
    <w:p w:rsidR="00000000" w:rsidRPr="00EB783E" w:rsidRDefault="009C1844" w:rsidP="009C1844">
      <w:pPr>
        <w:pStyle w:val="ListParagraph"/>
        <w:numPr>
          <w:ilvl w:val="1"/>
          <w:numId w:val="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2 espèces d’importance médicale:</w:t>
      </w:r>
    </w:p>
    <w:p w:rsidR="00000000" w:rsidRPr="00EB783E" w:rsidRDefault="009C1844" w:rsidP="009C1844">
      <w:pPr>
        <w:pStyle w:val="ListParagraph"/>
        <w:numPr>
          <w:ilvl w:val="2"/>
          <w:numId w:val="7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 xml:space="preserve">B. cereus: </w:t>
      </w:r>
      <w:r w:rsidRPr="00EB783E">
        <w:rPr>
          <w:rFonts w:asciiTheme="minorHAnsi" w:hAnsiTheme="minorHAnsi"/>
          <w:sz w:val="22"/>
          <w:szCs w:val="22"/>
          <w:lang w:val="fr-CA"/>
        </w:rPr>
        <w:t>intoxication alimentaire, endophtalmie, opportuniste</w:t>
      </w:r>
    </w:p>
    <w:p w:rsidR="00000000" w:rsidRPr="00EB783E" w:rsidRDefault="009C1844" w:rsidP="009C1844">
      <w:pPr>
        <w:pStyle w:val="ListParagraph"/>
        <w:numPr>
          <w:ilvl w:val="2"/>
          <w:numId w:val="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 xml:space="preserve">B. anthracis: </w:t>
      </w:r>
      <w:r w:rsidRPr="00EB783E">
        <w:rPr>
          <w:rFonts w:asciiTheme="minorHAnsi" w:hAnsiTheme="minorHAnsi"/>
          <w:sz w:val="22"/>
          <w:szCs w:val="22"/>
          <w:lang w:val="fr-CA"/>
        </w:rPr>
        <w:t>Maladie d</w:t>
      </w:r>
      <w:r w:rsidRPr="00EB783E">
        <w:rPr>
          <w:rFonts w:asciiTheme="minorHAnsi" w:hAnsiTheme="minorHAnsi"/>
          <w:sz w:val="22"/>
          <w:szCs w:val="22"/>
          <w:lang w:val="fr-CA"/>
        </w:rPr>
        <w:t>u Charbon</w:t>
      </w:r>
    </w:p>
    <w:p w:rsidR="00000000" w:rsidRPr="00EB783E" w:rsidRDefault="009C1844" w:rsidP="009C1844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Réservoir principal: sol, eau salée et douce</w:t>
      </w:r>
    </w:p>
    <w:p w:rsidR="00000000" w:rsidRPr="00EB783E" w:rsidRDefault="009C1844" w:rsidP="009C1844">
      <w:pPr>
        <w:pStyle w:val="ListParagraph"/>
        <w:numPr>
          <w:ilvl w:val="1"/>
          <w:numId w:val="7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 xml:space="preserve">Certaines espèces non pathogéniques sont aussi des commensales de la </w:t>
      </w:r>
      <w:r w:rsidRPr="00EB783E">
        <w:rPr>
          <w:rFonts w:asciiTheme="minorHAnsi" w:hAnsiTheme="minorHAnsi"/>
          <w:sz w:val="22"/>
          <w:szCs w:val="22"/>
          <w:lang w:val="fr-CA"/>
        </w:rPr>
        <w:t>peau</w:t>
      </w:r>
    </w:p>
    <w:p w:rsidR="00E63F3F" w:rsidRPr="00EB783E" w:rsidRDefault="00E63F3F" w:rsidP="00E63F3F">
      <w:pPr>
        <w:spacing w:line="240" w:lineRule="auto"/>
        <w:rPr>
          <w:b/>
          <w:sz w:val="28"/>
          <w:szCs w:val="28"/>
          <w:lang w:val="en-US"/>
        </w:rPr>
      </w:pPr>
    </w:p>
    <w:p w:rsidR="00445CC3" w:rsidRPr="00EB783E" w:rsidRDefault="00445CC3" w:rsidP="00E63F3F">
      <w:pPr>
        <w:spacing w:line="240" w:lineRule="auto"/>
        <w:rPr>
          <w:b/>
          <w:color w:val="FFFF00"/>
          <w:sz w:val="28"/>
          <w:szCs w:val="28"/>
        </w:rPr>
      </w:pPr>
      <w:r w:rsidRPr="00EB783E">
        <w:rPr>
          <w:b/>
          <w:color w:val="FFFF00"/>
          <w:sz w:val="28"/>
          <w:szCs w:val="28"/>
          <w:lang w:val="en-US"/>
        </w:rPr>
        <w:t>Bacilles Sporulés Anaérobies</w:t>
      </w:r>
      <w:r w:rsidR="001F42FE" w:rsidRPr="00EB783E">
        <w:rPr>
          <w:b/>
          <w:color w:val="FFFF00"/>
          <w:sz w:val="28"/>
          <w:szCs w:val="28"/>
          <w:lang w:val="en-US"/>
        </w:rPr>
        <w:t xml:space="preserve">: </w:t>
      </w:r>
      <w:r w:rsidR="001F42FE" w:rsidRPr="00EB783E">
        <w:rPr>
          <w:b/>
          <w:i/>
          <w:iCs/>
          <w:color w:val="FFFF00"/>
          <w:sz w:val="28"/>
          <w:szCs w:val="28"/>
          <w:lang w:val="en-US"/>
        </w:rPr>
        <w:t>Clostridium</w:t>
      </w:r>
    </w:p>
    <w:p w:rsidR="00000000" w:rsidRPr="00EB783E" w:rsidRDefault="009C1844" w:rsidP="009C1844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Habitat:</w:t>
      </w:r>
    </w:p>
    <w:p w:rsidR="00EB783E" w:rsidRDefault="00EB783E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  <w:lang w:val="fr-CA"/>
        </w:rPr>
        <w:sectPr w:rsidR="00EB783E" w:rsidSect="00EB783E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EB783E" w:rsidRDefault="009C1844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lastRenderedPageBreak/>
        <w:t>Sols, eau, plantes</w:t>
      </w:r>
    </w:p>
    <w:p w:rsidR="00000000" w:rsidRPr="00EB783E" w:rsidRDefault="009C1844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Certaines espèces sont membres</w:t>
      </w:r>
      <w:r w:rsidRPr="00EB783E">
        <w:rPr>
          <w:rFonts w:asciiTheme="minorHAnsi" w:hAnsiTheme="minorHAnsi"/>
          <w:sz w:val="22"/>
          <w:szCs w:val="22"/>
          <w:lang w:val="fr-CA"/>
        </w:rPr>
        <w:t xml:space="preserve"> de la flore normale du tractus digestif</w:t>
      </w:r>
    </w:p>
    <w:p w:rsidR="00000000" w:rsidRPr="00EB783E" w:rsidRDefault="009C1844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Certains sont des pathogènes humains</w:t>
      </w:r>
    </w:p>
    <w:p w:rsidR="00000000" w:rsidRPr="00EB783E" w:rsidRDefault="009C1844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In</w:t>
      </w:r>
      <w:r w:rsidR="00EB783E" w:rsidRPr="00EB783E">
        <w:rPr>
          <w:rFonts w:asciiTheme="minorHAnsi" w:hAnsiTheme="minorHAnsi"/>
          <w:sz w:val="22"/>
          <w:szCs w:val="22"/>
          <w:lang w:val="fr-CA"/>
        </w:rPr>
        <w:t>toxication, infections de plaie</w:t>
      </w:r>
    </w:p>
    <w:p w:rsidR="00000000" w:rsidRPr="00EB783E" w:rsidRDefault="009C1844" w:rsidP="009C1844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Plusieurs espèces sont des pathogènes humains</w:t>
      </w:r>
    </w:p>
    <w:p w:rsidR="00000000" w:rsidRPr="00EB783E" w:rsidRDefault="009C1844" w:rsidP="009C1844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Parmi les plus importants:</w:t>
      </w:r>
    </w:p>
    <w:p w:rsidR="00EB783E" w:rsidRDefault="00EB783E" w:rsidP="009C1844">
      <w:pPr>
        <w:pStyle w:val="ListParagraph"/>
        <w:numPr>
          <w:ilvl w:val="1"/>
          <w:numId w:val="8"/>
        </w:numPr>
        <w:rPr>
          <w:rFonts w:asciiTheme="minorHAnsi" w:hAnsiTheme="minorHAnsi"/>
          <w:i/>
          <w:iCs/>
          <w:sz w:val="22"/>
          <w:szCs w:val="22"/>
          <w:lang w:val="fr-CA"/>
        </w:rPr>
        <w:sectPr w:rsidR="00EB783E" w:rsidSect="00EB783E">
          <w:type w:val="continuous"/>
          <w:pgSz w:w="12240" w:h="15840"/>
          <w:pgMar w:top="1276" w:right="669" w:bottom="680" w:left="669" w:header="708" w:footer="708" w:gutter="0"/>
          <w:cols w:space="708"/>
          <w:docGrid w:linePitch="360"/>
        </w:sectPr>
      </w:pPr>
    </w:p>
    <w:p w:rsidR="00000000" w:rsidRPr="00EB783E" w:rsidRDefault="009C1844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lastRenderedPageBreak/>
        <w:t>C. tetani</w:t>
      </w:r>
    </w:p>
    <w:p w:rsidR="00000000" w:rsidRPr="00EB783E" w:rsidRDefault="009C1844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>C. perfringens</w:t>
      </w:r>
    </w:p>
    <w:p w:rsidR="00000000" w:rsidRPr="00EB783E" w:rsidRDefault="009C1844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lastRenderedPageBreak/>
        <w:t>C. difficile</w:t>
      </w:r>
    </w:p>
    <w:p w:rsidR="00000000" w:rsidRPr="00EB783E" w:rsidRDefault="009C1844" w:rsidP="009C1844">
      <w:pPr>
        <w:pStyle w:val="ListParagraph"/>
        <w:numPr>
          <w:ilvl w:val="1"/>
          <w:numId w:val="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>C. botulinum</w:t>
      </w:r>
    </w:p>
    <w:p w:rsidR="00EB783E" w:rsidRDefault="00EB783E" w:rsidP="00E63F3F">
      <w:pPr>
        <w:spacing w:line="240" w:lineRule="auto"/>
        <w:rPr>
          <w:b/>
          <w:iCs/>
          <w:sz w:val="28"/>
          <w:szCs w:val="28"/>
          <w:lang w:val="en-US"/>
        </w:rPr>
        <w:sectPr w:rsidR="00EB783E" w:rsidSect="00EB783E">
          <w:type w:val="continuous"/>
          <w:pgSz w:w="12240" w:h="15840"/>
          <w:pgMar w:top="1276" w:right="669" w:bottom="680" w:left="669" w:header="708" w:footer="708" w:gutter="0"/>
          <w:cols w:num="2" w:space="708"/>
          <w:docGrid w:linePitch="360"/>
        </w:sectPr>
      </w:pPr>
    </w:p>
    <w:p w:rsidR="00EB783E" w:rsidRDefault="00EB783E" w:rsidP="00E63F3F">
      <w:pPr>
        <w:spacing w:line="240" w:lineRule="auto"/>
        <w:rPr>
          <w:b/>
          <w:iCs/>
          <w:sz w:val="28"/>
          <w:szCs w:val="28"/>
          <w:lang w:val="en-US"/>
        </w:rPr>
      </w:pPr>
    </w:p>
    <w:p w:rsidR="00EB783E" w:rsidRDefault="001F42FE" w:rsidP="00E63F3F">
      <w:pPr>
        <w:spacing w:line="240" w:lineRule="auto"/>
        <w:rPr>
          <w:b/>
          <w:iCs/>
          <w:color w:val="00B050"/>
          <w:sz w:val="28"/>
          <w:szCs w:val="28"/>
          <w:lang w:val="en-US"/>
        </w:rPr>
      </w:pPr>
      <w:r w:rsidRPr="00EB783E">
        <w:rPr>
          <w:b/>
          <w:iCs/>
          <w:color w:val="00B050"/>
          <w:sz w:val="28"/>
          <w:szCs w:val="28"/>
          <w:lang w:val="en-US"/>
        </w:rPr>
        <w:t>Clostridium tetani</w:t>
      </w:r>
    </w:p>
    <w:p w:rsidR="00000000" w:rsidRPr="00EB783E" w:rsidRDefault="009C1844" w:rsidP="00E63F3F">
      <w:pPr>
        <w:spacing w:line="240" w:lineRule="auto"/>
        <w:rPr>
          <w:b/>
          <w:iCs/>
          <w:color w:val="00B050"/>
          <w:sz w:val="28"/>
          <w:szCs w:val="28"/>
          <w:lang w:val="en-US"/>
        </w:rPr>
      </w:pPr>
      <w:r w:rsidRPr="00EB783E">
        <w:rPr>
          <w:b/>
          <w:lang w:val="fr-CA"/>
        </w:rPr>
        <w:t>Habitat</w:t>
      </w:r>
    </w:p>
    <w:p w:rsidR="00000000" w:rsidRPr="00EB783E" w:rsidRDefault="009C1844" w:rsidP="009C1844">
      <w:pPr>
        <w:pStyle w:val="ListParagraph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Répartition géographique mondiale</w:t>
      </w:r>
    </w:p>
    <w:p w:rsidR="00000000" w:rsidRPr="00EB783E" w:rsidRDefault="009C1844" w:rsidP="009C1844">
      <w:pPr>
        <w:pStyle w:val="ListParagraph"/>
        <w:numPr>
          <w:ilvl w:val="0"/>
          <w:numId w:val="9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Présent dans le sol, la poussière, le tractus digestif de certains animaux …</w:t>
      </w:r>
    </w:p>
    <w:p w:rsidR="00000000" w:rsidRPr="00EB783E" w:rsidRDefault="009C1844" w:rsidP="009C1844">
      <w:pPr>
        <w:pStyle w:val="ListParagraph"/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Contamination d’objets inanimés</w:t>
      </w:r>
    </w:p>
    <w:p w:rsidR="00000000" w:rsidRPr="00EB783E" w:rsidRDefault="009C1844" w:rsidP="009C1844">
      <w:pPr>
        <w:pStyle w:val="ListParagraph"/>
        <w:numPr>
          <w:ilvl w:val="0"/>
          <w:numId w:val="9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Tétanos survient après l’introduction de spores dans une plaie – piqûre, blessure, chirurgie, toxicomane</w:t>
      </w:r>
    </w:p>
    <w:p w:rsidR="00000000" w:rsidRPr="00EB783E" w:rsidRDefault="009C1844" w:rsidP="009C1844">
      <w:pPr>
        <w:pStyle w:val="ListParagraph"/>
        <w:numPr>
          <w:ilvl w:val="1"/>
          <w:numId w:val="9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T</w:t>
      </w:r>
      <w:r w:rsidRPr="00EB783E">
        <w:rPr>
          <w:rFonts w:asciiTheme="minorHAnsi" w:hAnsiTheme="minorHAnsi"/>
          <w:sz w:val="22"/>
          <w:szCs w:val="22"/>
          <w:lang w:val="fr-CA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tanospasmine: Neurotoxine responsable pour les symptômes du tétanos</w:t>
      </w: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Pathogenèse</w:t>
      </w:r>
    </w:p>
    <w:p w:rsidR="00000000" w:rsidRPr="00EB783E" w:rsidRDefault="009C1844" w:rsidP="009C1844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Toxine se fixe sur les terminaisons nerveuses et subit une endocytose</w:t>
      </w:r>
    </w:p>
    <w:p w:rsidR="00000000" w:rsidRPr="00EB783E" w:rsidRDefault="009C1844" w:rsidP="009C1844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Transport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é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e par voie rétrograde le long des axones des nerfs à la moelle ou le cerveau</w:t>
      </w:r>
    </w:p>
    <w:p w:rsidR="00000000" w:rsidRPr="00EB783E" w:rsidRDefault="009C1844" w:rsidP="009C1844">
      <w:pPr>
        <w:pStyle w:val="ListParagraph"/>
        <w:numPr>
          <w:ilvl w:val="0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Libérée dans l’espace synap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tique entre les motoneurones et les interneurones</w:t>
      </w:r>
    </w:p>
    <w:p w:rsidR="00000000" w:rsidRPr="00EB783E" w:rsidRDefault="009C1844" w:rsidP="009C1844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Entre à l’intérieure des interneurones inhibitrices et inhibe la libération des neuromédiateurs – acid aminobutyrique gamma, glycine</w:t>
      </w:r>
    </w:p>
    <w:p w:rsidR="00000000" w:rsidRPr="00EB783E" w:rsidRDefault="009C1844" w:rsidP="009C1844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Les motoneurones deviennent hyperexcitables</w:t>
      </w:r>
    </w:p>
    <w:p w:rsidR="00000000" w:rsidRPr="00EB783E" w:rsidRDefault="009C1844" w:rsidP="009C1844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Les muscles fléchisseurs ne sont plus opposés ce qui conduit aux spasmes musculaires</w:t>
      </w:r>
    </w:p>
    <w:p w:rsidR="001F42FE" w:rsidRPr="00EB783E" w:rsidRDefault="001F42FE" w:rsidP="00E63F3F">
      <w:pPr>
        <w:spacing w:line="240" w:lineRule="auto"/>
        <w:rPr>
          <w:b/>
          <w:lang w:val="en-US"/>
        </w:rPr>
      </w:pPr>
      <w:r w:rsidRPr="00EB783E">
        <w:rPr>
          <w:b/>
          <w:lang w:val="en-US"/>
        </w:rPr>
        <w:lastRenderedPageBreak/>
        <w:t>Tetanos</w:t>
      </w:r>
    </w:p>
    <w:p w:rsidR="001F42FE" w:rsidRPr="00EB783E" w:rsidRDefault="001F42FE" w:rsidP="00E63F3F">
      <w:pPr>
        <w:spacing w:line="240" w:lineRule="auto"/>
        <w:rPr>
          <w:noProof/>
          <w:lang w:eastAsia="en-CA"/>
        </w:rPr>
      </w:pPr>
      <w:r w:rsidRPr="00EB783E"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6F71EE66" wp14:editId="00D3A51C">
            <wp:simplePos x="0" y="0"/>
            <wp:positionH relativeFrom="column">
              <wp:posOffset>-149225</wp:posOffset>
            </wp:positionH>
            <wp:positionV relativeFrom="paragraph">
              <wp:posOffset>67945</wp:posOffset>
            </wp:positionV>
            <wp:extent cx="3827145" cy="2258060"/>
            <wp:effectExtent l="0" t="0" r="1905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09" t="39173" r="21043" b="19108"/>
                    <a:stretch/>
                  </pic:blipFill>
                  <pic:spPr bwMode="auto">
                    <a:xfrm>
                      <a:off x="0" y="0"/>
                      <a:ext cx="3827145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42FE" w:rsidRPr="00EB783E" w:rsidRDefault="001F42FE" w:rsidP="00E63F3F">
      <w:pPr>
        <w:spacing w:line="240" w:lineRule="auto"/>
        <w:rPr>
          <w:lang w:val="fr-CA"/>
        </w:rPr>
      </w:pPr>
    </w:p>
    <w:p w:rsidR="001F42FE" w:rsidRPr="00EB783E" w:rsidRDefault="001F42FE" w:rsidP="00E63F3F">
      <w:pPr>
        <w:spacing w:line="240" w:lineRule="auto"/>
        <w:rPr>
          <w:lang w:val="fr-CA"/>
        </w:rPr>
      </w:pPr>
    </w:p>
    <w:p w:rsidR="001F42FE" w:rsidRPr="00EB783E" w:rsidRDefault="001F42FE" w:rsidP="00E63F3F">
      <w:pPr>
        <w:spacing w:line="240" w:lineRule="auto"/>
        <w:rPr>
          <w:lang w:val="fr-CA"/>
        </w:rPr>
      </w:pPr>
    </w:p>
    <w:p w:rsidR="001F42FE" w:rsidRPr="00EB783E" w:rsidRDefault="001F42FE" w:rsidP="00E63F3F">
      <w:pPr>
        <w:spacing w:line="240" w:lineRule="auto"/>
        <w:rPr>
          <w:lang w:val="fr-CA"/>
        </w:rPr>
      </w:pPr>
    </w:p>
    <w:p w:rsidR="001F42FE" w:rsidRPr="00EB783E" w:rsidRDefault="001F42FE" w:rsidP="00E63F3F">
      <w:pPr>
        <w:spacing w:line="240" w:lineRule="auto"/>
        <w:rPr>
          <w:lang w:val="fr-CA"/>
        </w:rPr>
      </w:pPr>
    </w:p>
    <w:p w:rsidR="001F42FE" w:rsidRPr="00EB783E" w:rsidRDefault="001F42FE" w:rsidP="00E63F3F">
      <w:pPr>
        <w:spacing w:line="240" w:lineRule="auto"/>
        <w:rPr>
          <w:lang w:val="fr-CA"/>
        </w:rPr>
      </w:pPr>
    </w:p>
    <w:p w:rsidR="001F42FE" w:rsidRPr="00EB783E" w:rsidRDefault="001F42FE" w:rsidP="00E63F3F">
      <w:pPr>
        <w:spacing w:line="240" w:lineRule="auto"/>
        <w:rPr>
          <w:lang w:val="fr-CA"/>
        </w:rPr>
      </w:pP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Traitement</w:t>
      </w:r>
    </w:p>
    <w:p w:rsidR="00000000" w:rsidRPr="00EB783E" w:rsidRDefault="009C1844" w:rsidP="009C1844">
      <w:pPr>
        <w:pStyle w:val="ListParagraph"/>
        <w:numPr>
          <w:ilvl w:val="0"/>
          <w:numId w:val="1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Prophylaxie: Vaccination</w:t>
      </w:r>
    </w:p>
    <w:p w:rsidR="00000000" w:rsidRPr="00EB783E" w:rsidRDefault="009C1844" w:rsidP="009C1844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Toxine traitée au formol conserve ses propriétés antigéniques mais perd sa toxicité</w:t>
      </w:r>
    </w:p>
    <w:p w:rsidR="00000000" w:rsidRPr="00EB783E" w:rsidRDefault="009C1844" w:rsidP="009C1844">
      <w:pPr>
        <w:pStyle w:val="ListParagraph"/>
        <w:numPr>
          <w:ilvl w:val="0"/>
          <w:numId w:val="1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Sérums anti-tétaniques:</w:t>
      </w:r>
    </w:p>
    <w:p w:rsidR="00000000" w:rsidRPr="00EB783E" w:rsidRDefault="009C1844" w:rsidP="009C1844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Prophylaxie et traitement</w:t>
      </w:r>
    </w:p>
    <w:p w:rsidR="00000000" w:rsidRPr="00EB783E" w:rsidRDefault="009C1844" w:rsidP="009C1844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Limité à cause de réaction allergique</w:t>
      </w:r>
    </w:p>
    <w:p w:rsidR="00000000" w:rsidRPr="00EB783E" w:rsidRDefault="009C1844" w:rsidP="009C1844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Traitement moderne:</w:t>
      </w:r>
    </w:p>
    <w:p w:rsidR="00000000" w:rsidRPr="00EB783E" w:rsidRDefault="009C1844" w:rsidP="009C1844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Réanimation médicale: sédation, ventilation</w:t>
      </w:r>
    </w:p>
    <w:p w:rsidR="00E63F3F" w:rsidRPr="00EB783E" w:rsidRDefault="00E63F3F" w:rsidP="00E63F3F">
      <w:pPr>
        <w:spacing w:line="240" w:lineRule="auto"/>
        <w:rPr>
          <w:b/>
          <w:iCs/>
          <w:sz w:val="28"/>
          <w:szCs w:val="28"/>
          <w:lang w:val="en-US"/>
        </w:rPr>
      </w:pPr>
    </w:p>
    <w:p w:rsidR="001F42FE" w:rsidRPr="00EB783E" w:rsidRDefault="001F42FE" w:rsidP="00E63F3F">
      <w:pPr>
        <w:spacing w:line="240" w:lineRule="auto"/>
        <w:rPr>
          <w:b/>
          <w:iCs/>
          <w:color w:val="00B0F0"/>
          <w:sz w:val="28"/>
          <w:szCs w:val="28"/>
          <w:lang w:val="en-US"/>
        </w:rPr>
      </w:pPr>
      <w:r w:rsidRPr="00EB783E">
        <w:rPr>
          <w:b/>
          <w:iCs/>
          <w:color w:val="00B0F0"/>
          <w:sz w:val="28"/>
          <w:szCs w:val="28"/>
          <w:lang w:val="en-US"/>
        </w:rPr>
        <w:t>Clostridium perfringens</w:t>
      </w:r>
    </w:p>
    <w:p w:rsidR="00000000" w:rsidRPr="00EB783E" w:rsidRDefault="009C1844" w:rsidP="009C1844">
      <w:pPr>
        <w:pStyle w:val="ListParagraph"/>
        <w:numPr>
          <w:ilvl w:val="0"/>
          <w:numId w:val="12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Bacille Gram positif sporulant, anaérobie stricte.</w:t>
      </w:r>
    </w:p>
    <w:p w:rsidR="00000000" w:rsidRPr="00EB783E" w:rsidRDefault="009C1844" w:rsidP="009C1844">
      <w:pPr>
        <w:pStyle w:val="ListParagraph"/>
        <w:numPr>
          <w:ilvl w:val="1"/>
          <w:numId w:val="12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Plusieurs types, le plus important: type A</w:t>
      </w:r>
    </w:p>
    <w:p w:rsidR="00000000" w:rsidRPr="00EB783E" w:rsidRDefault="009C1844" w:rsidP="009C1844">
      <w:pPr>
        <w:pStyle w:val="ListParagraph"/>
        <w:numPr>
          <w:ilvl w:val="0"/>
          <w:numId w:val="12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Souche de type A:</w:t>
      </w:r>
    </w:p>
    <w:p w:rsidR="00000000" w:rsidRPr="00EB783E" w:rsidRDefault="009C1844" w:rsidP="009C1844">
      <w:pPr>
        <w:pStyle w:val="ListParagraph"/>
        <w:numPr>
          <w:ilvl w:val="1"/>
          <w:numId w:val="12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Intoxication alimentaire</w:t>
      </w:r>
    </w:p>
    <w:p w:rsidR="00000000" w:rsidRPr="00EB783E" w:rsidRDefault="009C1844" w:rsidP="009C1844">
      <w:pPr>
        <w:pStyle w:val="ListParagraph"/>
        <w:numPr>
          <w:ilvl w:val="1"/>
          <w:numId w:val="12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Contamination de plaie: Myonécrose (gangrène gazeuse)</w:t>
      </w:r>
    </w:p>
    <w:p w:rsidR="00000000" w:rsidRPr="00EB783E" w:rsidRDefault="009C1844" w:rsidP="009C1844">
      <w:pPr>
        <w:pStyle w:val="ListParagraph"/>
        <w:numPr>
          <w:ilvl w:val="1"/>
          <w:numId w:val="12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Produit plusieurs toxines</w:t>
      </w:r>
    </w:p>
    <w:p w:rsidR="00000000" w:rsidRPr="00EB783E" w:rsidRDefault="009C1844" w:rsidP="009C1844">
      <w:pPr>
        <w:pStyle w:val="ListParagraph"/>
        <w:numPr>
          <w:ilvl w:val="0"/>
          <w:numId w:val="12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Souche de type C peut aussi produire une entérite nécrosante</w:t>
      </w:r>
    </w:p>
    <w:p w:rsidR="00000000" w:rsidRPr="00EB783E" w:rsidRDefault="009C1844" w:rsidP="009C1844">
      <w:pPr>
        <w:pStyle w:val="ListParagraph"/>
        <w:numPr>
          <w:ilvl w:val="1"/>
          <w:numId w:val="12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Des diarrhées, douleurs abdominales allant jusqu’à provoquer la gangrène de l’intestin</w:t>
      </w: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Diarrhée Infectieuse</w:t>
      </w:r>
    </w:p>
    <w:p w:rsidR="00000000" w:rsidRPr="00EB783E" w:rsidRDefault="009C1844" w:rsidP="009C1844">
      <w:pPr>
        <w:pStyle w:val="ListParagraph"/>
        <w:numPr>
          <w:ilvl w:val="0"/>
          <w:numId w:val="13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Caractérisée par une colique soudaine avec diarrhée</w:t>
      </w:r>
    </w:p>
    <w:p w:rsidR="00000000" w:rsidRPr="00EB783E" w:rsidRDefault="009C1844" w:rsidP="009C1844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Nausées, vomissements et fièvre largement absente</w:t>
      </w:r>
    </w:p>
    <w:p w:rsidR="00000000" w:rsidRPr="00EB783E" w:rsidRDefault="009C1844" w:rsidP="009C1844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</w:rPr>
        <w:t>Entérotoxine</w:t>
      </w:r>
    </w:p>
    <w:p w:rsidR="00000000" w:rsidRPr="00EB783E" w:rsidRDefault="009C1844" w:rsidP="009C1844">
      <w:pPr>
        <w:pStyle w:val="ListParagraph"/>
        <w:numPr>
          <w:ilvl w:val="0"/>
          <w:numId w:val="13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Transmission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:</w:t>
      </w:r>
    </w:p>
    <w:p w:rsidR="00000000" w:rsidRPr="00EB783E" w:rsidRDefault="009C1844" w:rsidP="009C1844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Ing</w:t>
      </w:r>
      <w:r w:rsidRPr="00EB783E">
        <w:rPr>
          <w:rFonts w:asciiTheme="minorHAnsi" w:hAnsiTheme="minorHAnsi"/>
          <w:sz w:val="22"/>
          <w:szCs w:val="22"/>
          <w:lang w:val="fr-CA"/>
        </w:rPr>
        <w:t>estion d’aliments contaminés par le sol ou matière fécale</w:t>
      </w:r>
    </w:p>
    <w:p w:rsidR="00000000" w:rsidRPr="00EB783E" w:rsidRDefault="009C1844" w:rsidP="009C1844">
      <w:pPr>
        <w:pStyle w:val="ListParagraph"/>
        <w:numPr>
          <w:ilvl w:val="1"/>
          <w:numId w:val="13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Multiplication et libération d’entérotoxines</w:t>
      </w:r>
    </w:p>
    <w:p w:rsidR="00000000" w:rsidRPr="00EB783E" w:rsidRDefault="009C1844" w:rsidP="009C1844">
      <w:pPr>
        <w:pStyle w:val="ListParagraph"/>
        <w:numPr>
          <w:ilvl w:val="0"/>
          <w:numId w:val="13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Incubation: 6 à 24 hres a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vec une durée de 24 hres ou moins, rarement fatal</w:t>
      </w: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en-US"/>
        </w:rPr>
        <w:t>Myonécrose</w:t>
      </w:r>
    </w:p>
    <w:p w:rsidR="00000000" w:rsidRPr="00EB783E" w:rsidRDefault="009C1844" w:rsidP="009C1844">
      <w:pPr>
        <w:pStyle w:val="ListParagraph"/>
        <w:numPr>
          <w:ilvl w:val="0"/>
          <w:numId w:val="14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Un traumatisme aux tissus permet l’introduction de l’organisme</w:t>
      </w:r>
    </w:p>
    <w:p w:rsidR="00000000" w:rsidRPr="00EB783E" w:rsidRDefault="009C1844" w:rsidP="009C1844">
      <w:pPr>
        <w:pStyle w:val="ListParagraph"/>
        <w:numPr>
          <w:ilvl w:val="0"/>
          <w:numId w:val="14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La cellule végétative libère plusieurs différentes toxin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es</w:t>
      </w:r>
    </w:p>
    <w:p w:rsidR="00000000" w:rsidRPr="00EB783E" w:rsidRDefault="009C1844" w:rsidP="009C1844">
      <w:pPr>
        <w:pStyle w:val="ListParagraph"/>
        <w:numPr>
          <w:ilvl w:val="1"/>
          <w:numId w:val="14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Phospholipase C retient le rôle intégral au développement de la gangr</w:t>
      </w:r>
      <w:r w:rsidRPr="00EB783E">
        <w:rPr>
          <w:rFonts w:asciiTheme="minorHAnsi" w:hAnsiTheme="minorHAnsi"/>
          <w:sz w:val="22"/>
          <w:szCs w:val="22"/>
          <w:lang w:val="fr-CA"/>
        </w:rPr>
        <w:t>è</w:t>
      </w:r>
      <w:r w:rsidRPr="00EB783E">
        <w:rPr>
          <w:rFonts w:asciiTheme="minorHAnsi" w:hAnsiTheme="minorHAnsi"/>
          <w:sz w:val="22"/>
          <w:szCs w:val="22"/>
          <w:lang w:val="fr-CA"/>
        </w:rPr>
        <w:t>ne gazeuse</w:t>
      </w:r>
    </w:p>
    <w:p w:rsidR="00E63F3F" w:rsidRPr="00EB783E" w:rsidRDefault="00E63F3F" w:rsidP="00E63F3F">
      <w:pPr>
        <w:spacing w:line="240" w:lineRule="auto"/>
        <w:rPr>
          <w:b/>
          <w:lang w:val="fr-CA"/>
        </w:rPr>
      </w:pP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lastRenderedPageBreak/>
        <w:t>Facteurs de Virulences</w:t>
      </w:r>
    </w:p>
    <w:p w:rsidR="00000000" w:rsidRPr="00EB783E" w:rsidRDefault="009C1844" w:rsidP="009C1844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Phospholipase C (toxine alpha):</w:t>
      </w:r>
    </w:p>
    <w:p w:rsidR="00000000" w:rsidRPr="00EB783E" w:rsidRDefault="009C1844" w:rsidP="009C1844">
      <w:pPr>
        <w:pStyle w:val="ListParagraph"/>
        <w:numPr>
          <w:ilvl w:val="1"/>
          <w:numId w:val="1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Digère la lécithine – détruit le tissu</w:t>
      </w:r>
    </w:p>
    <w:p w:rsidR="00000000" w:rsidRPr="00EB783E" w:rsidRDefault="009C1844" w:rsidP="009C1844">
      <w:pPr>
        <w:pStyle w:val="ListParagraph"/>
        <w:numPr>
          <w:ilvl w:val="1"/>
          <w:numId w:val="1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Affecte aussi les leucocytes et plaquettes</w:t>
      </w:r>
    </w:p>
    <w:p w:rsidR="00000000" w:rsidRPr="00EB783E" w:rsidRDefault="009C1844" w:rsidP="009C1844">
      <w:pPr>
        <w:pStyle w:val="ListParagraph"/>
        <w:numPr>
          <w:ilvl w:val="1"/>
          <w:numId w:val="1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Peut agir seule ou en association avec d’autres toxines</w:t>
      </w:r>
    </w:p>
    <w:p w:rsidR="00000000" w:rsidRPr="00EB783E" w:rsidRDefault="009C1844" w:rsidP="009C1844">
      <w:pPr>
        <w:pStyle w:val="ListParagraph"/>
        <w:numPr>
          <w:ilvl w:val="1"/>
          <w:numId w:val="1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Certains produits lib</w:t>
      </w:r>
      <w:r w:rsidRPr="00EB783E">
        <w:rPr>
          <w:rFonts w:asciiTheme="minorHAnsi" w:hAnsiTheme="minorHAnsi"/>
          <w:sz w:val="22"/>
          <w:szCs w:val="22"/>
          <w:lang w:val="fr-CA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r</w:t>
      </w:r>
      <w:r w:rsidRPr="00EB783E">
        <w:rPr>
          <w:rFonts w:asciiTheme="minorHAnsi" w:hAnsiTheme="minorHAnsi"/>
          <w:sz w:val="22"/>
          <w:szCs w:val="22"/>
          <w:lang w:val="fr-CA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s par la nécrose sont gazeux et provoquent la dissection des tissus - crépitement</w:t>
      </w: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Traitement</w:t>
      </w:r>
    </w:p>
    <w:p w:rsidR="00000000" w:rsidRPr="00EB783E" w:rsidRDefault="009C1844" w:rsidP="009C1844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Débridement, drainage, amputation</w:t>
      </w:r>
    </w:p>
    <w:p w:rsidR="00000000" w:rsidRPr="00EB783E" w:rsidRDefault="009C1844" w:rsidP="009C1844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Abx: Pénicilline ou autres β-lactamines</w:t>
      </w:r>
    </w:p>
    <w:p w:rsidR="00000000" w:rsidRPr="00EB783E" w:rsidRDefault="009C1844" w:rsidP="009C1844">
      <w:pPr>
        <w:pStyle w:val="ListParagraph"/>
        <w:numPr>
          <w:ilvl w:val="0"/>
          <w:numId w:val="1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La vascularisation est perturbée par la nécrose du tissu réduisant la pénétration des Abx.</w:t>
      </w:r>
    </w:p>
    <w:p w:rsidR="00E63F3F" w:rsidRPr="00EB783E" w:rsidRDefault="00E63F3F" w:rsidP="00E63F3F">
      <w:pPr>
        <w:pStyle w:val="ListParagraph"/>
        <w:rPr>
          <w:rFonts w:asciiTheme="minorHAnsi" w:hAnsiTheme="minorHAnsi"/>
          <w:lang w:val="fr-CA"/>
        </w:rPr>
      </w:pPr>
    </w:p>
    <w:p w:rsidR="001F42FE" w:rsidRPr="00EB783E" w:rsidRDefault="001F42FE" w:rsidP="00E63F3F">
      <w:pPr>
        <w:spacing w:line="240" w:lineRule="auto"/>
        <w:rPr>
          <w:b/>
          <w:iCs/>
          <w:color w:val="7030A0"/>
          <w:sz w:val="28"/>
          <w:szCs w:val="28"/>
          <w:lang w:val="en-US"/>
        </w:rPr>
      </w:pPr>
      <w:r w:rsidRPr="00EB783E">
        <w:rPr>
          <w:b/>
          <w:iCs/>
          <w:color w:val="7030A0"/>
          <w:sz w:val="28"/>
          <w:szCs w:val="28"/>
          <w:lang w:val="en-US"/>
        </w:rPr>
        <w:t>C. difficile</w:t>
      </w:r>
    </w:p>
    <w:p w:rsidR="00000000" w:rsidRPr="00EB783E" w:rsidRDefault="009C1844" w:rsidP="009C1844">
      <w:pPr>
        <w:pStyle w:val="ListParagraph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Importance majeure en milieu hospitalier</w:t>
      </w:r>
    </w:p>
    <w:p w:rsidR="00000000" w:rsidRPr="00EB783E" w:rsidRDefault="009C1844" w:rsidP="009C1844">
      <w:pPr>
        <w:pStyle w:val="ListParagraph"/>
        <w:numPr>
          <w:ilvl w:val="0"/>
          <w:numId w:val="16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 xml:space="preserve">Agent nosocomial de diarrhée et colite </w:t>
      </w:r>
    </w:p>
    <w:p w:rsidR="00000000" w:rsidRPr="00EB783E" w:rsidRDefault="009C1844" w:rsidP="009C1844">
      <w:pPr>
        <w:pStyle w:val="ListParagraph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Spectre clinique:</w:t>
      </w:r>
    </w:p>
    <w:p w:rsidR="00000000" w:rsidRPr="00EB783E" w:rsidRDefault="009C1844" w:rsidP="009C1844">
      <w:pPr>
        <w:pStyle w:val="ListParagraph"/>
        <w:numPr>
          <w:ilvl w:val="1"/>
          <w:numId w:val="1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Porteur asymptomatique</w:t>
      </w:r>
    </w:p>
    <w:p w:rsidR="00000000" w:rsidRPr="00EB783E" w:rsidRDefault="009C1844" w:rsidP="009C1844">
      <w:pPr>
        <w:pStyle w:val="ListParagraph"/>
        <w:numPr>
          <w:ilvl w:val="1"/>
          <w:numId w:val="1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Diarrhée légère à profuse</w:t>
      </w:r>
    </w:p>
    <w:p w:rsidR="00000000" w:rsidRPr="00EB783E" w:rsidRDefault="009C1844" w:rsidP="009C1844">
      <w:pPr>
        <w:pStyle w:val="ListParagraph"/>
        <w:numPr>
          <w:ilvl w:val="1"/>
          <w:numId w:val="1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Colite sans ou avec pseudomembrane</w:t>
      </w:r>
    </w:p>
    <w:p w:rsidR="00000000" w:rsidRPr="00EB783E" w:rsidRDefault="009C1844" w:rsidP="009C1844">
      <w:pPr>
        <w:pStyle w:val="ListParagraph"/>
        <w:numPr>
          <w:ilvl w:val="1"/>
          <w:numId w:val="1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Colite fulminante</w:t>
      </w:r>
    </w:p>
    <w:p w:rsidR="00EB783E" w:rsidRDefault="00EB783E" w:rsidP="00E63F3F">
      <w:pPr>
        <w:spacing w:line="240" w:lineRule="auto"/>
        <w:rPr>
          <w:b/>
          <w:lang w:val="fr-CA"/>
        </w:rPr>
      </w:pPr>
    </w:p>
    <w:p w:rsidR="001F42FE" w:rsidRPr="00EB783E" w:rsidRDefault="001F42FE" w:rsidP="00E63F3F">
      <w:pPr>
        <w:spacing w:line="240" w:lineRule="auto"/>
        <w:rPr>
          <w:b/>
          <w:lang w:val="fr-CA"/>
        </w:rPr>
      </w:pPr>
      <w:r w:rsidRPr="00EB783E">
        <w:rPr>
          <w:b/>
          <w:lang w:val="fr-CA"/>
        </w:rPr>
        <w:t>Épidémiologie</w:t>
      </w:r>
    </w:p>
    <w:p w:rsidR="00000000" w:rsidRPr="00EB783E" w:rsidRDefault="009C1844" w:rsidP="009C1844">
      <w:pPr>
        <w:pStyle w:val="ListParagraph"/>
        <w:numPr>
          <w:ilvl w:val="0"/>
          <w:numId w:val="17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2-3% de la population normale sont porteurs</w:t>
      </w:r>
    </w:p>
    <w:p w:rsidR="00000000" w:rsidRPr="00EB783E" w:rsidRDefault="009C1844" w:rsidP="009C1844">
      <w:pPr>
        <w:pStyle w:val="ListParagraph"/>
        <w:numPr>
          <w:ilvl w:val="1"/>
          <w:numId w:val="1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3-7% des patients pr</w:t>
      </w:r>
      <w:r w:rsidRPr="00EB783E">
        <w:rPr>
          <w:rFonts w:asciiTheme="minorHAnsi" w:hAnsiTheme="minorHAnsi"/>
          <w:sz w:val="22"/>
          <w:szCs w:val="22"/>
          <w:lang w:val="en-US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alablement hospitalis</w:t>
      </w:r>
      <w:r w:rsidRPr="00EB783E">
        <w:rPr>
          <w:rFonts w:asciiTheme="minorHAnsi" w:hAnsiTheme="minorHAnsi"/>
          <w:sz w:val="22"/>
          <w:szCs w:val="22"/>
          <w:lang w:val="en-US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s</w:t>
      </w:r>
    </w:p>
    <w:p w:rsidR="00000000" w:rsidRPr="00EB783E" w:rsidRDefault="009C1844" w:rsidP="009C1844">
      <w:pPr>
        <w:pStyle w:val="ListParagraph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Colonisation avec Cdiff:</w:t>
      </w:r>
    </w:p>
    <w:p w:rsidR="00000000" w:rsidRPr="00EB783E" w:rsidRDefault="009C1844" w:rsidP="009C1844">
      <w:pPr>
        <w:pStyle w:val="ListParagraph"/>
        <w:numPr>
          <w:ilvl w:val="1"/>
          <w:numId w:val="1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20% des patients: 1 semaine après admission</w:t>
      </w:r>
    </w:p>
    <w:p w:rsidR="00000000" w:rsidRPr="00EB783E" w:rsidRDefault="009C1844" w:rsidP="009C1844">
      <w:pPr>
        <w:pStyle w:val="ListParagraph"/>
        <w:numPr>
          <w:ilvl w:val="1"/>
          <w:numId w:val="1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&gt;50% des patients: après 4 semaines</w:t>
      </w:r>
    </w:p>
    <w:p w:rsidR="00000000" w:rsidRPr="00EB783E" w:rsidRDefault="009C1844" w:rsidP="009C1844">
      <w:pPr>
        <w:pStyle w:val="ListParagraph"/>
        <w:numPr>
          <w:ilvl w:val="2"/>
          <w:numId w:val="17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1% des patients développent une diarr</w:t>
      </w:r>
      <w:r w:rsidRPr="00EB783E">
        <w:rPr>
          <w:rFonts w:asciiTheme="minorHAnsi" w:hAnsiTheme="minorHAnsi"/>
          <w:sz w:val="22"/>
          <w:szCs w:val="22"/>
          <w:lang w:val="fr-CA"/>
        </w:rPr>
        <w:t>hée associée au Cdiff (DACD) durant leur séjour</w:t>
      </w: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Facteurs de Virulences</w:t>
      </w:r>
    </w:p>
    <w:p w:rsidR="00000000" w:rsidRPr="00EB783E" w:rsidRDefault="009C1844" w:rsidP="009C1844">
      <w:pPr>
        <w:pStyle w:val="ListParagraph"/>
        <w:numPr>
          <w:ilvl w:val="0"/>
          <w:numId w:val="18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Le Cdiff est toxigéniques:</w:t>
      </w:r>
    </w:p>
    <w:p w:rsidR="00000000" w:rsidRPr="00EB783E" w:rsidRDefault="009C1844" w:rsidP="009C1844">
      <w:pPr>
        <w:pStyle w:val="ListParagraph"/>
        <w:numPr>
          <w:ilvl w:val="1"/>
          <w:numId w:val="18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Toxine A: Entérotoxine, neurotoxine, augmente la libération du calcium, stimule le trafic des neutrophiles</w:t>
      </w:r>
    </w:p>
    <w:p w:rsidR="00000000" w:rsidRPr="00EB783E" w:rsidRDefault="009C1844" w:rsidP="009C1844">
      <w:pPr>
        <w:pStyle w:val="ListParagraph"/>
        <w:numPr>
          <w:ilvl w:val="1"/>
          <w:numId w:val="18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Toxine B: Cytoto</w:t>
      </w:r>
      <w:r w:rsidRPr="00EB783E">
        <w:rPr>
          <w:rFonts w:asciiTheme="minorHAnsi" w:hAnsiTheme="minorHAnsi"/>
          <w:sz w:val="22"/>
          <w:szCs w:val="22"/>
          <w:lang w:val="fr-CA"/>
        </w:rPr>
        <w:t>xine, réarrangement du cytosquelette de la cellule (entérocytes)</w:t>
      </w:r>
    </w:p>
    <w:p w:rsidR="00000000" w:rsidRPr="00EB783E" w:rsidRDefault="009C1844" w:rsidP="00E63F3F">
      <w:pPr>
        <w:spacing w:line="240" w:lineRule="auto"/>
        <w:rPr>
          <w:b/>
          <w:lang w:val="fr-CA"/>
        </w:rPr>
      </w:pPr>
      <w:r w:rsidRPr="00EB783E">
        <w:rPr>
          <w:b/>
          <w:lang w:val="fr-CA"/>
        </w:rPr>
        <w:t>Pathogenèse</w:t>
      </w:r>
    </w:p>
    <w:p w:rsidR="00000000" w:rsidRPr="00EB783E" w:rsidRDefault="009C1844" w:rsidP="009C1844">
      <w:pPr>
        <w:pStyle w:val="ListParagraph"/>
        <w:numPr>
          <w:ilvl w:val="0"/>
          <w:numId w:val="19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Antibiothérapie à spectre large élimine la flor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e normale</w:t>
      </w:r>
    </w:p>
    <w:p w:rsidR="00000000" w:rsidRPr="00EB783E" w:rsidRDefault="009C1844" w:rsidP="009C1844">
      <w:pPr>
        <w:pStyle w:val="ListParagraph"/>
        <w:numPr>
          <w:ilvl w:val="1"/>
          <w:numId w:val="19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Permet la croissance du C</w:t>
      </w: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 xml:space="preserve">. difficile </w:t>
      </w:r>
      <w:r w:rsidRPr="00EB783E">
        <w:rPr>
          <w:rFonts w:asciiTheme="minorHAnsi" w:hAnsiTheme="minorHAnsi"/>
          <w:sz w:val="22"/>
          <w:szCs w:val="22"/>
          <w:lang w:val="fr-CA"/>
        </w:rPr>
        <w:t>avec sécrétion des ToxA/B dans la lumière intestinale</w:t>
      </w:r>
    </w:p>
    <w:p w:rsidR="00000000" w:rsidRPr="00EB783E" w:rsidRDefault="00EB783E" w:rsidP="009C1844">
      <w:pPr>
        <w:pStyle w:val="ListParagraph"/>
        <w:numPr>
          <w:ilvl w:val="0"/>
          <w:numId w:val="19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6DF629DF" wp14:editId="17B13D2F">
            <wp:simplePos x="0" y="0"/>
            <wp:positionH relativeFrom="column">
              <wp:posOffset>3263900</wp:posOffset>
            </wp:positionH>
            <wp:positionV relativeFrom="paragraph">
              <wp:posOffset>490855</wp:posOffset>
            </wp:positionV>
            <wp:extent cx="2945130" cy="1616075"/>
            <wp:effectExtent l="0" t="0" r="7620" b="3175"/>
            <wp:wrapSquare wrapText="bothSides"/>
            <wp:docPr id="37891" name="Picture 3" descr="C d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3" descr="C dif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0" t="48579" r="4178" b="12145"/>
                    <a:stretch/>
                  </pic:blipFill>
                  <pic:spPr bwMode="auto">
                    <a:xfrm>
                      <a:off x="0" y="0"/>
                      <a:ext cx="294513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1844" w:rsidRPr="00EB783E">
        <w:rPr>
          <w:rFonts w:asciiTheme="minorHAnsi" w:eastAsiaTheme="minorEastAsia" w:hAnsiTheme="minorHAnsi"/>
          <w:sz w:val="22"/>
          <w:szCs w:val="22"/>
          <w:lang w:val="fr-CA"/>
        </w:rPr>
        <w:t>Les toxines causent la nécrose, déclenchent la réaction inflammatoire et augmentent la perméabilité de la muqueuse</w:t>
      </w:r>
    </w:p>
    <w:p w:rsidR="00EB783E" w:rsidRDefault="00EB783E" w:rsidP="00E63F3F">
      <w:pPr>
        <w:spacing w:line="240" w:lineRule="auto"/>
        <w:ind w:left="720"/>
      </w:pPr>
      <w:r w:rsidRPr="00EB783E">
        <w:drawing>
          <wp:anchor distT="0" distB="0" distL="114300" distR="114300" simplePos="0" relativeHeight="251660288" behindDoc="0" locked="0" layoutInCell="1" allowOverlap="1" wp14:anchorId="1A86EE0B" wp14:editId="4566DE75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2945130" cy="1722120"/>
            <wp:effectExtent l="0" t="0" r="7620" b="0"/>
            <wp:wrapSquare wrapText="bothSides"/>
            <wp:docPr id="3" name="Picture 3" descr="C d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3" descr="C dif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10" t="1808" r="4178" b="56313"/>
                    <a:stretch/>
                  </pic:blipFill>
                  <pic:spPr bwMode="auto">
                    <a:xfrm>
                      <a:off x="0" y="0"/>
                      <a:ext cx="294513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1B9" w:rsidRPr="00EB783E" w:rsidRDefault="00EB51B9" w:rsidP="00E63F3F">
      <w:pPr>
        <w:spacing w:line="240" w:lineRule="auto"/>
        <w:ind w:left="720"/>
        <w:rPr>
          <w:lang w:val="fr-CA"/>
        </w:rPr>
      </w:pPr>
    </w:p>
    <w:p w:rsidR="00EB783E" w:rsidRDefault="00EB783E" w:rsidP="00E63F3F">
      <w:pPr>
        <w:spacing w:line="240" w:lineRule="auto"/>
        <w:rPr>
          <w:b/>
          <w:lang w:val="en-US"/>
        </w:rPr>
      </w:pPr>
    </w:p>
    <w:p w:rsidR="00EB783E" w:rsidRDefault="00EB783E" w:rsidP="00E63F3F">
      <w:pPr>
        <w:spacing w:line="240" w:lineRule="auto"/>
        <w:rPr>
          <w:b/>
          <w:lang w:val="en-US"/>
        </w:rPr>
      </w:pPr>
    </w:p>
    <w:p w:rsidR="00000000" w:rsidRPr="00EB783E" w:rsidRDefault="009C1844" w:rsidP="00E63F3F">
      <w:pPr>
        <w:spacing w:line="240" w:lineRule="auto"/>
      </w:pPr>
      <w:r w:rsidRPr="00EB783E">
        <w:rPr>
          <w:b/>
          <w:lang w:val="en-US"/>
        </w:rPr>
        <w:lastRenderedPageBreak/>
        <w:t>Transmission</w:t>
      </w:r>
    </w:p>
    <w:p w:rsidR="00000000" w:rsidRPr="00EB783E" w:rsidRDefault="009C1844" w:rsidP="009C1844">
      <w:pPr>
        <w:pStyle w:val="ListParagraph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Hautement contagieux:</w:t>
      </w:r>
    </w:p>
    <w:p w:rsidR="00000000" w:rsidRPr="00EB783E" w:rsidRDefault="009C1844" w:rsidP="009C1844">
      <w:pPr>
        <w:pStyle w:val="ListParagraph"/>
        <w:numPr>
          <w:ilvl w:val="1"/>
          <w:numId w:val="2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10</w:t>
      </w:r>
      <w:r w:rsidRPr="00EB783E">
        <w:rPr>
          <w:rFonts w:asciiTheme="minorHAnsi" w:hAnsiTheme="minorHAnsi"/>
          <w:sz w:val="22"/>
          <w:szCs w:val="22"/>
          <w:vertAlign w:val="superscript"/>
          <w:lang w:val="fr-CA"/>
        </w:rPr>
        <w:t>7</w:t>
      </w:r>
      <w:r w:rsidRPr="00EB783E">
        <w:rPr>
          <w:rFonts w:asciiTheme="minorHAnsi" w:hAnsiTheme="minorHAnsi"/>
          <w:sz w:val="22"/>
          <w:szCs w:val="22"/>
          <w:lang w:val="fr-CA"/>
        </w:rPr>
        <w:t xml:space="preserve"> à 10</w:t>
      </w:r>
      <w:r w:rsidRPr="00EB783E">
        <w:rPr>
          <w:rFonts w:asciiTheme="minorHAnsi" w:hAnsiTheme="minorHAnsi"/>
          <w:sz w:val="22"/>
          <w:szCs w:val="22"/>
          <w:vertAlign w:val="superscript"/>
          <w:lang w:val="fr-CA"/>
        </w:rPr>
        <w:t>9</w:t>
      </w:r>
      <w:r w:rsidRPr="00EB783E">
        <w:rPr>
          <w:rFonts w:asciiTheme="minorHAnsi" w:hAnsiTheme="minorHAnsi"/>
          <w:sz w:val="22"/>
          <w:szCs w:val="22"/>
          <w:lang w:val="fr-CA"/>
        </w:rPr>
        <w:t>/g de spores dans les selles</w:t>
      </w:r>
    </w:p>
    <w:p w:rsidR="00000000" w:rsidRPr="00EB783E" w:rsidRDefault="009C1844" w:rsidP="009C1844">
      <w:pPr>
        <w:pStyle w:val="ListParagraph"/>
        <w:numPr>
          <w:ilvl w:val="1"/>
          <w:numId w:val="20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Contamination de l’environnement:</w:t>
      </w:r>
    </w:p>
    <w:p w:rsidR="00000000" w:rsidRPr="00EB783E" w:rsidRDefault="009C1844" w:rsidP="009C1844">
      <w:pPr>
        <w:pStyle w:val="ListParagraph"/>
        <w:numPr>
          <w:ilvl w:val="2"/>
          <w:numId w:val="2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Armatures de lits, toilettes, lavabos, équipements médicaux</w:t>
      </w:r>
    </w:p>
    <w:p w:rsidR="00000000" w:rsidRPr="00EB783E" w:rsidRDefault="009C1844" w:rsidP="009C1844">
      <w:pPr>
        <w:pStyle w:val="ListParagraph"/>
        <w:numPr>
          <w:ilvl w:val="1"/>
          <w:numId w:val="2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 xml:space="preserve">60% du personnel de soin en charge de patients sont porteurs du </w:t>
      </w: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>Cdiff</w:t>
      </w:r>
    </w:p>
    <w:p w:rsidR="00000000" w:rsidRPr="00EB783E" w:rsidRDefault="009C1844" w:rsidP="009C1844">
      <w:pPr>
        <w:pStyle w:val="ListParagraph"/>
        <w:numPr>
          <w:ilvl w:val="0"/>
          <w:numId w:val="2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Flore normale de l’appareil digestif est éliminée par l’utilisation d’antibiotiques</w:t>
      </w:r>
    </w:p>
    <w:p w:rsidR="00000000" w:rsidRPr="00EB783E" w:rsidRDefault="009C1844" w:rsidP="009C1844">
      <w:pPr>
        <w:pStyle w:val="ListParagraph"/>
        <w:numPr>
          <w:ilvl w:val="0"/>
          <w:numId w:val="20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Acquisition: ingestion de spores après contact avec un patient infecté/colonisé, personnel de santé ou une surface contaminée</w:t>
      </w:r>
    </w:p>
    <w:p w:rsidR="00E63F3F" w:rsidRPr="00EB783E" w:rsidRDefault="00E63F3F" w:rsidP="00E63F3F">
      <w:pPr>
        <w:pStyle w:val="ListParagraph"/>
        <w:rPr>
          <w:rFonts w:asciiTheme="minorHAnsi" w:hAnsiTheme="minorHAnsi"/>
          <w:sz w:val="22"/>
          <w:szCs w:val="22"/>
          <w:lang w:val="fr-CA"/>
        </w:rPr>
      </w:pP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Évolution clinique</w:t>
      </w:r>
    </w:p>
    <w:p w:rsidR="00000000" w:rsidRPr="00EB783E" w:rsidRDefault="009C1844" w:rsidP="009C1844">
      <w:pPr>
        <w:pStyle w:val="ListParagraph"/>
        <w:numPr>
          <w:ilvl w:val="0"/>
          <w:numId w:val="2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Symptômes dépend de la s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é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v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é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rité:</w:t>
      </w:r>
    </w:p>
    <w:p w:rsidR="00000000" w:rsidRPr="00EB783E" w:rsidRDefault="009C1844" w:rsidP="009C1844">
      <w:pPr>
        <w:pStyle w:val="ListParagraph"/>
        <w:numPr>
          <w:ilvl w:val="1"/>
          <w:numId w:val="2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Cas bénin: Colique, diarrhée sans symptômes syst</w:t>
      </w:r>
      <w:r w:rsidRPr="00EB783E">
        <w:rPr>
          <w:rFonts w:asciiTheme="minorHAnsi" w:hAnsiTheme="minorHAnsi"/>
          <w:sz w:val="22"/>
          <w:szCs w:val="22"/>
          <w:lang w:val="fr-CA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miques</w:t>
      </w:r>
    </w:p>
    <w:p w:rsidR="00000000" w:rsidRPr="00EB783E" w:rsidRDefault="009C1844" w:rsidP="009C1844">
      <w:pPr>
        <w:pStyle w:val="ListParagraph"/>
        <w:numPr>
          <w:ilvl w:val="1"/>
          <w:numId w:val="2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Cas modéré à sévère (colite): Diarrhée profuse parfois sanglante ou hémorrhagique, d</w:t>
      </w:r>
      <w:r w:rsidRPr="00EB783E">
        <w:rPr>
          <w:rFonts w:asciiTheme="minorHAnsi" w:hAnsiTheme="minorHAnsi"/>
          <w:sz w:val="22"/>
          <w:szCs w:val="22"/>
          <w:lang w:val="fr-CA"/>
        </w:rPr>
        <w:t>ouleurs abdominales, fièvre, nausée, malaise</w:t>
      </w:r>
    </w:p>
    <w:p w:rsidR="00000000" w:rsidRPr="00EB783E" w:rsidRDefault="009C1844" w:rsidP="009C1844">
      <w:pPr>
        <w:pStyle w:val="ListParagraph"/>
        <w:numPr>
          <w:ilvl w:val="1"/>
          <w:numId w:val="2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Colite pseudomembraneuse</w:t>
      </w:r>
      <w:r w:rsidRPr="00EB783E">
        <w:rPr>
          <w:rFonts w:asciiTheme="minorHAnsi" w:hAnsiTheme="minorHAnsi"/>
          <w:sz w:val="22"/>
          <w:szCs w:val="22"/>
          <w:lang w:val="fr-CA"/>
        </w:rPr>
        <w:t>:</w:t>
      </w:r>
    </w:p>
    <w:p w:rsidR="00000000" w:rsidRPr="00EB783E" w:rsidRDefault="009C1844" w:rsidP="009C1844">
      <w:pPr>
        <w:pStyle w:val="ListParagraph"/>
        <w:numPr>
          <w:ilvl w:val="2"/>
          <w:numId w:val="2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Infiltration inflammatoire de la muqueuse du colon et rectum</w:t>
      </w:r>
    </w:p>
    <w:p w:rsidR="00000000" w:rsidRPr="00EB783E" w:rsidRDefault="009C1844" w:rsidP="009C1844">
      <w:pPr>
        <w:pStyle w:val="ListParagraph"/>
        <w:numPr>
          <w:ilvl w:val="2"/>
          <w:numId w:val="2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Formation de fausses membranes fibrineuses adhérentes</w:t>
      </w:r>
    </w:p>
    <w:p w:rsidR="00000000" w:rsidRPr="00EB783E" w:rsidRDefault="009C1844" w:rsidP="009C1844">
      <w:pPr>
        <w:pStyle w:val="ListParagraph"/>
        <w:numPr>
          <w:ilvl w:val="0"/>
          <w:numId w:val="2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Complications: hypotension, choc, mégacôlon toxique et perforation</w:t>
      </w:r>
    </w:p>
    <w:p w:rsidR="00E63F3F" w:rsidRPr="00EB783E" w:rsidRDefault="00E63F3F" w:rsidP="00E63F3F">
      <w:pPr>
        <w:ind w:left="360"/>
        <w:rPr>
          <w:rFonts w:eastAsiaTheme="minorEastAsia"/>
          <w:b/>
          <w:lang w:val="fr-CA"/>
        </w:rPr>
      </w:pPr>
    </w:p>
    <w:p w:rsidR="00000000" w:rsidRPr="00EB783E" w:rsidRDefault="009C1844" w:rsidP="00E63F3F">
      <w:pPr>
        <w:ind w:left="360"/>
        <w:rPr>
          <w:b/>
        </w:rPr>
      </w:pPr>
      <w:r w:rsidRPr="00EB783E">
        <w:rPr>
          <w:rFonts w:eastAsiaTheme="minorEastAsia"/>
          <w:b/>
          <w:lang w:val="fr-CA"/>
        </w:rPr>
        <w:t>Facteurs de risques</w:t>
      </w:r>
    </w:p>
    <w:p w:rsidR="00000000" w:rsidRPr="00EB783E" w:rsidRDefault="009C1844" w:rsidP="009C1844">
      <w:pPr>
        <w:pStyle w:val="ListParagraph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Administration d’antibiotiques:</w:t>
      </w:r>
    </w:p>
    <w:p w:rsidR="00000000" w:rsidRPr="00EB783E" w:rsidRDefault="009C1844" w:rsidP="009C1844">
      <w:pPr>
        <w:pStyle w:val="ListParagraph"/>
        <w:numPr>
          <w:ilvl w:val="1"/>
          <w:numId w:val="21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Ampicilline, Amoxicilline, Céphalosporine, Clindamycine, quinilone – toutes les classes d’Abx</w:t>
      </w:r>
    </w:p>
    <w:p w:rsidR="00000000" w:rsidRPr="00EB783E" w:rsidRDefault="009C1844" w:rsidP="009C1844">
      <w:pPr>
        <w:pStyle w:val="ListParagraph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Partage de chambre ou toilette</w:t>
      </w:r>
    </w:p>
    <w:p w:rsidR="00000000" w:rsidRPr="00EB783E" w:rsidRDefault="009C1844" w:rsidP="009C1844">
      <w:pPr>
        <w:pStyle w:val="ListParagraph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Séjour prolong</w:t>
      </w:r>
      <w:r w:rsidRPr="00EB783E">
        <w:rPr>
          <w:rFonts w:asciiTheme="minorHAnsi" w:eastAsiaTheme="minorEastAsia" w:hAnsiTheme="minorHAnsi"/>
          <w:sz w:val="22"/>
          <w:szCs w:val="22"/>
          <w:lang w:val="en-US"/>
        </w:rPr>
        <w:t>é</w:t>
      </w:r>
    </w:p>
    <w:p w:rsidR="00000000" w:rsidRPr="00EB783E" w:rsidRDefault="009C1844" w:rsidP="009C1844">
      <w:pPr>
        <w:pStyle w:val="ListParagraph"/>
        <w:numPr>
          <w:ilvl w:val="0"/>
          <w:numId w:val="21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en-US"/>
        </w:rPr>
        <w:t xml:space="preserve">Age 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avanc</w:t>
      </w:r>
      <w:r w:rsidRPr="00EB783E">
        <w:rPr>
          <w:rFonts w:asciiTheme="minorHAnsi" w:eastAsiaTheme="minorEastAsia" w:hAnsiTheme="minorHAnsi"/>
          <w:sz w:val="22"/>
          <w:szCs w:val="22"/>
          <w:lang w:val="en-US"/>
        </w:rPr>
        <w:t>é</w:t>
      </w: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:</w:t>
      </w:r>
      <w:r w:rsidRPr="00EB783E">
        <w:rPr>
          <w:rFonts w:asciiTheme="minorHAnsi" w:eastAsiaTheme="minorEastAsia" w:hAnsiTheme="minorHAnsi"/>
          <w:sz w:val="22"/>
          <w:szCs w:val="22"/>
          <w:lang w:val="en-US"/>
        </w:rPr>
        <w:t xml:space="preserve"> &gt;65 ans</w:t>
      </w:r>
    </w:p>
    <w:p w:rsidR="00E63F3F" w:rsidRPr="00EB783E" w:rsidRDefault="00E63F3F" w:rsidP="00E63F3F">
      <w:pPr>
        <w:spacing w:line="240" w:lineRule="auto"/>
        <w:rPr>
          <w:b/>
          <w:lang w:val="fr-CA"/>
        </w:rPr>
      </w:pP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Traitement</w:t>
      </w:r>
    </w:p>
    <w:p w:rsidR="00000000" w:rsidRPr="00EB783E" w:rsidRDefault="009C1844" w:rsidP="009C1844">
      <w:pPr>
        <w:pStyle w:val="ListParagraph"/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Éliminer les agents déclenchants</w:t>
      </w:r>
    </w:p>
    <w:p w:rsidR="00000000" w:rsidRPr="00EB783E" w:rsidRDefault="009C1844" w:rsidP="009C1844">
      <w:pPr>
        <w:pStyle w:val="ListParagraph"/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Tx: Métronidazole/Vancomycine</w:t>
      </w:r>
    </w:p>
    <w:p w:rsidR="00000000" w:rsidRPr="00EB783E" w:rsidRDefault="009C1844" w:rsidP="009C1844">
      <w:pPr>
        <w:pStyle w:val="ListParagraph"/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Probiotique (supplément de lactobacille)</w:t>
      </w:r>
    </w:p>
    <w:p w:rsidR="00000000" w:rsidRPr="00EB783E" w:rsidRDefault="009C1844" w:rsidP="009C1844">
      <w:pPr>
        <w:pStyle w:val="ListParagraph"/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fr-CA"/>
        </w:rPr>
        <w:t>Placer le patient sous précautions</w:t>
      </w:r>
    </w:p>
    <w:p w:rsidR="00000000" w:rsidRPr="00EB783E" w:rsidRDefault="009C1844" w:rsidP="009C1844">
      <w:pPr>
        <w:pStyle w:val="ListParagraph"/>
        <w:numPr>
          <w:ilvl w:val="0"/>
          <w:numId w:val="22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eastAsiaTheme="minorEastAsia" w:hAnsiTheme="minorHAnsi"/>
          <w:sz w:val="22"/>
          <w:szCs w:val="22"/>
          <w:lang w:val="en-US"/>
        </w:rPr>
        <w:t>Précautions</w:t>
      </w:r>
    </w:p>
    <w:p w:rsidR="00E63F3F" w:rsidRPr="00EB783E" w:rsidRDefault="00E63F3F" w:rsidP="00E63F3F">
      <w:pPr>
        <w:pStyle w:val="ListParagraph"/>
        <w:ind w:left="1080"/>
        <w:rPr>
          <w:rFonts w:asciiTheme="minorHAnsi" w:hAnsiTheme="minorHAnsi"/>
          <w:sz w:val="22"/>
          <w:szCs w:val="22"/>
        </w:rPr>
      </w:pPr>
    </w:p>
    <w:p w:rsidR="00000000" w:rsidRPr="00EB783E" w:rsidRDefault="009C1844" w:rsidP="00E63F3F">
      <w:pPr>
        <w:spacing w:line="240" w:lineRule="auto"/>
        <w:rPr>
          <w:b/>
        </w:rPr>
      </w:pPr>
      <w:r w:rsidRPr="00EB783E">
        <w:rPr>
          <w:b/>
          <w:lang w:val="fr-CA"/>
        </w:rPr>
        <w:t>Précautions de contact:</w:t>
      </w:r>
    </w:p>
    <w:p w:rsidR="00000000" w:rsidRPr="00EB783E" w:rsidRDefault="009C1844" w:rsidP="009C1844">
      <w:pPr>
        <w:pStyle w:val="ListParagraph"/>
        <w:numPr>
          <w:ilvl w:val="0"/>
          <w:numId w:val="23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Gants, blouse, chambre privée</w:t>
      </w:r>
    </w:p>
    <w:p w:rsidR="00000000" w:rsidRPr="00EB783E" w:rsidRDefault="009C1844" w:rsidP="009C1844">
      <w:pPr>
        <w:pStyle w:val="ListParagraph"/>
        <w:numPr>
          <w:ilvl w:val="0"/>
          <w:numId w:val="23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 xml:space="preserve">Hygiène de main: désinfectant (savon) ou antiseptique (alcool) après chaque contact </w:t>
      </w:r>
    </w:p>
    <w:p w:rsidR="00000000" w:rsidRPr="00EB783E" w:rsidRDefault="009C1844" w:rsidP="009C1844">
      <w:pPr>
        <w:pStyle w:val="ListParagraph"/>
        <w:numPr>
          <w:ilvl w:val="0"/>
          <w:numId w:val="23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Nettoyage terminal de chambre</w:t>
      </w:r>
    </w:p>
    <w:p w:rsidR="00933563" w:rsidRPr="00EB783E" w:rsidRDefault="009C1844" w:rsidP="009C1844">
      <w:pPr>
        <w:pStyle w:val="ListParagraph"/>
        <w:numPr>
          <w:ilvl w:val="0"/>
          <w:numId w:val="23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Matériel de soins d</w:t>
      </w:r>
      <w:r w:rsidRPr="00EB783E">
        <w:rPr>
          <w:rFonts w:asciiTheme="minorHAnsi" w:hAnsiTheme="minorHAnsi"/>
          <w:sz w:val="22"/>
          <w:szCs w:val="22"/>
          <w:lang w:val="fr-CA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>di</w:t>
      </w:r>
      <w:r w:rsidRPr="00EB783E">
        <w:rPr>
          <w:rFonts w:asciiTheme="minorHAnsi" w:hAnsiTheme="minorHAnsi"/>
          <w:sz w:val="22"/>
          <w:szCs w:val="22"/>
          <w:lang w:val="fr-CA"/>
        </w:rPr>
        <w:t>é</w:t>
      </w:r>
      <w:r w:rsidRPr="00EB783E">
        <w:rPr>
          <w:rFonts w:asciiTheme="minorHAnsi" w:hAnsiTheme="minorHAnsi"/>
          <w:sz w:val="22"/>
          <w:szCs w:val="22"/>
          <w:lang w:val="fr-CA"/>
        </w:rPr>
        <w:t xml:space="preserve"> et désinfection après chaque utilisation</w:t>
      </w:r>
    </w:p>
    <w:p w:rsidR="00EB783E" w:rsidRDefault="00EB783E" w:rsidP="00E63F3F">
      <w:pPr>
        <w:spacing w:line="240" w:lineRule="auto"/>
        <w:rPr>
          <w:b/>
          <w:color w:val="FF0000"/>
          <w:sz w:val="28"/>
          <w:szCs w:val="28"/>
        </w:rPr>
      </w:pPr>
    </w:p>
    <w:p w:rsidR="00EB783E" w:rsidRDefault="00EB783E" w:rsidP="00E63F3F">
      <w:pPr>
        <w:spacing w:line="240" w:lineRule="auto"/>
        <w:rPr>
          <w:b/>
          <w:color w:val="FF0000"/>
          <w:sz w:val="28"/>
          <w:szCs w:val="28"/>
        </w:rPr>
      </w:pPr>
    </w:p>
    <w:p w:rsidR="00EB783E" w:rsidRDefault="00EB783E" w:rsidP="00E63F3F">
      <w:pPr>
        <w:spacing w:line="240" w:lineRule="auto"/>
        <w:rPr>
          <w:b/>
          <w:color w:val="FF0000"/>
          <w:sz w:val="28"/>
          <w:szCs w:val="28"/>
        </w:rPr>
      </w:pPr>
    </w:p>
    <w:p w:rsidR="001F42FE" w:rsidRPr="00EB783E" w:rsidRDefault="00EB51B9" w:rsidP="00E63F3F">
      <w:pPr>
        <w:spacing w:line="240" w:lineRule="auto"/>
        <w:rPr>
          <w:b/>
          <w:color w:val="FF0000"/>
          <w:sz w:val="28"/>
          <w:szCs w:val="28"/>
        </w:rPr>
      </w:pPr>
      <w:r w:rsidRPr="00EB783E">
        <w:rPr>
          <w:b/>
          <w:color w:val="FF0000"/>
          <w:sz w:val="28"/>
          <w:szCs w:val="28"/>
        </w:rPr>
        <w:lastRenderedPageBreak/>
        <w:t>Testez vos connaissances</w:t>
      </w:r>
    </w:p>
    <w:p w:rsidR="00000000" w:rsidRPr="00EB783E" w:rsidRDefault="009C1844" w:rsidP="009C1844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EB783E">
        <w:rPr>
          <w:b/>
          <w:lang w:val="fr-CA"/>
        </w:rPr>
        <w:t xml:space="preserve">Laquelle des caractéristiques suivantes est vrai pour le </w:t>
      </w:r>
      <w:r w:rsidRPr="00EB783E">
        <w:rPr>
          <w:b/>
          <w:i/>
          <w:iCs/>
          <w:lang w:val="fr-CA"/>
        </w:rPr>
        <w:t>L. monocytogenes</w:t>
      </w:r>
      <w:r w:rsidRPr="00EB783E">
        <w:rPr>
          <w:b/>
          <w:lang w:val="fr-CA"/>
        </w:rPr>
        <w:t>?</w:t>
      </w:r>
    </w:p>
    <w:p w:rsidR="00000000" w:rsidRPr="00EB783E" w:rsidRDefault="009C1844" w:rsidP="009C1844">
      <w:pPr>
        <w:pStyle w:val="ListParagraph"/>
        <w:numPr>
          <w:ilvl w:val="1"/>
          <w:numId w:val="2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Bactérie capsulée</w:t>
      </w:r>
    </w:p>
    <w:p w:rsidR="00000000" w:rsidRPr="00EB783E" w:rsidRDefault="009C1844" w:rsidP="009C1844">
      <w:pPr>
        <w:pStyle w:val="ListParagraph"/>
        <w:numPr>
          <w:ilvl w:val="1"/>
          <w:numId w:val="2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Bactérie sporulée</w:t>
      </w:r>
    </w:p>
    <w:p w:rsidR="00000000" w:rsidRPr="00EB783E" w:rsidRDefault="009C1844" w:rsidP="009C1844">
      <w:pPr>
        <w:pStyle w:val="ListParagraph"/>
        <w:numPr>
          <w:ilvl w:val="1"/>
          <w:numId w:val="2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Saprophyte</w:t>
      </w:r>
    </w:p>
    <w:p w:rsidR="00000000" w:rsidRPr="00EB783E" w:rsidRDefault="009C1844" w:rsidP="009C1844">
      <w:pPr>
        <w:pStyle w:val="ListParagraph"/>
        <w:numPr>
          <w:ilvl w:val="1"/>
          <w:numId w:val="2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Anaérobie obligatoire</w:t>
      </w:r>
    </w:p>
    <w:p w:rsidR="00000000" w:rsidRPr="00EB783E" w:rsidRDefault="009C1844" w:rsidP="009C1844">
      <w:pPr>
        <w:pStyle w:val="ListParagraph"/>
        <w:numPr>
          <w:ilvl w:val="1"/>
          <w:numId w:val="24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Pathogène extracellulaire</w:t>
      </w:r>
    </w:p>
    <w:p w:rsidR="00E63F3F" w:rsidRPr="00EB783E" w:rsidRDefault="00E63F3F" w:rsidP="00E63F3F">
      <w:pPr>
        <w:pStyle w:val="ListParagraph"/>
        <w:ind w:left="1440"/>
        <w:rPr>
          <w:rFonts w:asciiTheme="minorHAnsi" w:hAnsiTheme="minorHAnsi"/>
          <w:sz w:val="22"/>
          <w:szCs w:val="22"/>
        </w:rPr>
      </w:pPr>
    </w:p>
    <w:p w:rsidR="00000000" w:rsidRPr="00EB783E" w:rsidRDefault="009C1844" w:rsidP="009C1844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EB783E">
        <w:rPr>
          <w:b/>
          <w:lang w:val="fr-CA"/>
        </w:rPr>
        <w:t>Au niveau de la pathogenèse du</w:t>
      </w:r>
      <w:r w:rsidRPr="00EB783E">
        <w:rPr>
          <w:b/>
          <w:i/>
          <w:iCs/>
          <w:lang w:val="fr-CA"/>
        </w:rPr>
        <w:t xml:space="preserve"> C. Tetani</w:t>
      </w:r>
      <w:r w:rsidRPr="00EB783E">
        <w:rPr>
          <w:b/>
          <w:lang w:val="fr-CA"/>
        </w:rPr>
        <w:t>, laquelle des affirmations suivantes est fausse?</w:t>
      </w:r>
    </w:p>
    <w:p w:rsidR="00000000" w:rsidRPr="00EB783E" w:rsidRDefault="009C1844" w:rsidP="009C1844">
      <w:pPr>
        <w:pStyle w:val="ListParagraph"/>
        <w:numPr>
          <w:ilvl w:val="1"/>
          <w:numId w:val="2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La toxine se fixe sur les terminaisons nerveuses et subit une endocytose.</w:t>
      </w:r>
    </w:p>
    <w:p w:rsidR="00000000" w:rsidRPr="00EB783E" w:rsidRDefault="009C1844" w:rsidP="009C1844">
      <w:pPr>
        <w:pStyle w:val="ListParagraph"/>
        <w:numPr>
          <w:ilvl w:val="1"/>
          <w:numId w:val="2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La toxine est transportée par voie rétrograde le long des motoneurones à la moelle ou le cerveau.</w:t>
      </w:r>
    </w:p>
    <w:p w:rsidR="00000000" w:rsidRPr="00EB783E" w:rsidRDefault="009C1844" w:rsidP="009C1844">
      <w:pPr>
        <w:pStyle w:val="ListParagraph"/>
        <w:numPr>
          <w:ilvl w:val="1"/>
          <w:numId w:val="2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La toxine se fixe au niveau d</w:t>
      </w:r>
      <w:r w:rsidRPr="00EB783E">
        <w:rPr>
          <w:rFonts w:asciiTheme="minorHAnsi" w:hAnsiTheme="minorHAnsi"/>
          <w:sz w:val="22"/>
          <w:szCs w:val="22"/>
          <w:lang w:val="fr-CA"/>
        </w:rPr>
        <w:t>es terminaisons pré-synaptiques et augmente la libération de neuromédiateurs.</w:t>
      </w:r>
    </w:p>
    <w:p w:rsidR="00000000" w:rsidRPr="00EB783E" w:rsidRDefault="009C1844" w:rsidP="009C1844">
      <w:pPr>
        <w:pStyle w:val="ListParagraph"/>
        <w:numPr>
          <w:ilvl w:val="1"/>
          <w:numId w:val="25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La perte d’activité de l’interneurone inhibiteur mène à une augmentation de l’activité des motoneurones.</w:t>
      </w:r>
    </w:p>
    <w:p w:rsidR="00E63F3F" w:rsidRPr="00EB783E" w:rsidRDefault="00E63F3F" w:rsidP="00E63F3F">
      <w:pPr>
        <w:pStyle w:val="ListParagraph"/>
        <w:ind w:left="1440"/>
        <w:rPr>
          <w:rFonts w:asciiTheme="minorHAnsi" w:hAnsiTheme="minorHAnsi"/>
          <w:sz w:val="22"/>
          <w:szCs w:val="22"/>
          <w:lang w:val="fr-CA"/>
        </w:rPr>
      </w:pPr>
    </w:p>
    <w:p w:rsidR="00000000" w:rsidRPr="00EB783E" w:rsidRDefault="009C1844" w:rsidP="009C1844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EB783E">
        <w:rPr>
          <w:b/>
          <w:lang w:val="fr-CA"/>
        </w:rPr>
        <w:t>Lequel des organismses suivants est responsables d’une myonécrose?</w:t>
      </w:r>
    </w:p>
    <w:p w:rsidR="00000000" w:rsidRPr="00EB783E" w:rsidRDefault="009C1844" w:rsidP="009C1844">
      <w:pPr>
        <w:pStyle w:val="ListParagraph"/>
        <w:numPr>
          <w:ilvl w:val="1"/>
          <w:numId w:val="2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>C. tetani</w:t>
      </w:r>
    </w:p>
    <w:p w:rsidR="00000000" w:rsidRPr="00EB783E" w:rsidRDefault="009C1844" w:rsidP="009C1844">
      <w:pPr>
        <w:pStyle w:val="ListParagraph"/>
        <w:numPr>
          <w:ilvl w:val="1"/>
          <w:numId w:val="2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>C. perfringens</w:t>
      </w:r>
    </w:p>
    <w:p w:rsidR="00000000" w:rsidRPr="00EB783E" w:rsidRDefault="009C1844" w:rsidP="009C1844">
      <w:pPr>
        <w:pStyle w:val="ListParagraph"/>
        <w:numPr>
          <w:ilvl w:val="1"/>
          <w:numId w:val="2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>C. difficile</w:t>
      </w:r>
    </w:p>
    <w:p w:rsidR="00000000" w:rsidRPr="00EB783E" w:rsidRDefault="009C1844" w:rsidP="009C1844">
      <w:pPr>
        <w:pStyle w:val="ListParagraph"/>
        <w:numPr>
          <w:ilvl w:val="1"/>
          <w:numId w:val="26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i/>
          <w:iCs/>
          <w:sz w:val="22"/>
          <w:szCs w:val="22"/>
          <w:lang w:val="fr-CA"/>
        </w:rPr>
        <w:t xml:space="preserve">C. botulinum </w:t>
      </w:r>
    </w:p>
    <w:p w:rsidR="00E63F3F" w:rsidRPr="00EB783E" w:rsidRDefault="00E63F3F" w:rsidP="00E63F3F">
      <w:pPr>
        <w:pStyle w:val="ListParagraph"/>
        <w:ind w:left="1440"/>
        <w:rPr>
          <w:rFonts w:asciiTheme="minorHAnsi" w:hAnsiTheme="minorHAnsi"/>
          <w:sz w:val="22"/>
          <w:szCs w:val="22"/>
        </w:rPr>
      </w:pPr>
    </w:p>
    <w:p w:rsidR="00000000" w:rsidRPr="00EB783E" w:rsidRDefault="009C1844" w:rsidP="009C1844">
      <w:pPr>
        <w:numPr>
          <w:ilvl w:val="0"/>
          <w:numId w:val="1"/>
        </w:numPr>
        <w:spacing w:line="240" w:lineRule="auto"/>
        <w:rPr>
          <w:b/>
          <w:lang w:val="fr-CA"/>
        </w:rPr>
      </w:pPr>
      <w:r w:rsidRPr="00EB783E">
        <w:rPr>
          <w:b/>
          <w:lang w:val="fr-CA"/>
        </w:rPr>
        <w:t>La</w:t>
      </w:r>
      <w:r w:rsidRPr="00EB783E">
        <w:rPr>
          <w:b/>
          <w:lang w:val="fr-CA"/>
        </w:rPr>
        <w:t xml:space="preserve"> toxine B de C. difficile</w:t>
      </w:r>
    </w:p>
    <w:p w:rsidR="00000000" w:rsidRPr="00EB783E" w:rsidRDefault="009C1844" w:rsidP="009C1844">
      <w:pPr>
        <w:pStyle w:val="ListParagraph"/>
        <w:numPr>
          <w:ilvl w:val="1"/>
          <w:numId w:val="27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Permet à la bactérie d’échapper de l’intérieure du phagosome</w:t>
      </w:r>
    </w:p>
    <w:p w:rsidR="00000000" w:rsidRPr="00EB783E" w:rsidRDefault="009C1844" w:rsidP="009C1844">
      <w:pPr>
        <w:pStyle w:val="ListParagraph"/>
        <w:numPr>
          <w:ilvl w:val="1"/>
          <w:numId w:val="2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Augmente la libération du calcium</w:t>
      </w:r>
    </w:p>
    <w:p w:rsidR="00000000" w:rsidRPr="00EB783E" w:rsidRDefault="009C1844" w:rsidP="009C1844">
      <w:pPr>
        <w:pStyle w:val="ListParagraph"/>
        <w:numPr>
          <w:ilvl w:val="1"/>
          <w:numId w:val="2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Stimule le trafic des neutrophiles</w:t>
      </w:r>
    </w:p>
    <w:p w:rsidR="00000000" w:rsidRPr="00EB783E" w:rsidRDefault="009C1844" w:rsidP="009C1844">
      <w:pPr>
        <w:pStyle w:val="ListParagraph"/>
        <w:numPr>
          <w:ilvl w:val="1"/>
          <w:numId w:val="27"/>
        </w:numPr>
        <w:rPr>
          <w:rFonts w:asciiTheme="minorHAnsi" w:hAnsiTheme="minorHAnsi"/>
          <w:sz w:val="22"/>
          <w:szCs w:val="22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Réarrange le cytosquelette des entérocytes</w:t>
      </w:r>
    </w:p>
    <w:p w:rsidR="00E63F3F" w:rsidRPr="00EB783E" w:rsidRDefault="009C1844" w:rsidP="009C1844">
      <w:pPr>
        <w:pStyle w:val="ListParagraph"/>
        <w:numPr>
          <w:ilvl w:val="1"/>
          <w:numId w:val="27"/>
        </w:numPr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>Se fixe sur les terminaisons nerveuses</w:t>
      </w:r>
    </w:p>
    <w:p w:rsidR="00000000" w:rsidRPr="00EB783E" w:rsidRDefault="009C1844" w:rsidP="00E63F3F">
      <w:pPr>
        <w:pStyle w:val="ListParagraph"/>
        <w:ind w:left="1440"/>
        <w:rPr>
          <w:rFonts w:asciiTheme="minorHAnsi" w:hAnsiTheme="minorHAnsi"/>
          <w:sz w:val="22"/>
          <w:szCs w:val="22"/>
          <w:lang w:val="fr-CA"/>
        </w:rPr>
      </w:pPr>
      <w:r w:rsidRPr="00EB783E">
        <w:rPr>
          <w:rFonts w:asciiTheme="minorHAnsi" w:hAnsiTheme="minorHAnsi"/>
          <w:sz w:val="22"/>
          <w:szCs w:val="22"/>
          <w:lang w:val="fr-CA"/>
        </w:rPr>
        <w:t xml:space="preserve"> </w:t>
      </w:r>
    </w:p>
    <w:p w:rsidR="00000000" w:rsidRPr="00EB783E" w:rsidRDefault="009C1844" w:rsidP="009C1844">
      <w:pPr>
        <w:numPr>
          <w:ilvl w:val="0"/>
          <w:numId w:val="1"/>
        </w:numPr>
        <w:spacing w:line="240" w:lineRule="auto"/>
        <w:rPr>
          <w:b/>
        </w:rPr>
      </w:pPr>
      <w:r w:rsidRPr="00EB783E">
        <w:rPr>
          <w:b/>
          <w:lang w:val="fr-CA"/>
        </w:rPr>
        <w:t>Définir le terme Colite pseudomembraneuse</w:t>
      </w:r>
    </w:p>
    <w:p w:rsidR="00EB51B9" w:rsidRPr="00EB783E" w:rsidRDefault="00EB51B9" w:rsidP="00E63F3F">
      <w:pPr>
        <w:spacing w:line="240" w:lineRule="auto"/>
        <w:rPr>
          <w:b/>
          <w:lang w:val="fr-CA"/>
        </w:rPr>
      </w:pPr>
    </w:p>
    <w:sectPr w:rsidR="00EB51B9" w:rsidRPr="00EB783E" w:rsidSect="00EB783E">
      <w:type w:val="continuous"/>
      <w:pgSz w:w="12240" w:h="15840"/>
      <w:pgMar w:top="1276" w:right="669" w:bottom="680" w:left="66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844" w:rsidRDefault="009C1844" w:rsidP="00445CC3">
      <w:pPr>
        <w:spacing w:after="0" w:line="240" w:lineRule="auto"/>
      </w:pPr>
      <w:r>
        <w:separator/>
      </w:r>
    </w:p>
  </w:endnote>
  <w:endnote w:type="continuationSeparator" w:id="0">
    <w:p w:rsidR="009C1844" w:rsidRDefault="009C1844" w:rsidP="00445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844" w:rsidRDefault="009C1844" w:rsidP="00445CC3">
      <w:pPr>
        <w:spacing w:after="0" w:line="240" w:lineRule="auto"/>
      </w:pPr>
      <w:r>
        <w:separator/>
      </w:r>
    </w:p>
  </w:footnote>
  <w:footnote w:type="continuationSeparator" w:id="0">
    <w:p w:rsidR="009C1844" w:rsidRDefault="009C1844" w:rsidP="00445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CC3" w:rsidRDefault="00445CC3" w:rsidP="00445CC3">
    <w:pPr>
      <w:pStyle w:val="Header"/>
      <w:jc w:val="right"/>
    </w:pPr>
    <w:r>
      <w:t xml:space="preserve">HSS 1500  </w:t>
    </w:r>
    <w:sdt>
      <w:sdtPr>
        <w:id w:val="1369647357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783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445CC3" w:rsidRDefault="00445CC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E15"/>
    <w:multiLevelType w:val="hybridMultilevel"/>
    <w:tmpl w:val="DBD292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02E42"/>
    <w:multiLevelType w:val="hybridMultilevel"/>
    <w:tmpl w:val="AA1EF4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46E5B"/>
    <w:multiLevelType w:val="hybridMultilevel"/>
    <w:tmpl w:val="F9EEA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1F2BA2"/>
    <w:multiLevelType w:val="hybridMultilevel"/>
    <w:tmpl w:val="523A0C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64B69"/>
    <w:multiLevelType w:val="hybridMultilevel"/>
    <w:tmpl w:val="74C640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02145E"/>
    <w:multiLevelType w:val="hybridMultilevel"/>
    <w:tmpl w:val="3B68623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A002DB1"/>
    <w:multiLevelType w:val="hybridMultilevel"/>
    <w:tmpl w:val="1122A6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0833DC"/>
    <w:multiLevelType w:val="hybridMultilevel"/>
    <w:tmpl w:val="7D582B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0B2EE0"/>
    <w:multiLevelType w:val="hybridMultilevel"/>
    <w:tmpl w:val="0C427B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43E35"/>
    <w:multiLevelType w:val="hybridMultilevel"/>
    <w:tmpl w:val="5D46D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BF07D3"/>
    <w:multiLevelType w:val="hybridMultilevel"/>
    <w:tmpl w:val="A06253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623310"/>
    <w:multiLevelType w:val="hybridMultilevel"/>
    <w:tmpl w:val="6504B7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69140B"/>
    <w:multiLevelType w:val="hybridMultilevel"/>
    <w:tmpl w:val="306C23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9212C6"/>
    <w:multiLevelType w:val="hybridMultilevel"/>
    <w:tmpl w:val="C13820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174E44"/>
    <w:multiLevelType w:val="hybridMultilevel"/>
    <w:tmpl w:val="885A55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D24FD1"/>
    <w:multiLevelType w:val="hybridMultilevel"/>
    <w:tmpl w:val="B67AEF2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5851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EBF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98C0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28E5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781E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9086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D6A8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AF0F78"/>
    <w:multiLevelType w:val="hybridMultilevel"/>
    <w:tmpl w:val="6ACEF9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F0472"/>
    <w:multiLevelType w:val="hybridMultilevel"/>
    <w:tmpl w:val="94446FC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5851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EBF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98C0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28E5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781E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9086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D6A8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413B25"/>
    <w:multiLevelType w:val="hybridMultilevel"/>
    <w:tmpl w:val="8FAA025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B873050"/>
    <w:multiLevelType w:val="hybridMultilevel"/>
    <w:tmpl w:val="6A826A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A769A0"/>
    <w:multiLevelType w:val="hybridMultilevel"/>
    <w:tmpl w:val="B7F24FB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5851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EBF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98C0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28E5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781E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9086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D6A8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9C3244"/>
    <w:multiLevelType w:val="hybridMultilevel"/>
    <w:tmpl w:val="3A52DA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6548EB"/>
    <w:multiLevelType w:val="hybridMultilevel"/>
    <w:tmpl w:val="C3A8949A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5851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EBF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98C0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28E5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781E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9086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D6A8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ECE20A8"/>
    <w:multiLevelType w:val="hybridMultilevel"/>
    <w:tmpl w:val="1ACA31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F50AB6"/>
    <w:multiLevelType w:val="hybridMultilevel"/>
    <w:tmpl w:val="26002E7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5851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EBF7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98C0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28E5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781E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9086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D6A8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4594F91"/>
    <w:multiLevelType w:val="hybridMultilevel"/>
    <w:tmpl w:val="5DB211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735BAC"/>
    <w:multiLevelType w:val="hybridMultilevel"/>
    <w:tmpl w:val="42DA30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26"/>
  </w:num>
  <w:num w:numId="4">
    <w:abstractNumId w:val="0"/>
  </w:num>
  <w:num w:numId="5">
    <w:abstractNumId w:val="12"/>
  </w:num>
  <w:num w:numId="6">
    <w:abstractNumId w:val="3"/>
  </w:num>
  <w:num w:numId="7">
    <w:abstractNumId w:val="21"/>
  </w:num>
  <w:num w:numId="8">
    <w:abstractNumId w:val="23"/>
  </w:num>
  <w:num w:numId="9">
    <w:abstractNumId w:val="13"/>
  </w:num>
  <w:num w:numId="10">
    <w:abstractNumId w:val="16"/>
  </w:num>
  <w:num w:numId="11">
    <w:abstractNumId w:val="14"/>
  </w:num>
  <w:num w:numId="12">
    <w:abstractNumId w:val="11"/>
  </w:num>
  <w:num w:numId="13">
    <w:abstractNumId w:val="25"/>
  </w:num>
  <w:num w:numId="14">
    <w:abstractNumId w:val="6"/>
  </w:num>
  <w:num w:numId="15">
    <w:abstractNumId w:val="2"/>
  </w:num>
  <w:num w:numId="16">
    <w:abstractNumId w:val="1"/>
  </w:num>
  <w:num w:numId="17">
    <w:abstractNumId w:val="19"/>
  </w:num>
  <w:num w:numId="18">
    <w:abstractNumId w:val="4"/>
  </w:num>
  <w:num w:numId="19">
    <w:abstractNumId w:val="10"/>
  </w:num>
  <w:num w:numId="20">
    <w:abstractNumId w:val="8"/>
  </w:num>
  <w:num w:numId="21">
    <w:abstractNumId w:val="9"/>
  </w:num>
  <w:num w:numId="22">
    <w:abstractNumId w:val="18"/>
  </w:num>
  <w:num w:numId="23">
    <w:abstractNumId w:val="5"/>
  </w:num>
  <w:num w:numId="24">
    <w:abstractNumId w:val="24"/>
  </w:num>
  <w:num w:numId="25">
    <w:abstractNumId w:val="17"/>
  </w:num>
  <w:num w:numId="26">
    <w:abstractNumId w:val="15"/>
  </w:num>
  <w:num w:numId="27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CC3"/>
    <w:rsid w:val="001F42FE"/>
    <w:rsid w:val="004030FE"/>
    <w:rsid w:val="00445CC3"/>
    <w:rsid w:val="00933563"/>
    <w:rsid w:val="009C1844"/>
    <w:rsid w:val="00A9442B"/>
    <w:rsid w:val="00C12B2C"/>
    <w:rsid w:val="00D357B7"/>
    <w:rsid w:val="00E63F3F"/>
    <w:rsid w:val="00EB51B9"/>
    <w:rsid w:val="00EB783E"/>
    <w:rsid w:val="00F6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5C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CC3"/>
  </w:style>
  <w:style w:type="paragraph" w:styleId="Footer">
    <w:name w:val="footer"/>
    <w:basedOn w:val="Normal"/>
    <w:link w:val="FooterChar"/>
    <w:uiPriority w:val="99"/>
    <w:unhideWhenUsed/>
    <w:rsid w:val="00445C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CC3"/>
  </w:style>
  <w:style w:type="paragraph" w:styleId="NormalWeb">
    <w:name w:val="Normal (Web)"/>
    <w:basedOn w:val="Normal"/>
    <w:uiPriority w:val="99"/>
    <w:semiHidden/>
    <w:unhideWhenUsed/>
    <w:rsid w:val="00445C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C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42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5C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CC3"/>
  </w:style>
  <w:style w:type="paragraph" w:styleId="Footer">
    <w:name w:val="footer"/>
    <w:basedOn w:val="Normal"/>
    <w:link w:val="FooterChar"/>
    <w:uiPriority w:val="99"/>
    <w:unhideWhenUsed/>
    <w:rsid w:val="00445C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CC3"/>
  </w:style>
  <w:style w:type="paragraph" w:styleId="NormalWeb">
    <w:name w:val="Normal (Web)"/>
    <w:basedOn w:val="Normal"/>
    <w:uiPriority w:val="99"/>
    <w:semiHidden/>
    <w:unhideWhenUsed/>
    <w:rsid w:val="00445C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CC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42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1567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5189">
          <w:marLeft w:val="60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98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991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4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49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675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8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10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3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21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0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42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3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16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4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23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60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32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15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6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8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1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7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897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4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54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10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306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9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614">
          <w:marLeft w:val="132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60910">
          <w:marLeft w:val="132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324">
          <w:marLeft w:val="132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59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36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5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3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77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5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87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3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88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3705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535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0969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6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8816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33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60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5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02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8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3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888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62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76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45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74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867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0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917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00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501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69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76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071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6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87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54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6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5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11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94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488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49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11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708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28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31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2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9639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93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34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85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3701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37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8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0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17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8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5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43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3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4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57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8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12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76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3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91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080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89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39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68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85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31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1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5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97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946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943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8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57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33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6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50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59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9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86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48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31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90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16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60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56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3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9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42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09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13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41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2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2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7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03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7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58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367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81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34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42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42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2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48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82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30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91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5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46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254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37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11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9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38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14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16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85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78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65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18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0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73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8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61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319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19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99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5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28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385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3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82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555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6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15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4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70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9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63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32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82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1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46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7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77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678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23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88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44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82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89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671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88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3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5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0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97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64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53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746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30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3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9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76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21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4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32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94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Germain</dc:creator>
  <cp:keywords/>
  <dc:description/>
  <cp:lastModifiedBy>Vivian Germain</cp:lastModifiedBy>
  <cp:revision>5</cp:revision>
  <dcterms:created xsi:type="dcterms:W3CDTF">2014-02-15T22:17:00Z</dcterms:created>
  <dcterms:modified xsi:type="dcterms:W3CDTF">2014-02-15T23:31:00Z</dcterms:modified>
</cp:coreProperties>
</file>