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3F2" w:rsidRPr="00AC2C90" w:rsidRDefault="0091578B" w:rsidP="00AC2C90">
      <w:pPr>
        <w:spacing w:line="240" w:lineRule="auto"/>
        <w:rPr>
          <w:b/>
          <w:color w:val="FF0000"/>
          <w:sz w:val="30"/>
          <w:szCs w:val="30"/>
          <w:lang w:val="fr-CA"/>
        </w:rPr>
      </w:pPr>
      <w:r w:rsidRPr="0091578B">
        <w:rPr>
          <w:noProof/>
          <w:color w:val="000000" w:themeColor="text1"/>
          <w:lang w:eastAsia="en-CA"/>
        </w:rPr>
        <w:drawing>
          <wp:anchor distT="0" distB="0" distL="114300" distR="114300" simplePos="0" relativeHeight="251658240" behindDoc="0" locked="0" layoutInCell="1" allowOverlap="1" wp14:anchorId="5C150F16" wp14:editId="2EF0AE69">
            <wp:simplePos x="0" y="0"/>
            <wp:positionH relativeFrom="column">
              <wp:posOffset>4460240</wp:posOffset>
            </wp:positionH>
            <wp:positionV relativeFrom="paragraph">
              <wp:posOffset>76200</wp:posOffset>
            </wp:positionV>
            <wp:extent cx="2667000" cy="2364740"/>
            <wp:effectExtent l="0" t="0" r="0" b="0"/>
            <wp:wrapSquare wrapText="bothSides"/>
            <wp:docPr id="3075" name="Picture 3" descr="Gramn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Gramn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36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318">
        <w:rPr>
          <w:b/>
          <w:color w:val="FF0000"/>
          <w:sz w:val="30"/>
          <w:szCs w:val="30"/>
          <w:lang w:val="fr-CA"/>
        </w:rPr>
        <w:t xml:space="preserve">3. </w:t>
      </w:r>
      <w:bookmarkStart w:id="0" w:name="_GoBack"/>
      <w:bookmarkEnd w:id="0"/>
      <w:r w:rsidR="00E4199C" w:rsidRPr="00AC2C90">
        <w:rPr>
          <w:b/>
          <w:color w:val="FF0000"/>
          <w:sz w:val="30"/>
          <w:szCs w:val="30"/>
          <w:lang w:val="fr-CA"/>
        </w:rPr>
        <w:t>Les Bacilles Gram Négatifs</w:t>
      </w:r>
    </w:p>
    <w:p w:rsidR="00E60BD5" w:rsidRPr="00106318" w:rsidRDefault="00FD0BD2" w:rsidP="00FD0BD2">
      <w:pPr>
        <w:pStyle w:val="ListParagraph"/>
        <w:numPr>
          <w:ilvl w:val="0"/>
          <w:numId w:val="1"/>
        </w:numPr>
        <w:spacing w:line="240" w:lineRule="auto"/>
        <w:rPr>
          <w:color w:val="000000" w:themeColor="text1"/>
          <w:lang w:val="fr-CA"/>
        </w:rPr>
      </w:pPr>
      <w:r w:rsidRPr="00AC2C90">
        <w:rPr>
          <w:color w:val="000000" w:themeColor="text1"/>
          <w:lang w:val="fr-CA"/>
        </w:rPr>
        <w:t>Responsables de multiples infections:</w:t>
      </w:r>
    </w:p>
    <w:p w:rsidR="00E60BD5" w:rsidRPr="00106318" w:rsidRDefault="00FD0BD2" w:rsidP="00FD0BD2">
      <w:pPr>
        <w:pStyle w:val="ListParagraph"/>
        <w:numPr>
          <w:ilvl w:val="1"/>
          <w:numId w:val="1"/>
        </w:numPr>
        <w:spacing w:line="240" w:lineRule="auto"/>
        <w:rPr>
          <w:color w:val="000000" w:themeColor="text1"/>
          <w:lang w:val="fr-CA"/>
        </w:rPr>
      </w:pPr>
      <w:r w:rsidRPr="00AC2C90">
        <w:rPr>
          <w:color w:val="000000" w:themeColor="text1"/>
          <w:lang w:val="fr-CA"/>
        </w:rPr>
        <w:t>Cutanées, pulmonaires, gastroentérites, urinaires</w:t>
      </w:r>
    </w:p>
    <w:p w:rsidR="00E60BD5" w:rsidRPr="00AC2C90" w:rsidRDefault="00FD0BD2" w:rsidP="00FD0BD2">
      <w:pPr>
        <w:pStyle w:val="ListParagraph"/>
        <w:numPr>
          <w:ilvl w:val="1"/>
          <w:numId w:val="1"/>
        </w:numPr>
        <w:spacing w:line="240" w:lineRule="auto"/>
        <w:rPr>
          <w:color w:val="000000" w:themeColor="text1"/>
        </w:rPr>
      </w:pPr>
      <w:r w:rsidRPr="00AC2C90">
        <w:rPr>
          <w:color w:val="000000" w:themeColor="text1"/>
          <w:lang w:val="fr-CA"/>
        </w:rPr>
        <w:t>Cause importante d’infections nosocomiales</w:t>
      </w:r>
    </w:p>
    <w:p w:rsidR="00E60BD5" w:rsidRPr="00AC2C90" w:rsidRDefault="00FD0BD2" w:rsidP="00FD0BD2">
      <w:pPr>
        <w:pStyle w:val="ListParagraph"/>
        <w:numPr>
          <w:ilvl w:val="1"/>
          <w:numId w:val="1"/>
        </w:numPr>
        <w:spacing w:line="240" w:lineRule="auto"/>
        <w:rPr>
          <w:color w:val="000000" w:themeColor="text1"/>
          <w:lang w:val="fr-CA"/>
        </w:rPr>
      </w:pPr>
      <w:r w:rsidRPr="00AC2C90">
        <w:rPr>
          <w:color w:val="000000" w:themeColor="text1"/>
          <w:lang w:val="fr-CA"/>
        </w:rPr>
        <w:t>Cause la plus fréquente de septicémie (choc septique)</w:t>
      </w:r>
    </w:p>
    <w:p w:rsidR="00E60BD5" w:rsidRPr="00AC2C90" w:rsidRDefault="00FD0BD2" w:rsidP="00FD0BD2">
      <w:pPr>
        <w:pStyle w:val="ListParagraph"/>
        <w:numPr>
          <w:ilvl w:val="1"/>
          <w:numId w:val="1"/>
        </w:numPr>
        <w:spacing w:line="240" w:lineRule="auto"/>
        <w:rPr>
          <w:color w:val="000000" w:themeColor="text1"/>
        </w:rPr>
      </w:pPr>
      <w:r w:rsidRPr="00AC2C90">
        <w:rPr>
          <w:color w:val="000000" w:themeColor="text1"/>
          <w:lang w:val="fr-CA"/>
        </w:rPr>
        <w:t>Endotoxine</w:t>
      </w:r>
    </w:p>
    <w:p w:rsidR="00E60BD5" w:rsidRPr="00AC2C90" w:rsidRDefault="00FD0BD2" w:rsidP="00FD0BD2">
      <w:pPr>
        <w:pStyle w:val="ListParagraph"/>
        <w:numPr>
          <w:ilvl w:val="0"/>
          <w:numId w:val="1"/>
        </w:numPr>
        <w:spacing w:line="240" w:lineRule="auto"/>
        <w:rPr>
          <w:color w:val="000000" w:themeColor="text1"/>
        </w:rPr>
      </w:pPr>
      <w:r w:rsidRPr="00AC2C90">
        <w:rPr>
          <w:color w:val="000000" w:themeColor="text1"/>
          <w:lang w:val="fr-CA"/>
        </w:rPr>
        <w:t>Coliforme:</w:t>
      </w:r>
    </w:p>
    <w:p w:rsidR="00E60BD5" w:rsidRPr="00AC2C90" w:rsidRDefault="00FD0BD2" w:rsidP="00FD0BD2">
      <w:pPr>
        <w:pStyle w:val="ListParagraph"/>
        <w:numPr>
          <w:ilvl w:val="1"/>
          <w:numId w:val="1"/>
        </w:numPr>
        <w:spacing w:line="240" w:lineRule="auto"/>
        <w:rPr>
          <w:color w:val="000000" w:themeColor="text1"/>
          <w:lang w:val="fr-CA"/>
        </w:rPr>
      </w:pPr>
      <w:r w:rsidRPr="00AC2C90">
        <w:rPr>
          <w:color w:val="000000" w:themeColor="text1"/>
          <w:lang w:val="fr-CA"/>
        </w:rPr>
        <w:t>Gram négatif qui fermente le lactose</w:t>
      </w:r>
    </w:p>
    <w:p w:rsidR="00E60BD5" w:rsidRPr="00AC2C90" w:rsidRDefault="00FD0BD2" w:rsidP="00FD0BD2">
      <w:pPr>
        <w:pStyle w:val="ListParagraph"/>
        <w:numPr>
          <w:ilvl w:val="1"/>
          <w:numId w:val="1"/>
        </w:numPr>
        <w:spacing w:line="240" w:lineRule="auto"/>
        <w:rPr>
          <w:color w:val="000000" w:themeColor="text1"/>
          <w:lang w:val="fr-CA"/>
        </w:rPr>
      </w:pPr>
      <w:r w:rsidRPr="00AC2C90">
        <w:rPr>
          <w:color w:val="000000" w:themeColor="text1"/>
          <w:lang w:val="fr-CA"/>
        </w:rPr>
        <w:t>Coliformes entériques forment la flore normale</w:t>
      </w:r>
    </w:p>
    <w:p w:rsidR="00E60BD5" w:rsidRPr="00AC2C90" w:rsidRDefault="00FD0BD2" w:rsidP="00FD0BD2">
      <w:pPr>
        <w:pStyle w:val="ListParagraph"/>
        <w:numPr>
          <w:ilvl w:val="1"/>
          <w:numId w:val="1"/>
        </w:numPr>
        <w:spacing w:line="240" w:lineRule="auto"/>
        <w:rPr>
          <w:color w:val="000000" w:themeColor="text1"/>
          <w:lang w:val="fr-CA"/>
        </w:rPr>
      </w:pPr>
      <w:r w:rsidRPr="00AC2C90">
        <w:rPr>
          <w:color w:val="000000" w:themeColor="text1"/>
          <w:lang w:val="fr-CA"/>
        </w:rPr>
        <w:t>Coliforme fécal: fermente le lactose à 42</w:t>
      </w:r>
      <w:r w:rsidRPr="00AC2C90">
        <w:rPr>
          <w:color w:val="000000" w:themeColor="text1"/>
          <w:vertAlign w:val="superscript"/>
          <w:lang w:val="fr-CA"/>
        </w:rPr>
        <w:t>0</w:t>
      </w:r>
      <w:r w:rsidRPr="00AC2C90">
        <w:rPr>
          <w:color w:val="000000" w:themeColor="text1"/>
          <w:lang w:val="fr-CA"/>
        </w:rPr>
        <w:t xml:space="preserve">C ex </w:t>
      </w:r>
      <w:r w:rsidRPr="00AC2C90">
        <w:rPr>
          <w:i/>
          <w:iCs/>
          <w:color w:val="000000" w:themeColor="text1"/>
          <w:lang w:val="fr-CA"/>
        </w:rPr>
        <w:t>E. coli</w:t>
      </w:r>
      <w:r w:rsidRPr="00AC2C90">
        <w:rPr>
          <w:color w:val="000000" w:themeColor="text1"/>
          <w:lang w:val="fr-CA"/>
        </w:rPr>
        <w:t>. Présence dans l’eau potable signale une contamination d’origine fécale.</w:t>
      </w:r>
    </w:p>
    <w:p w:rsidR="0091578B" w:rsidRPr="00AC2C90" w:rsidRDefault="00FD0BD2" w:rsidP="00FD0BD2">
      <w:pPr>
        <w:pStyle w:val="ListParagraph"/>
        <w:numPr>
          <w:ilvl w:val="0"/>
          <w:numId w:val="1"/>
        </w:numPr>
        <w:spacing w:line="240" w:lineRule="auto"/>
        <w:rPr>
          <w:color w:val="000000" w:themeColor="text1"/>
        </w:rPr>
      </w:pPr>
      <w:r w:rsidRPr="00AC2C90">
        <w:rPr>
          <w:color w:val="000000" w:themeColor="text1"/>
          <w:lang w:val="fr-CA"/>
        </w:rPr>
        <w:t>Pathogènes opportunistes</w:t>
      </w:r>
    </w:p>
    <w:p w:rsidR="00AC2C90" w:rsidRDefault="00AC2C90" w:rsidP="00AC2C90">
      <w:pPr>
        <w:spacing w:line="240" w:lineRule="auto"/>
        <w:rPr>
          <w:color w:val="000000" w:themeColor="text1"/>
        </w:rPr>
      </w:pPr>
    </w:p>
    <w:p w:rsidR="0091578B" w:rsidRPr="0091578B" w:rsidRDefault="0091578B" w:rsidP="00AC2C90">
      <w:pPr>
        <w:spacing w:line="240" w:lineRule="auto"/>
        <w:rPr>
          <w:b/>
          <w:i/>
          <w:color w:val="000000" w:themeColor="text1"/>
          <w:lang w:val="fr-CA"/>
        </w:rPr>
      </w:pPr>
      <w:r w:rsidRPr="0091578B">
        <w:rPr>
          <w:b/>
          <w:i/>
          <w:color w:val="000000" w:themeColor="text1"/>
          <w:lang w:val="fr-CA"/>
        </w:rPr>
        <w:t>Flore Normale De l’appareil Digestif</w:t>
      </w:r>
    </w:p>
    <w:p w:rsidR="0091578B" w:rsidRPr="0091578B" w:rsidRDefault="00AC2C90" w:rsidP="00AC2C90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10D9005E" wp14:editId="6FEFDCCE">
            <wp:simplePos x="0" y="0"/>
            <wp:positionH relativeFrom="column">
              <wp:posOffset>803910</wp:posOffset>
            </wp:positionH>
            <wp:positionV relativeFrom="paragraph">
              <wp:posOffset>1905</wp:posOffset>
            </wp:positionV>
            <wp:extent cx="3952875" cy="219456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59" t="33308" r="20094" b="25073"/>
                    <a:stretch/>
                  </pic:blipFill>
                  <pic:spPr bwMode="auto">
                    <a:xfrm>
                      <a:off x="0" y="0"/>
                      <a:ext cx="3952875" cy="219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78B" w:rsidRPr="0091578B" w:rsidRDefault="0091578B" w:rsidP="00AC2C90">
      <w:pPr>
        <w:spacing w:line="240" w:lineRule="auto"/>
        <w:rPr>
          <w:noProof/>
          <w:lang w:val="fr-CA" w:eastAsia="en-CA"/>
        </w:rPr>
      </w:pPr>
    </w:p>
    <w:p w:rsidR="0091578B" w:rsidRPr="0091578B" w:rsidRDefault="0091578B" w:rsidP="00AC2C90">
      <w:pPr>
        <w:spacing w:line="240" w:lineRule="auto"/>
        <w:rPr>
          <w:noProof/>
          <w:lang w:val="fr-CA" w:eastAsia="en-CA"/>
        </w:rPr>
      </w:pPr>
    </w:p>
    <w:p w:rsidR="0091578B" w:rsidRDefault="0091578B" w:rsidP="00AC2C90">
      <w:pPr>
        <w:spacing w:line="240" w:lineRule="auto"/>
        <w:rPr>
          <w:color w:val="000000" w:themeColor="text1"/>
          <w:lang w:val="fr-CA"/>
        </w:rPr>
      </w:pPr>
    </w:p>
    <w:p w:rsidR="0091578B" w:rsidRDefault="0091578B" w:rsidP="00AC2C90">
      <w:pPr>
        <w:spacing w:line="240" w:lineRule="auto"/>
        <w:rPr>
          <w:color w:val="000000" w:themeColor="text1"/>
          <w:lang w:val="fr-CA"/>
        </w:rPr>
      </w:pPr>
    </w:p>
    <w:p w:rsidR="0091578B" w:rsidRDefault="0091578B" w:rsidP="00AC2C90">
      <w:pPr>
        <w:spacing w:line="240" w:lineRule="auto"/>
        <w:rPr>
          <w:color w:val="000000" w:themeColor="text1"/>
          <w:lang w:val="fr-CA"/>
        </w:rPr>
      </w:pPr>
    </w:p>
    <w:p w:rsidR="0091578B" w:rsidRDefault="0091578B" w:rsidP="00AC2C90">
      <w:pPr>
        <w:spacing w:line="240" w:lineRule="auto"/>
        <w:rPr>
          <w:color w:val="000000" w:themeColor="text1"/>
          <w:lang w:val="fr-CA"/>
        </w:rPr>
      </w:pPr>
    </w:p>
    <w:p w:rsidR="0091578B" w:rsidRDefault="0091578B" w:rsidP="00AC2C90">
      <w:pPr>
        <w:spacing w:line="240" w:lineRule="auto"/>
        <w:rPr>
          <w:color w:val="000000" w:themeColor="text1"/>
          <w:lang w:val="fr-CA"/>
        </w:rPr>
      </w:pPr>
    </w:p>
    <w:p w:rsidR="00E60BD5" w:rsidRPr="00AC2C90" w:rsidRDefault="00FD0BD2" w:rsidP="00AC2C90">
      <w:pPr>
        <w:spacing w:line="240" w:lineRule="auto"/>
        <w:rPr>
          <w:i/>
          <w:color w:val="000000" w:themeColor="text1"/>
          <w:lang w:val="fr-CA"/>
        </w:rPr>
      </w:pPr>
      <w:r w:rsidRPr="00AC2C90">
        <w:rPr>
          <w:i/>
          <w:color w:val="000000" w:themeColor="text1"/>
          <w:lang w:val="fr-CA"/>
        </w:rPr>
        <w:t>Rôle de la flore normale</w:t>
      </w:r>
    </w:p>
    <w:p w:rsidR="00E60BD5" w:rsidRPr="00AC2C90" w:rsidRDefault="00FD0BD2" w:rsidP="00FD0BD2">
      <w:pPr>
        <w:pStyle w:val="ListParagraph"/>
        <w:numPr>
          <w:ilvl w:val="0"/>
          <w:numId w:val="2"/>
        </w:numPr>
        <w:spacing w:line="240" w:lineRule="auto"/>
        <w:rPr>
          <w:color w:val="000000" w:themeColor="text1"/>
        </w:rPr>
      </w:pPr>
      <w:r w:rsidRPr="00AC2C90">
        <w:rPr>
          <w:color w:val="000000" w:themeColor="text1"/>
          <w:lang w:val="fr-CA"/>
        </w:rPr>
        <w:t>Métabolisme</w:t>
      </w:r>
    </w:p>
    <w:p w:rsidR="00E60BD5" w:rsidRPr="00AC2C90" w:rsidRDefault="00FD0BD2" w:rsidP="00FD0BD2">
      <w:pPr>
        <w:pStyle w:val="ListParagraph"/>
        <w:numPr>
          <w:ilvl w:val="1"/>
          <w:numId w:val="2"/>
        </w:numPr>
        <w:spacing w:line="240" w:lineRule="auto"/>
        <w:rPr>
          <w:color w:val="000000" w:themeColor="text1"/>
        </w:rPr>
      </w:pPr>
      <w:r w:rsidRPr="00AC2C90">
        <w:rPr>
          <w:color w:val="000000" w:themeColor="text1"/>
          <w:lang w:val="fr-CA"/>
        </w:rPr>
        <w:t>Synthèse de la vitamine k</w:t>
      </w:r>
    </w:p>
    <w:p w:rsidR="00E60BD5" w:rsidRPr="00AC2C90" w:rsidRDefault="00FD0BD2" w:rsidP="00FD0BD2">
      <w:pPr>
        <w:pStyle w:val="ListParagraph"/>
        <w:numPr>
          <w:ilvl w:val="1"/>
          <w:numId w:val="2"/>
        </w:numPr>
        <w:spacing w:line="240" w:lineRule="auto"/>
        <w:rPr>
          <w:color w:val="000000" w:themeColor="text1"/>
          <w:lang w:val="fr-CA"/>
        </w:rPr>
      </w:pPr>
      <w:r w:rsidRPr="00AC2C90">
        <w:rPr>
          <w:color w:val="000000" w:themeColor="text1"/>
          <w:lang w:val="fr-CA"/>
        </w:rPr>
        <w:t>Métabolisme des protéines, matières grasses (glycosidases, fermentation)</w:t>
      </w:r>
    </w:p>
    <w:p w:rsidR="00E60BD5" w:rsidRPr="00AC2C90" w:rsidRDefault="00FD0BD2" w:rsidP="00FD0BD2">
      <w:pPr>
        <w:pStyle w:val="ListParagraph"/>
        <w:numPr>
          <w:ilvl w:val="1"/>
          <w:numId w:val="2"/>
        </w:numPr>
        <w:spacing w:line="240" w:lineRule="auto"/>
        <w:rPr>
          <w:color w:val="000000" w:themeColor="text1"/>
        </w:rPr>
      </w:pPr>
      <w:r w:rsidRPr="00AC2C90">
        <w:rPr>
          <w:color w:val="000000" w:themeColor="text1"/>
          <w:lang w:val="fr-CA"/>
        </w:rPr>
        <w:t>Hydrolyse de l’urée en ammonium</w:t>
      </w:r>
    </w:p>
    <w:p w:rsidR="00E60BD5" w:rsidRPr="00AC2C90" w:rsidRDefault="00FD0BD2" w:rsidP="00FD0BD2">
      <w:pPr>
        <w:pStyle w:val="ListParagraph"/>
        <w:numPr>
          <w:ilvl w:val="1"/>
          <w:numId w:val="2"/>
        </w:numPr>
        <w:spacing w:line="240" w:lineRule="auto"/>
        <w:rPr>
          <w:color w:val="000000" w:themeColor="text1"/>
          <w:lang w:val="fr-CA"/>
        </w:rPr>
      </w:pPr>
      <w:r w:rsidRPr="00AC2C90">
        <w:rPr>
          <w:color w:val="000000" w:themeColor="text1"/>
          <w:lang w:val="fr-CA"/>
        </w:rPr>
        <w:t>Métabolisme de la bilirubine en urobilinogène</w:t>
      </w:r>
    </w:p>
    <w:p w:rsidR="00E60BD5" w:rsidRPr="00AC2C90" w:rsidRDefault="00FD0BD2" w:rsidP="00FD0BD2">
      <w:pPr>
        <w:pStyle w:val="ListParagraph"/>
        <w:numPr>
          <w:ilvl w:val="0"/>
          <w:numId w:val="2"/>
        </w:numPr>
        <w:spacing w:line="240" w:lineRule="auto"/>
        <w:rPr>
          <w:color w:val="000000" w:themeColor="text1"/>
        </w:rPr>
      </w:pPr>
      <w:r w:rsidRPr="00AC2C90">
        <w:rPr>
          <w:color w:val="000000" w:themeColor="text1"/>
          <w:u w:val="single"/>
          <w:lang w:val="fr-CA"/>
        </w:rPr>
        <w:t xml:space="preserve">Défense primaire </w:t>
      </w:r>
    </w:p>
    <w:p w:rsidR="00E60BD5" w:rsidRPr="00AC2C90" w:rsidRDefault="00FD0BD2" w:rsidP="00FD0BD2">
      <w:pPr>
        <w:pStyle w:val="ListParagraph"/>
        <w:numPr>
          <w:ilvl w:val="1"/>
          <w:numId w:val="2"/>
        </w:numPr>
        <w:spacing w:line="240" w:lineRule="auto"/>
        <w:rPr>
          <w:color w:val="000000" w:themeColor="text1"/>
          <w:lang w:val="fr-CA"/>
        </w:rPr>
      </w:pPr>
      <w:r w:rsidRPr="00AC2C90">
        <w:rPr>
          <w:color w:val="000000" w:themeColor="text1"/>
          <w:lang w:val="fr-CA"/>
        </w:rPr>
        <w:t>Écosystème protecteur : Compétition, niche écologique (effet barrière)</w:t>
      </w:r>
    </w:p>
    <w:p w:rsidR="00E60BD5" w:rsidRPr="00AC2C90" w:rsidRDefault="00FD0BD2" w:rsidP="00FD0BD2">
      <w:pPr>
        <w:pStyle w:val="ListParagraph"/>
        <w:numPr>
          <w:ilvl w:val="1"/>
          <w:numId w:val="2"/>
        </w:numPr>
        <w:spacing w:line="240" w:lineRule="auto"/>
        <w:rPr>
          <w:color w:val="000000" w:themeColor="text1"/>
        </w:rPr>
      </w:pPr>
      <w:r w:rsidRPr="00AC2C90">
        <w:rPr>
          <w:color w:val="000000" w:themeColor="text1"/>
          <w:lang w:val="fr-CA"/>
        </w:rPr>
        <w:t>Supprimer les pathogènes opportunistes</w:t>
      </w:r>
    </w:p>
    <w:p w:rsidR="00E60BD5" w:rsidRPr="00AC2C90" w:rsidRDefault="00FD0BD2" w:rsidP="00FD0BD2">
      <w:pPr>
        <w:pStyle w:val="ListParagraph"/>
        <w:numPr>
          <w:ilvl w:val="1"/>
          <w:numId w:val="2"/>
        </w:numPr>
        <w:spacing w:line="240" w:lineRule="auto"/>
        <w:rPr>
          <w:color w:val="000000" w:themeColor="text1"/>
          <w:lang w:val="fr-CA"/>
        </w:rPr>
      </w:pPr>
      <w:r w:rsidRPr="00AC2C90">
        <w:rPr>
          <w:color w:val="000000" w:themeColor="text1"/>
          <w:lang w:val="fr-CA"/>
        </w:rPr>
        <w:t xml:space="preserve">Anticorps contre la capsule des gram négatifs entériques peuvent protéger contre d’autres pathogènes - </w:t>
      </w:r>
      <w:r w:rsidRPr="00AC2C90">
        <w:rPr>
          <w:i/>
          <w:iCs/>
          <w:color w:val="000000" w:themeColor="text1"/>
          <w:lang w:val="fr-CA"/>
        </w:rPr>
        <w:t>H. influenzae</w:t>
      </w:r>
    </w:p>
    <w:p w:rsidR="00AC2C90" w:rsidRDefault="00AC2C90" w:rsidP="00AC2C90">
      <w:pPr>
        <w:spacing w:line="240" w:lineRule="auto"/>
        <w:rPr>
          <w:i/>
          <w:color w:val="000000" w:themeColor="text1"/>
          <w:u w:val="single"/>
          <w:lang w:val="fr-CA"/>
        </w:rPr>
      </w:pPr>
    </w:p>
    <w:p w:rsidR="00AC2C90" w:rsidRDefault="00AC2C90" w:rsidP="00AC2C90">
      <w:pPr>
        <w:spacing w:line="240" w:lineRule="auto"/>
        <w:rPr>
          <w:i/>
          <w:color w:val="000000" w:themeColor="text1"/>
          <w:u w:val="single"/>
          <w:lang w:val="fr-CA"/>
        </w:rPr>
      </w:pPr>
    </w:p>
    <w:p w:rsidR="007B703C" w:rsidRDefault="007B703C" w:rsidP="00AC2C90">
      <w:pPr>
        <w:spacing w:line="240" w:lineRule="auto"/>
        <w:rPr>
          <w:i/>
          <w:color w:val="000000" w:themeColor="text1"/>
          <w:u w:val="single"/>
          <w:lang w:val="fr-CA"/>
        </w:rPr>
      </w:pPr>
      <w:r w:rsidRPr="007B703C">
        <w:rPr>
          <w:i/>
          <w:color w:val="000000" w:themeColor="text1"/>
          <w:u w:val="single"/>
          <w:lang w:val="fr-CA"/>
        </w:rPr>
        <w:lastRenderedPageBreak/>
        <w:t>Gram négatifs d’importance médicale</w:t>
      </w:r>
    </w:p>
    <w:p w:rsidR="007B703C" w:rsidRPr="00AC2C90" w:rsidRDefault="007B703C" w:rsidP="00AC2C90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5CD61671" wp14:editId="1C27D1AF">
            <wp:simplePos x="0" y="0"/>
            <wp:positionH relativeFrom="column">
              <wp:posOffset>-47625</wp:posOffset>
            </wp:positionH>
            <wp:positionV relativeFrom="paragraph">
              <wp:posOffset>21590</wp:posOffset>
            </wp:positionV>
            <wp:extent cx="5562600" cy="31927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96" t="32212" r="20513" b="22463"/>
                    <a:stretch/>
                  </pic:blipFill>
                  <pic:spPr bwMode="auto">
                    <a:xfrm>
                      <a:off x="0" y="0"/>
                      <a:ext cx="5562600" cy="3192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03C" w:rsidRDefault="007B703C" w:rsidP="00AC2C90">
      <w:pPr>
        <w:spacing w:line="240" w:lineRule="auto"/>
        <w:rPr>
          <w:color w:val="000000" w:themeColor="text1"/>
          <w:lang w:val="fr-CA"/>
        </w:rPr>
      </w:pPr>
    </w:p>
    <w:p w:rsidR="007B703C" w:rsidRDefault="007B703C" w:rsidP="00AC2C90">
      <w:pPr>
        <w:spacing w:line="240" w:lineRule="auto"/>
        <w:rPr>
          <w:color w:val="000000" w:themeColor="text1"/>
          <w:lang w:val="fr-CA"/>
        </w:rPr>
      </w:pPr>
    </w:p>
    <w:p w:rsidR="007B703C" w:rsidRDefault="007B703C" w:rsidP="00AC2C90">
      <w:pPr>
        <w:spacing w:line="240" w:lineRule="auto"/>
        <w:rPr>
          <w:color w:val="000000" w:themeColor="text1"/>
          <w:lang w:val="fr-CA"/>
        </w:rPr>
      </w:pPr>
    </w:p>
    <w:p w:rsidR="007B703C" w:rsidRDefault="007B703C" w:rsidP="00AC2C90">
      <w:pPr>
        <w:spacing w:line="240" w:lineRule="auto"/>
        <w:rPr>
          <w:color w:val="000000" w:themeColor="text1"/>
          <w:lang w:val="fr-CA"/>
        </w:rPr>
      </w:pPr>
    </w:p>
    <w:p w:rsidR="007B703C" w:rsidRDefault="007B703C" w:rsidP="00AC2C90">
      <w:pPr>
        <w:spacing w:line="240" w:lineRule="auto"/>
        <w:rPr>
          <w:color w:val="000000" w:themeColor="text1"/>
          <w:lang w:val="fr-CA"/>
        </w:rPr>
      </w:pPr>
    </w:p>
    <w:p w:rsidR="007B703C" w:rsidRDefault="007B703C" w:rsidP="00AC2C90">
      <w:pPr>
        <w:spacing w:line="240" w:lineRule="auto"/>
        <w:rPr>
          <w:color w:val="000000" w:themeColor="text1"/>
          <w:lang w:val="fr-CA"/>
        </w:rPr>
      </w:pPr>
    </w:p>
    <w:p w:rsidR="007B703C" w:rsidRDefault="007B703C" w:rsidP="00AC2C90">
      <w:pPr>
        <w:spacing w:line="240" w:lineRule="auto"/>
        <w:rPr>
          <w:color w:val="000000" w:themeColor="text1"/>
          <w:lang w:val="fr-CA"/>
        </w:rPr>
      </w:pPr>
    </w:p>
    <w:p w:rsidR="007B703C" w:rsidRDefault="007B703C" w:rsidP="00AC2C90">
      <w:pPr>
        <w:spacing w:line="240" w:lineRule="auto"/>
        <w:rPr>
          <w:color w:val="000000" w:themeColor="text1"/>
          <w:lang w:val="fr-CA"/>
        </w:rPr>
      </w:pPr>
    </w:p>
    <w:p w:rsidR="007B703C" w:rsidRDefault="007B703C" w:rsidP="00AC2C90">
      <w:pPr>
        <w:spacing w:line="240" w:lineRule="auto"/>
        <w:rPr>
          <w:color w:val="000000" w:themeColor="text1"/>
          <w:lang w:val="fr-CA"/>
        </w:rPr>
      </w:pPr>
    </w:p>
    <w:p w:rsidR="007B703C" w:rsidRPr="007B703C" w:rsidRDefault="007B703C" w:rsidP="00AC2C90">
      <w:pPr>
        <w:spacing w:line="240" w:lineRule="auto"/>
        <w:rPr>
          <w:b/>
          <w:color w:val="000000" w:themeColor="text1"/>
          <w:sz w:val="28"/>
          <w:szCs w:val="28"/>
          <w:lang w:val="fr-CA"/>
        </w:rPr>
      </w:pPr>
    </w:p>
    <w:p w:rsidR="00AC2C90" w:rsidRDefault="00AC2C90" w:rsidP="00AC2C90">
      <w:pPr>
        <w:spacing w:line="240" w:lineRule="auto"/>
        <w:rPr>
          <w:b/>
          <w:color w:val="000000" w:themeColor="text1"/>
          <w:sz w:val="28"/>
          <w:szCs w:val="28"/>
          <w:lang w:val="fr-CA"/>
        </w:rPr>
      </w:pPr>
    </w:p>
    <w:p w:rsidR="007B703C" w:rsidRPr="00AC2C90" w:rsidRDefault="007B703C" w:rsidP="00AC2C90">
      <w:pPr>
        <w:spacing w:line="240" w:lineRule="auto"/>
        <w:rPr>
          <w:b/>
          <w:color w:val="FFC000"/>
          <w:sz w:val="28"/>
          <w:szCs w:val="28"/>
          <w:lang w:val="fr-CA"/>
        </w:rPr>
      </w:pPr>
      <w:r w:rsidRPr="00AC2C90">
        <w:rPr>
          <w:b/>
          <w:color w:val="FFC000"/>
          <w:sz w:val="28"/>
          <w:szCs w:val="28"/>
          <w:lang w:val="fr-CA"/>
        </w:rPr>
        <w:t>Les diarrhées infectieuses</w:t>
      </w:r>
    </w:p>
    <w:p w:rsidR="007B703C" w:rsidRDefault="007B703C" w:rsidP="00AC2C90">
      <w:pPr>
        <w:spacing w:line="240" w:lineRule="auto"/>
        <w:rPr>
          <w:color w:val="000000" w:themeColor="text1"/>
          <w:sz w:val="24"/>
          <w:szCs w:val="24"/>
          <w:u w:val="single"/>
          <w:lang w:val="fr-CA"/>
        </w:rPr>
      </w:pPr>
      <w:r w:rsidRPr="007B703C">
        <w:rPr>
          <w:color w:val="000000" w:themeColor="text1"/>
          <w:sz w:val="24"/>
          <w:szCs w:val="24"/>
          <w:u w:val="single"/>
          <w:lang w:val="fr-CA"/>
        </w:rPr>
        <w:t>Les Obstacles aux Pathogènes</w:t>
      </w:r>
    </w:p>
    <w:p w:rsidR="00E60BD5" w:rsidRPr="00AC2C90" w:rsidRDefault="00FD0BD2" w:rsidP="00FD0BD2">
      <w:pPr>
        <w:pStyle w:val="ListParagraph"/>
        <w:numPr>
          <w:ilvl w:val="0"/>
          <w:numId w:val="3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La barrière gastrique:</w:t>
      </w:r>
    </w:p>
    <w:p w:rsidR="00E60BD5" w:rsidRPr="00AC2C90" w:rsidRDefault="00FD0BD2" w:rsidP="00FD0BD2">
      <w:pPr>
        <w:pStyle w:val="ListParagraph"/>
        <w:numPr>
          <w:ilvl w:val="1"/>
          <w:numId w:val="3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pH 2-4, élimine 99% des bactéries</w:t>
      </w:r>
    </w:p>
    <w:p w:rsidR="00E60BD5" w:rsidRPr="00AC2C90" w:rsidRDefault="00FD0BD2" w:rsidP="00FD0BD2">
      <w:pPr>
        <w:pStyle w:val="ListParagraph"/>
        <w:numPr>
          <w:ilvl w:val="0"/>
          <w:numId w:val="3"/>
        </w:numPr>
        <w:spacing w:line="240" w:lineRule="auto"/>
        <w:rPr>
          <w:color w:val="000000" w:themeColor="text1"/>
          <w:sz w:val="24"/>
          <w:szCs w:val="24"/>
          <w:lang w:val="fr-CA"/>
        </w:rPr>
      </w:pPr>
      <w:r w:rsidRPr="00AC2C90">
        <w:rPr>
          <w:color w:val="000000" w:themeColor="text1"/>
          <w:sz w:val="24"/>
          <w:szCs w:val="24"/>
          <w:lang w:val="fr-CA"/>
        </w:rPr>
        <w:t>Le mucus des sécrétions intestinales:</w:t>
      </w:r>
    </w:p>
    <w:p w:rsidR="00E60BD5" w:rsidRPr="00AC2C90" w:rsidRDefault="00FD0BD2" w:rsidP="00FD0BD2">
      <w:pPr>
        <w:pStyle w:val="ListParagraph"/>
        <w:numPr>
          <w:ilvl w:val="1"/>
          <w:numId w:val="3"/>
        </w:numPr>
        <w:spacing w:line="240" w:lineRule="auto"/>
        <w:rPr>
          <w:color w:val="000000" w:themeColor="text1"/>
          <w:sz w:val="24"/>
          <w:szCs w:val="24"/>
          <w:lang w:val="fr-CA"/>
        </w:rPr>
      </w:pPr>
      <w:r w:rsidRPr="00AC2C90">
        <w:rPr>
          <w:color w:val="000000" w:themeColor="text1"/>
          <w:sz w:val="24"/>
          <w:szCs w:val="24"/>
          <w:lang w:val="fr-CA"/>
        </w:rPr>
        <w:t>Fibronectine, selles biliaires, enzymes pancréatiques albumine, IgA</w:t>
      </w:r>
    </w:p>
    <w:p w:rsidR="00E60BD5" w:rsidRPr="00AC2C90" w:rsidRDefault="00FD0BD2" w:rsidP="00FD0BD2">
      <w:pPr>
        <w:pStyle w:val="ListParagraph"/>
        <w:numPr>
          <w:ilvl w:val="0"/>
          <w:numId w:val="3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Péristaltisme</w:t>
      </w:r>
    </w:p>
    <w:p w:rsidR="00E60BD5" w:rsidRPr="00AC2C90" w:rsidRDefault="00FD0BD2" w:rsidP="00FD0BD2">
      <w:pPr>
        <w:pStyle w:val="ListParagraph"/>
        <w:numPr>
          <w:ilvl w:val="0"/>
          <w:numId w:val="3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La flore commensale</w:t>
      </w:r>
    </w:p>
    <w:p w:rsidR="007B703C" w:rsidRDefault="007B703C" w:rsidP="00AC2C90">
      <w:pPr>
        <w:spacing w:line="240" w:lineRule="auto"/>
        <w:rPr>
          <w:color w:val="000000" w:themeColor="text1"/>
          <w:sz w:val="24"/>
          <w:szCs w:val="24"/>
          <w:u w:val="single"/>
          <w:lang w:val="fr-CA"/>
        </w:rPr>
      </w:pPr>
      <w:r w:rsidRPr="007B703C">
        <w:rPr>
          <w:color w:val="000000" w:themeColor="text1"/>
          <w:sz w:val="24"/>
          <w:szCs w:val="24"/>
          <w:u w:val="single"/>
          <w:lang w:val="fr-CA"/>
        </w:rPr>
        <w:t>Gastroentérites</w:t>
      </w:r>
    </w:p>
    <w:p w:rsidR="00E60BD5" w:rsidRPr="00AC2C90" w:rsidRDefault="00FD0BD2" w:rsidP="00FD0BD2">
      <w:pPr>
        <w:pStyle w:val="ListParagraph"/>
        <w:numPr>
          <w:ilvl w:val="0"/>
          <w:numId w:val="4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Classifiées d’après le mécanisme:</w:t>
      </w:r>
    </w:p>
    <w:p w:rsidR="00E60BD5" w:rsidRPr="00AC2C90" w:rsidRDefault="00FD0BD2" w:rsidP="00FD0BD2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Diarrhées aqueuses</w:t>
      </w:r>
    </w:p>
    <w:p w:rsidR="00E60BD5" w:rsidRPr="00AC2C90" w:rsidRDefault="00FD0BD2" w:rsidP="00FD0BD2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Diarrhées inflammatoires</w:t>
      </w:r>
    </w:p>
    <w:p w:rsidR="00E60BD5" w:rsidRPr="00AC2C90" w:rsidRDefault="00FD0BD2" w:rsidP="00FD0BD2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Diarrhées invasives</w:t>
      </w:r>
    </w:p>
    <w:p w:rsidR="00E60BD5" w:rsidRPr="00AC2C90" w:rsidRDefault="00FD0BD2" w:rsidP="00FD0BD2">
      <w:pPr>
        <w:pStyle w:val="ListParagraph"/>
        <w:numPr>
          <w:ilvl w:val="0"/>
          <w:numId w:val="4"/>
        </w:numPr>
        <w:spacing w:line="240" w:lineRule="auto"/>
        <w:rPr>
          <w:color w:val="000000" w:themeColor="text1"/>
          <w:sz w:val="24"/>
          <w:szCs w:val="24"/>
          <w:lang w:val="fr-CA"/>
        </w:rPr>
      </w:pPr>
      <w:r w:rsidRPr="00AC2C90">
        <w:rPr>
          <w:color w:val="000000" w:themeColor="text1"/>
          <w:sz w:val="24"/>
          <w:szCs w:val="24"/>
          <w:lang w:val="fr-CA"/>
        </w:rPr>
        <w:t>Les intoxications alimentaires: ingestion de toxines préformées</w:t>
      </w:r>
    </w:p>
    <w:p w:rsidR="00E60BD5" w:rsidRPr="00AC2C90" w:rsidRDefault="00FD0BD2" w:rsidP="00FD0BD2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Courte période d’incubation: 4-6 heures</w:t>
      </w:r>
    </w:p>
    <w:p w:rsidR="00E60BD5" w:rsidRPr="00AC2C90" w:rsidRDefault="00FD0BD2" w:rsidP="00FD0BD2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Nausées, vomissements sans diarrhées</w:t>
      </w:r>
    </w:p>
    <w:p w:rsidR="00AC2C90" w:rsidRDefault="00AC2C90" w:rsidP="00AC2C90">
      <w:pPr>
        <w:spacing w:line="240" w:lineRule="auto"/>
        <w:rPr>
          <w:i/>
          <w:color w:val="000000" w:themeColor="text1"/>
          <w:sz w:val="24"/>
          <w:szCs w:val="24"/>
          <w:lang w:val="fr-CA"/>
        </w:rPr>
      </w:pPr>
    </w:p>
    <w:p w:rsidR="00AC2C90" w:rsidRDefault="00AC2C90" w:rsidP="00AC2C90">
      <w:pPr>
        <w:spacing w:line="240" w:lineRule="auto"/>
        <w:rPr>
          <w:i/>
          <w:color w:val="000000" w:themeColor="text1"/>
          <w:sz w:val="24"/>
          <w:szCs w:val="24"/>
          <w:lang w:val="fr-CA"/>
        </w:rPr>
      </w:pPr>
    </w:p>
    <w:p w:rsidR="00E60BD5" w:rsidRPr="007B703C" w:rsidRDefault="00FD0BD2" w:rsidP="00AC2C90">
      <w:pPr>
        <w:spacing w:line="240" w:lineRule="auto"/>
        <w:rPr>
          <w:i/>
          <w:color w:val="000000" w:themeColor="text1"/>
          <w:sz w:val="24"/>
          <w:szCs w:val="24"/>
        </w:rPr>
      </w:pPr>
      <w:r w:rsidRPr="007B703C">
        <w:rPr>
          <w:i/>
          <w:color w:val="000000" w:themeColor="text1"/>
          <w:sz w:val="24"/>
          <w:szCs w:val="24"/>
          <w:lang w:val="fr-CA"/>
        </w:rPr>
        <w:lastRenderedPageBreak/>
        <w:t>Diarrhées infectieuses</w:t>
      </w:r>
    </w:p>
    <w:p w:rsidR="007B703C" w:rsidRPr="007B703C" w:rsidRDefault="007B703C" w:rsidP="00AC2C90">
      <w:pPr>
        <w:spacing w:line="240" w:lineRule="auto"/>
        <w:rPr>
          <w:color w:val="000000" w:themeColor="text1"/>
          <w:sz w:val="24"/>
          <w:szCs w:val="24"/>
        </w:rPr>
      </w:pPr>
      <w:r w:rsidRPr="007B703C">
        <w:rPr>
          <w:color w:val="000000" w:themeColor="text1"/>
          <w:sz w:val="24"/>
          <w:szCs w:val="24"/>
          <w:lang w:val="fr-CA"/>
        </w:rPr>
        <w:t>A)</w:t>
      </w:r>
      <w:r w:rsidRPr="007B703C">
        <w:rPr>
          <w:color w:val="000000" w:themeColor="text1"/>
          <w:sz w:val="24"/>
          <w:szCs w:val="24"/>
          <w:lang w:val="fr-CA"/>
        </w:rPr>
        <w:tab/>
        <w:t>Diarrhées aqueuses (sécrétoires)</w:t>
      </w:r>
    </w:p>
    <w:p w:rsidR="00E60BD5" w:rsidRPr="00AC2C90" w:rsidRDefault="00FD0BD2" w:rsidP="00FD0BD2">
      <w:pPr>
        <w:pStyle w:val="ListParagraph"/>
        <w:numPr>
          <w:ilvl w:val="0"/>
          <w:numId w:val="5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Pathogenèse: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color w:val="000000" w:themeColor="text1"/>
          <w:sz w:val="24"/>
          <w:szCs w:val="24"/>
          <w:lang w:val="fr-CA"/>
        </w:rPr>
      </w:pPr>
      <w:r w:rsidRPr="00AC2C90">
        <w:rPr>
          <w:color w:val="000000" w:themeColor="text1"/>
          <w:sz w:val="24"/>
          <w:szCs w:val="24"/>
          <w:lang w:val="fr-CA"/>
        </w:rPr>
        <w:t>Interruption de la fonction sécrétoire de l’intestin grêle supérieur due à la colonisation ou à la production de toxines (choléra)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color w:val="000000" w:themeColor="text1"/>
          <w:sz w:val="24"/>
          <w:szCs w:val="24"/>
          <w:lang w:val="fr-CA"/>
        </w:rPr>
      </w:pPr>
      <w:r w:rsidRPr="00AC2C90">
        <w:rPr>
          <w:color w:val="000000" w:themeColor="text1"/>
          <w:sz w:val="24"/>
          <w:szCs w:val="24"/>
          <w:lang w:val="fr-CA"/>
        </w:rPr>
        <w:t>Toxines sécrétées à la surface de la membrane muqueuse (E</w:t>
      </w:r>
      <w:r w:rsidRPr="00AC2C90">
        <w:rPr>
          <w:i/>
          <w:iCs/>
          <w:color w:val="000000" w:themeColor="text1"/>
          <w:sz w:val="24"/>
          <w:szCs w:val="24"/>
          <w:lang w:val="fr-CA"/>
        </w:rPr>
        <w:t>. coli, B. cereus, C. perfringens</w:t>
      </w:r>
      <w:r w:rsidRPr="00AC2C90">
        <w:rPr>
          <w:color w:val="000000" w:themeColor="text1"/>
          <w:sz w:val="24"/>
          <w:szCs w:val="24"/>
          <w:lang w:val="fr-CA"/>
        </w:rPr>
        <w:t>)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Incubation 8-16 h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color w:val="000000" w:themeColor="text1"/>
          <w:sz w:val="24"/>
          <w:szCs w:val="24"/>
        </w:rPr>
      </w:pPr>
      <w:r w:rsidRPr="00AC2C90">
        <w:rPr>
          <w:color w:val="000000" w:themeColor="text1"/>
          <w:sz w:val="24"/>
          <w:szCs w:val="24"/>
          <w:lang w:val="fr-CA"/>
        </w:rPr>
        <w:t>Crampes avec diarrhée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color w:val="000000" w:themeColor="text1"/>
          <w:sz w:val="24"/>
          <w:szCs w:val="24"/>
          <w:lang w:val="fr-CA"/>
        </w:rPr>
      </w:pPr>
      <w:r w:rsidRPr="00AC2C90">
        <w:rPr>
          <w:color w:val="000000" w:themeColor="text1"/>
          <w:sz w:val="24"/>
          <w:szCs w:val="24"/>
          <w:lang w:val="fr-CA"/>
        </w:rPr>
        <w:t>N/V et fièvre ne sont pas des symptômes majeurs</w:t>
      </w:r>
    </w:p>
    <w:p w:rsidR="007B703C" w:rsidRPr="007B703C" w:rsidRDefault="00AC2C90" w:rsidP="00AC2C90">
      <w:pPr>
        <w:spacing w:line="240" w:lineRule="auto"/>
        <w:rPr>
          <w:color w:val="000000" w:themeColor="text1"/>
          <w:sz w:val="24"/>
          <w:szCs w:val="24"/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4FFF4E14" wp14:editId="10634297">
            <wp:simplePos x="0" y="0"/>
            <wp:positionH relativeFrom="column">
              <wp:posOffset>1456690</wp:posOffset>
            </wp:positionH>
            <wp:positionV relativeFrom="paragraph">
              <wp:posOffset>46355</wp:posOffset>
            </wp:positionV>
            <wp:extent cx="3066415" cy="1428750"/>
            <wp:effectExtent l="0" t="0" r="635" b="0"/>
            <wp:wrapSquare wrapText="bothSides"/>
            <wp:docPr id="3084" name="Picture 3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92" t="40479" r="26602" b="36146"/>
                    <a:stretch/>
                  </pic:blipFill>
                  <pic:spPr bwMode="auto">
                    <a:xfrm>
                      <a:off x="0" y="0"/>
                      <a:ext cx="306641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03C" w:rsidRPr="00106318" w:rsidRDefault="007B703C" w:rsidP="00AC2C90">
      <w:pPr>
        <w:spacing w:line="240" w:lineRule="auto"/>
        <w:rPr>
          <w:noProof/>
          <w:lang w:val="fr-CA" w:eastAsia="en-CA"/>
        </w:rPr>
      </w:pPr>
    </w:p>
    <w:p w:rsidR="007B703C" w:rsidRPr="007B703C" w:rsidRDefault="007B703C" w:rsidP="00AC2C90">
      <w:pPr>
        <w:spacing w:line="240" w:lineRule="auto"/>
        <w:rPr>
          <w:sz w:val="24"/>
          <w:szCs w:val="24"/>
          <w:lang w:val="fr-CA"/>
        </w:rPr>
      </w:pPr>
    </w:p>
    <w:p w:rsidR="007B703C" w:rsidRDefault="007B703C" w:rsidP="00AC2C90">
      <w:pPr>
        <w:spacing w:line="240" w:lineRule="auto"/>
        <w:rPr>
          <w:sz w:val="24"/>
          <w:szCs w:val="24"/>
          <w:lang w:val="fr-CA"/>
        </w:rPr>
      </w:pPr>
    </w:p>
    <w:p w:rsidR="007B703C" w:rsidRDefault="007B703C" w:rsidP="00AC2C90">
      <w:pPr>
        <w:spacing w:line="240" w:lineRule="auto"/>
        <w:rPr>
          <w:sz w:val="24"/>
          <w:szCs w:val="24"/>
          <w:lang w:val="fr-CA"/>
        </w:rPr>
      </w:pPr>
    </w:p>
    <w:p w:rsidR="00E60BD5" w:rsidRPr="00AC2C90" w:rsidRDefault="00FD0BD2" w:rsidP="00FD0BD2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AC2C90">
        <w:rPr>
          <w:sz w:val="24"/>
          <w:szCs w:val="24"/>
          <w:lang w:val="fr-CA"/>
        </w:rPr>
        <w:t>Étiologie: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sz w:val="24"/>
          <w:szCs w:val="24"/>
          <w:lang w:val="fr-CA"/>
        </w:rPr>
      </w:pPr>
      <w:r w:rsidRPr="00AC2C90">
        <w:rPr>
          <w:sz w:val="24"/>
          <w:szCs w:val="24"/>
          <w:lang w:val="fr-CA"/>
        </w:rPr>
        <w:t xml:space="preserve">Virus (Norovirus, Rotavirus), </w:t>
      </w:r>
      <w:r w:rsidRPr="00AC2C90">
        <w:rPr>
          <w:i/>
          <w:iCs/>
          <w:sz w:val="24"/>
          <w:szCs w:val="24"/>
          <w:lang w:val="fr-CA"/>
        </w:rPr>
        <w:t>E. coli, S. aureus, B. cereus, C. perfringens,</w:t>
      </w:r>
      <w:r w:rsidRPr="00AC2C90">
        <w:rPr>
          <w:sz w:val="24"/>
          <w:szCs w:val="24"/>
          <w:lang w:val="fr-CA"/>
        </w:rPr>
        <w:t xml:space="preserve"> V</w:t>
      </w:r>
      <w:r w:rsidRPr="00AC2C90">
        <w:rPr>
          <w:i/>
          <w:iCs/>
          <w:sz w:val="24"/>
          <w:szCs w:val="24"/>
          <w:lang w:val="fr-CA"/>
        </w:rPr>
        <w:t>. cholera, Cryptosporidium, Cyclospora, Giardia</w:t>
      </w:r>
    </w:p>
    <w:p w:rsidR="007B703C" w:rsidRPr="00AC2C90" w:rsidRDefault="007B703C" w:rsidP="00AC2C90">
      <w:pPr>
        <w:spacing w:line="240" w:lineRule="auto"/>
        <w:rPr>
          <w:sz w:val="24"/>
          <w:szCs w:val="24"/>
          <w:lang w:val="fr-CA"/>
        </w:rPr>
      </w:pPr>
      <w:r w:rsidRPr="007B703C">
        <w:rPr>
          <w:sz w:val="24"/>
          <w:szCs w:val="24"/>
          <w:lang w:val="fr-CA"/>
        </w:rPr>
        <w:t>B)</w:t>
      </w:r>
      <w:r w:rsidRPr="007B703C">
        <w:rPr>
          <w:sz w:val="24"/>
          <w:szCs w:val="24"/>
          <w:lang w:val="fr-CA"/>
        </w:rPr>
        <w:tab/>
        <w:t>Diarrhées inflammatoires</w:t>
      </w:r>
    </w:p>
    <w:p w:rsidR="00E60BD5" w:rsidRPr="00AC2C90" w:rsidRDefault="00FD0BD2" w:rsidP="00FD0BD2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  <w:lang w:val="fr-CA"/>
        </w:rPr>
      </w:pPr>
      <w:r w:rsidRPr="00AC2C90">
        <w:rPr>
          <w:sz w:val="24"/>
          <w:szCs w:val="24"/>
          <w:lang w:val="fr-CA"/>
        </w:rPr>
        <w:t>Pathogenèse: interruption de la fonction d’absorption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sz w:val="24"/>
          <w:szCs w:val="24"/>
          <w:lang w:val="fr-CA"/>
        </w:rPr>
      </w:pPr>
      <w:r w:rsidRPr="00AC2C90">
        <w:rPr>
          <w:sz w:val="24"/>
          <w:szCs w:val="24"/>
          <w:lang w:val="fr-CA"/>
        </w:rPr>
        <w:t>Infection localisée au niveau du côlon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sz w:val="24"/>
          <w:szCs w:val="24"/>
          <w:lang w:val="fr-CA"/>
        </w:rPr>
      </w:pPr>
      <w:r w:rsidRPr="00AC2C90">
        <w:rPr>
          <w:sz w:val="24"/>
          <w:szCs w:val="24"/>
          <w:lang w:val="fr-CA"/>
        </w:rPr>
        <w:t>Colonisation et adhérence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sz w:val="24"/>
          <w:szCs w:val="24"/>
          <w:lang w:val="fr-CA"/>
        </w:rPr>
      </w:pPr>
      <w:r w:rsidRPr="00AC2C90">
        <w:rPr>
          <w:sz w:val="24"/>
          <w:szCs w:val="24"/>
          <w:lang w:val="fr-CA"/>
        </w:rPr>
        <w:t>Destruction et effacement de la surface épithéliale - Rx inflammatoires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sz w:val="24"/>
          <w:szCs w:val="24"/>
          <w:lang w:val="fr-CA"/>
        </w:rPr>
      </w:pPr>
      <w:r w:rsidRPr="00AC2C90">
        <w:rPr>
          <w:sz w:val="24"/>
          <w:szCs w:val="24"/>
          <w:lang w:val="fr-CA"/>
        </w:rPr>
        <w:t>Facteurs de virulences: Cytotoxines</w:t>
      </w:r>
    </w:p>
    <w:p w:rsidR="00E60BD5" w:rsidRPr="00AC2C90" w:rsidRDefault="00FD0BD2" w:rsidP="00FD0BD2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  <w:lang w:val="fr-CA"/>
        </w:rPr>
      </w:pPr>
      <w:r w:rsidRPr="00AC2C90">
        <w:rPr>
          <w:sz w:val="24"/>
          <w:szCs w:val="24"/>
          <w:lang w:val="fr-CA"/>
        </w:rPr>
        <w:t>Étiologie: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sz w:val="24"/>
          <w:szCs w:val="24"/>
          <w:lang w:val="fr-CA"/>
        </w:rPr>
      </w:pPr>
      <w:r w:rsidRPr="00AC2C90">
        <w:rPr>
          <w:sz w:val="24"/>
          <w:szCs w:val="24"/>
          <w:lang w:val="fr-CA"/>
        </w:rPr>
        <w:t>S</w:t>
      </w:r>
      <w:r w:rsidRPr="00AC2C90">
        <w:rPr>
          <w:i/>
          <w:iCs/>
          <w:sz w:val="24"/>
          <w:szCs w:val="24"/>
          <w:lang w:val="fr-CA"/>
        </w:rPr>
        <w:t xml:space="preserve">higella, Vibrio, E. coli, </w:t>
      </w:r>
      <w:r w:rsidRPr="00AC2C90">
        <w:rPr>
          <w:sz w:val="24"/>
          <w:szCs w:val="24"/>
          <w:lang w:val="fr-CA"/>
        </w:rPr>
        <w:t>S</w:t>
      </w:r>
      <w:r w:rsidRPr="00AC2C90">
        <w:rPr>
          <w:i/>
          <w:iCs/>
          <w:sz w:val="24"/>
          <w:szCs w:val="24"/>
          <w:lang w:val="fr-CA"/>
        </w:rPr>
        <w:t>almonella, Campylobacter</w:t>
      </w:r>
    </w:p>
    <w:p w:rsidR="00E60BD5" w:rsidRPr="00AC2C90" w:rsidRDefault="00FD0BD2" w:rsidP="00FD0BD2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  <w:lang w:val="fr-CA"/>
        </w:rPr>
      </w:pPr>
      <w:r w:rsidRPr="00AC2C90">
        <w:rPr>
          <w:sz w:val="24"/>
          <w:szCs w:val="24"/>
          <w:lang w:val="fr-CA"/>
        </w:rPr>
        <w:t>Selles:</w:t>
      </w:r>
    </w:p>
    <w:p w:rsidR="00E60BD5" w:rsidRPr="00AC2C90" w:rsidRDefault="00FD0BD2" w:rsidP="00FD0BD2">
      <w:pPr>
        <w:pStyle w:val="ListParagraph"/>
        <w:numPr>
          <w:ilvl w:val="1"/>
          <w:numId w:val="5"/>
        </w:numPr>
        <w:spacing w:line="240" w:lineRule="auto"/>
        <w:rPr>
          <w:sz w:val="24"/>
          <w:szCs w:val="24"/>
          <w:lang w:val="fr-CA"/>
        </w:rPr>
      </w:pPr>
      <w:r w:rsidRPr="00AC2C90">
        <w:rPr>
          <w:sz w:val="24"/>
          <w:szCs w:val="24"/>
          <w:lang w:val="fr-CA"/>
        </w:rPr>
        <w:t>Souvent hémorragiques avec cellules inflammatoires (polynucléaires) et accompagnées de fièvre</w:t>
      </w:r>
    </w:p>
    <w:p w:rsidR="00670805" w:rsidRPr="00AC2C90" w:rsidRDefault="00670805" w:rsidP="00AC2C90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34D81841" wp14:editId="61273B72">
            <wp:simplePos x="0" y="0"/>
            <wp:positionH relativeFrom="column">
              <wp:posOffset>1285875</wp:posOffset>
            </wp:positionH>
            <wp:positionV relativeFrom="paragraph">
              <wp:posOffset>154940</wp:posOffset>
            </wp:positionV>
            <wp:extent cx="2943225" cy="1760220"/>
            <wp:effectExtent l="0" t="0" r="9525" b="0"/>
            <wp:wrapSquare wrapText="bothSides"/>
            <wp:docPr id="3085" name="Picture 3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3" t="34493" r="26923" b="29874"/>
                    <a:stretch/>
                  </pic:blipFill>
                  <pic:spPr bwMode="auto">
                    <a:xfrm>
                      <a:off x="0" y="0"/>
                      <a:ext cx="2943225" cy="1760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03C" w:rsidRDefault="007B703C" w:rsidP="00AC2C90">
      <w:pPr>
        <w:spacing w:line="240" w:lineRule="auto"/>
        <w:rPr>
          <w:sz w:val="24"/>
          <w:szCs w:val="24"/>
          <w:lang w:val="fr-CA"/>
        </w:rPr>
      </w:pP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670805" w:rsidRPr="00670805" w:rsidRDefault="00670805" w:rsidP="00AC2C90">
      <w:pPr>
        <w:spacing w:line="240" w:lineRule="auto"/>
        <w:rPr>
          <w:sz w:val="24"/>
          <w:szCs w:val="24"/>
        </w:rPr>
      </w:pPr>
      <w:r w:rsidRPr="00670805">
        <w:rPr>
          <w:sz w:val="24"/>
          <w:szCs w:val="24"/>
          <w:lang w:val="fr-CA"/>
        </w:rPr>
        <w:lastRenderedPageBreak/>
        <w:t>C)</w:t>
      </w:r>
      <w:r w:rsidRPr="00670805">
        <w:rPr>
          <w:sz w:val="24"/>
          <w:szCs w:val="24"/>
          <w:lang w:val="fr-CA"/>
        </w:rPr>
        <w:tab/>
        <w:t>Diarrhées Invasives</w:t>
      </w:r>
    </w:p>
    <w:p w:rsidR="00E60BD5" w:rsidRPr="00D60D61" w:rsidRDefault="00FD0BD2" w:rsidP="00FD0BD2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D60D61">
        <w:rPr>
          <w:sz w:val="24"/>
          <w:szCs w:val="24"/>
          <w:lang w:val="fr-CA"/>
        </w:rPr>
        <w:t>Pathogenèse :</w:t>
      </w:r>
    </w:p>
    <w:p w:rsidR="00E60BD5" w:rsidRPr="00D60D61" w:rsidRDefault="00FD0BD2" w:rsidP="00FD0BD2">
      <w:pPr>
        <w:pStyle w:val="ListParagraph"/>
        <w:numPr>
          <w:ilvl w:val="1"/>
          <w:numId w:val="6"/>
        </w:numPr>
        <w:spacing w:line="240" w:lineRule="auto"/>
        <w:rPr>
          <w:sz w:val="24"/>
          <w:szCs w:val="24"/>
          <w:lang w:val="fr-CA"/>
        </w:rPr>
      </w:pPr>
      <w:r w:rsidRPr="00D60D61">
        <w:rPr>
          <w:sz w:val="24"/>
          <w:szCs w:val="24"/>
          <w:lang w:val="fr-CA"/>
        </w:rPr>
        <w:t>Interruption de la fonction d’absorption au niveau de l’iléon et du côlon</w:t>
      </w:r>
    </w:p>
    <w:p w:rsidR="00E60BD5" w:rsidRPr="00D60D61" w:rsidRDefault="00FD0BD2" w:rsidP="00FD0BD2">
      <w:pPr>
        <w:pStyle w:val="ListParagraph"/>
        <w:numPr>
          <w:ilvl w:val="1"/>
          <w:numId w:val="6"/>
        </w:numPr>
        <w:spacing w:line="240" w:lineRule="auto"/>
        <w:rPr>
          <w:sz w:val="24"/>
          <w:szCs w:val="24"/>
          <w:lang w:val="fr-CA"/>
        </w:rPr>
      </w:pPr>
      <w:r w:rsidRPr="00D60D61">
        <w:rPr>
          <w:sz w:val="24"/>
          <w:szCs w:val="24"/>
          <w:lang w:val="fr-CA"/>
        </w:rPr>
        <w:t xml:space="preserve">Pénétration de l’épithélium avec multiplication intracellulaire </w:t>
      </w:r>
    </w:p>
    <w:p w:rsidR="00E60BD5" w:rsidRPr="00D60D61" w:rsidRDefault="00FD0BD2" w:rsidP="00FD0BD2">
      <w:pPr>
        <w:pStyle w:val="ListParagraph"/>
        <w:numPr>
          <w:ilvl w:val="1"/>
          <w:numId w:val="6"/>
        </w:numPr>
        <w:spacing w:line="240" w:lineRule="auto"/>
        <w:rPr>
          <w:sz w:val="24"/>
          <w:szCs w:val="24"/>
          <w:lang w:val="fr-CA"/>
        </w:rPr>
      </w:pPr>
      <w:r w:rsidRPr="00D60D61">
        <w:rPr>
          <w:sz w:val="24"/>
          <w:szCs w:val="24"/>
          <w:lang w:val="fr-CA"/>
        </w:rPr>
        <w:t>Destruction et effacement de l’épithélium avec ulcérations</w:t>
      </w:r>
    </w:p>
    <w:p w:rsidR="00E60BD5" w:rsidRPr="00D60D61" w:rsidRDefault="00FD0BD2" w:rsidP="00FD0BD2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D60D61">
        <w:rPr>
          <w:sz w:val="24"/>
          <w:szCs w:val="24"/>
          <w:lang w:val="fr-CA"/>
        </w:rPr>
        <w:t>Étiologie:</w:t>
      </w:r>
    </w:p>
    <w:p w:rsidR="00E60BD5" w:rsidRPr="00D60D61" w:rsidRDefault="00FD0BD2" w:rsidP="00FD0BD2">
      <w:pPr>
        <w:pStyle w:val="ListParagraph"/>
        <w:numPr>
          <w:ilvl w:val="1"/>
          <w:numId w:val="6"/>
        </w:numPr>
        <w:spacing w:line="240" w:lineRule="auto"/>
        <w:rPr>
          <w:sz w:val="24"/>
          <w:szCs w:val="24"/>
        </w:rPr>
      </w:pPr>
      <w:r w:rsidRPr="00D60D61">
        <w:rPr>
          <w:i/>
          <w:iCs/>
          <w:sz w:val="24"/>
          <w:szCs w:val="24"/>
        </w:rPr>
        <w:t xml:space="preserve">S. dysenteriae, Salmonella typhi, E. coli </w:t>
      </w:r>
      <w:r w:rsidRPr="00D60D61">
        <w:rPr>
          <w:sz w:val="24"/>
          <w:szCs w:val="24"/>
        </w:rPr>
        <w:t>(EIEC),</w:t>
      </w:r>
      <w:r w:rsidRPr="00D60D61">
        <w:rPr>
          <w:i/>
          <w:iCs/>
          <w:sz w:val="24"/>
          <w:szCs w:val="24"/>
        </w:rPr>
        <w:t xml:space="preserve"> Y. enterocolitica, Campylobacter, E. histolytica.</w:t>
      </w:r>
    </w:p>
    <w:p w:rsidR="00E60BD5" w:rsidRPr="00D60D61" w:rsidRDefault="00FD0BD2" w:rsidP="00FD0BD2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D60D61">
        <w:rPr>
          <w:sz w:val="24"/>
          <w:szCs w:val="24"/>
          <w:lang w:val="fr-CA"/>
        </w:rPr>
        <w:t>Selles:</w:t>
      </w:r>
    </w:p>
    <w:p w:rsidR="00E60BD5" w:rsidRPr="00D60D61" w:rsidRDefault="00FD0BD2" w:rsidP="00FD0BD2">
      <w:pPr>
        <w:pStyle w:val="ListParagraph"/>
        <w:numPr>
          <w:ilvl w:val="1"/>
          <w:numId w:val="6"/>
        </w:numPr>
        <w:spacing w:line="240" w:lineRule="auto"/>
        <w:rPr>
          <w:sz w:val="24"/>
          <w:szCs w:val="24"/>
          <w:lang w:val="fr-CA"/>
        </w:rPr>
      </w:pPr>
      <w:r w:rsidRPr="00D60D61">
        <w:rPr>
          <w:sz w:val="24"/>
          <w:szCs w:val="24"/>
          <w:lang w:val="fr-CA"/>
        </w:rPr>
        <w:t>Glaireuses, parfois hémorragiques avec cellules inflammatoires et accompagnées de fièvre</w:t>
      </w:r>
    </w:p>
    <w:p w:rsidR="00670805" w:rsidRPr="00106318" w:rsidRDefault="00670805" w:rsidP="00AC2C90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 wp14:anchorId="52F76AA3" wp14:editId="78C2C66E">
            <wp:simplePos x="0" y="0"/>
            <wp:positionH relativeFrom="column">
              <wp:posOffset>0</wp:posOffset>
            </wp:positionH>
            <wp:positionV relativeFrom="paragraph">
              <wp:posOffset>64135</wp:posOffset>
            </wp:positionV>
            <wp:extent cx="2943225" cy="1991360"/>
            <wp:effectExtent l="0" t="0" r="9525" b="8890"/>
            <wp:wrapSquare wrapText="bothSides"/>
            <wp:docPr id="3086" name="Picture 3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65" t="34207" r="26923" b="27024"/>
                    <a:stretch/>
                  </pic:blipFill>
                  <pic:spPr bwMode="auto">
                    <a:xfrm>
                      <a:off x="0" y="0"/>
                      <a:ext cx="2943225" cy="1991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670805" w:rsidRDefault="00D60D61" w:rsidP="00AC2C90">
      <w:pPr>
        <w:spacing w:line="240" w:lineRule="auto"/>
        <w:rPr>
          <w:sz w:val="24"/>
          <w:szCs w:val="24"/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4384" behindDoc="0" locked="0" layoutInCell="1" allowOverlap="1" wp14:anchorId="6ACE5718" wp14:editId="08F035B9">
            <wp:simplePos x="0" y="0"/>
            <wp:positionH relativeFrom="column">
              <wp:posOffset>1203960</wp:posOffset>
            </wp:positionH>
            <wp:positionV relativeFrom="paragraph">
              <wp:posOffset>182880</wp:posOffset>
            </wp:positionV>
            <wp:extent cx="2965450" cy="1828800"/>
            <wp:effectExtent l="0" t="0" r="6350" b="0"/>
            <wp:wrapSquare wrapText="bothSides"/>
            <wp:docPr id="3087" name="Picture 3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60" t="31357" r="21795" b="24173"/>
                    <a:stretch/>
                  </pic:blipFill>
                  <pic:spPr bwMode="auto">
                    <a:xfrm>
                      <a:off x="0" y="0"/>
                      <a:ext cx="296545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E60BD5" w:rsidRPr="00D60D61" w:rsidRDefault="00FD0BD2" w:rsidP="00FD0BD2">
      <w:pPr>
        <w:pStyle w:val="ListParagraph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D60D61">
        <w:rPr>
          <w:sz w:val="24"/>
          <w:szCs w:val="24"/>
          <w:lang w:val="fr-CA"/>
        </w:rPr>
        <w:t>Diarrhées invasives avec fièvre septicémique</w:t>
      </w:r>
    </w:p>
    <w:p w:rsidR="00E60BD5" w:rsidRPr="00D60D61" w:rsidRDefault="00FD0BD2" w:rsidP="00FD0BD2">
      <w:pPr>
        <w:pStyle w:val="ListParagraph"/>
        <w:numPr>
          <w:ilvl w:val="1"/>
          <w:numId w:val="7"/>
        </w:numPr>
        <w:spacing w:line="240" w:lineRule="auto"/>
        <w:rPr>
          <w:sz w:val="24"/>
          <w:szCs w:val="24"/>
          <w:lang w:val="fr-CA"/>
        </w:rPr>
      </w:pPr>
      <w:r w:rsidRPr="00D60D61">
        <w:rPr>
          <w:sz w:val="24"/>
          <w:szCs w:val="24"/>
          <w:lang w:val="fr-CA"/>
        </w:rPr>
        <w:t>Invasion du système circulatoire avec dissémination</w:t>
      </w:r>
    </w:p>
    <w:p w:rsidR="00E60BD5" w:rsidRPr="00D60D61" w:rsidRDefault="00FD0BD2" w:rsidP="00FD0BD2">
      <w:pPr>
        <w:pStyle w:val="ListParagraph"/>
        <w:numPr>
          <w:ilvl w:val="1"/>
          <w:numId w:val="7"/>
        </w:numPr>
        <w:spacing w:line="240" w:lineRule="auto"/>
        <w:rPr>
          <w:sz w:val="24"/>
          <w:szCs w:val="24"/>
          <w:lang w:val="fr-CA"/>
        </w:rPr>
      </w:pPr>
      <w:r w:rsidRPr="00D60D61">
        <w:rPr>
          <w:sz w:val="24"/>
          <w:szCs w:val="24"/>
          <w:lang w:val="fr-CA"/>
        </w:rPr>
        <w:t>Les symptômes relèvent des systèmes impliqués p. ex. : foie</w:t>
      </w:r>
    </w:p>
    <w:p w:rsidR="00670805" w:rsidRPr="00797375" w:rsidRDefault="00D60D61" w:rsidP="00AC2C90">
      <w:pPr>
        <w:spacing w:line="240" w:lineRule="auto"/>
        <w:rPr>
          <w:b/>
          <w:iCs/>
          <w:color w:val="FFFF00"/>
          <w:sz w:val="28"/>
          <w:szCs w:val="28"/>
          <w:lang w:val="fr-CA"/>
        </w:rPr>
      </w:pPr>
      <w:r w:rsidRPr="00797375">
        <w:rPr>
          <w:b/>
          <w:iCs/>
          <w:color w:val="FFFF00"/>
          <w:sz w:val="28"/>
          <w:szCs w:val="28"/>
          <w:lang w:val="fr-CA"/>
        </w:rPr>
        <w:t>Escherichia coli</w:t>
      </w:r>
    </w:p>
    <w:p w:rsidR="00670805" w:rsidRDefault="00D60D61" w:rsidP="00AC2C90">
      <w:pPr>
        <w:spacing w:line="240" w:lineRule="auto"/>
        <w:rPr>
          <w:sz w:val="24"/>
          <w:szCs w:val="24"/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5408" behindDoc="0" locked="0" layoutInCell="1" allowOverlap="1" wp14:anchorId="64EB9DD8" wp14:editId="3E134F52">
            <wp:simplePos x="0" y="0"/>
            <wp:positionH relativeFrom="column">
              <wp:posOffset>5715</wp:posOffset>
            </wp:positionH>
            <wp:positionV relativeFrom="paragraph">
              <wp:posOffset>147320</wp:posOffset>
            </wp:positionV>
            <wp:extent cx="5836920" cy="3485515"/>
            <wp:effectExtent l="0" t="0" r="0" b="635"/>
            <wp:wrapSquare wrapText="bothSides"/>
            <wp:docPr id="3088" name="Picture 3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55" t="30502" r="20994" b="22178"/>
                    <a:stretch/>
                  </pic:blipFill>
                  <pic:spPr bwMode="auto">
                    <a:xfrm>
                      <a:off x="0" y="0"/>
                      <a:ext cx="5836920" cy="3485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670805" w:rsidRDefault="00670805" w:rsidP="00AC2C90">
      <w:pPr>
        <w:spacing w:line="240" w:lineRule="auto"/>
        <w:rPr>
          <w:sz w:val="24"/>
          <w:szCs w:val="24"/>
          <w:lang w:val="fr-CA"/>
        </w:rPr>
      </w:pPr>
    </w:p>
    <w:p w:rsidR="00670805" w:rsidRPr="00D60D61" w:rsidRDefault="00670805" w:rsidP="00AC2C90">
      <w:pPr>
        <w:spacing w:line="240" w:lineRule="auto"/>
        <w:rPr>
          <w:noProof/>
          <w:lang w:val="fr-CA" w:eastAsia="en-CA"/>
        </w:rPr>
      </w:pPr>
    </w:p>
    <w:p w:rsidR="00670805" w:rsidRDefault="00670805" w:rsidP="00AC2C90">
      <w:pPr>
        <w:spacing w:line="240" w:lineRule="auto"/>
        <w:rPr>
          <w:b/>
          <w:sz w:val="28"/>
          <w:szCs w:val="28"/>
          <w:lang w:val="fr-CA"/>
        </w:rPr>
      </w:pPr>
    </w:p>
    <w:p w:rsidR="00670805" w:rsidRDefault="00670805" w:rsidP="00AC2C90">
      <w:pPr>
        <w:spacing w:line="240" w:lineRule="auto"/>
        <w:rPr>
          <w:b/>
          <w:sz w:val="28"/>
          <w:szCs w:val="28"/>
          <w:lang w:val="fr-CA"/>
        </w:rPr>
      </w:pPr>
    </w:p>
    <w:p w:rsidR="00670805" w:rsidRDefault="00670805" w:rsidP="00AC2C90">
      <w:pPr>
        <w:spacing w:line="240" w:lineRule="auto"/>
        <w:rPr>
          <w:b/>
          <w:sz w:val="28"/>
          <w:szCs w:val="28"/>
          <w:lang w:val="fr-CA"/>
        </w:rPr>
      </w:pPr>
    </w:p>
    <w:p w:rsidR="00670805" w:rsidRDefault="00670805" w:rsidP="00AC2C90">
      <w:pPr>
        <w:spacing w:line="240" w:lineRule="auto"/>
        <w:rPr>
          <w:b/>
          <w:sz w:val="28"/>
          <w:szCs w:val="28"/>
          <w:lang w:val="fr-CA"/>
        </w:rPr>
      </w:pPr>
    </w:p>
    <w:p w:rsidR="00670805" w:rsidRDefault="00670805" w:rsidP="00AC2C90">
      <w:pPr>
        <w:spacing w:line="240" w:lineRule="auto"/>
        <w:rPr>
          <w:b/>
          <w:sz w:val="28"/>
          <w:szCs w:val="28"/>
          <w:lang w:val="fr-CA"/>
        </w:rPr>
      </w:pPr>
    </w:p>
    <w:p w:rsidR="00670805" w:rsidRPr="008F0B35" w:rsidRDefault="008F0B35" w:rsidP="00AC2C90">
      <w:pPr>
        <w:spacing w:line="240" w:lineRule="auto"/>
        <w:rPr>
          <w:i/>
          <w:lang w:val="fr-CA"/>
        </w:rPr>
      </w:pPr>
      <w:r w:rsidRPr="00D60D61">
        <w:rPr>
          <w:i/>
          <w:iCs/>
          <w:lang w:val="fr-CA"/>
        </w:rPr>
        <w:lastRenderedPageBreak/>
        <w:t xml:space="preserve">E. coli </w:t>
      </w:r>
      <w:r w:rsidRPr="008F0B35">
        <w:rPr>
          <w:i/>
          <w:lang w:val="fr-CA"/>
        </w:rPr>
        <w:t>Enterotoxinogènes (ETEC)</w:t>
      </w:r>
    </w:p>
    <w:p w:rsidR="00E60BD5" w:rsidRPr="00D60D61" w:rsidRDefault="00FD0BD2" w:rsidP="00FD0BD2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D60D61">
        <w:rPr>
          <w:lang w:val="fr-CA"/>
        </w:rPr>
        <w:t>Diarrhée des voyageurs (La turista, Aztec 2 step, Backdoor sprint)</w:t>
      </w:r>
    </w:p>
    <w:p w:rsidR="00E60BD5" w:rsidRPr="00D60D61" w:rsidRDefault="00FD0BD2" w:rsidP="00FD0BD2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D60D61">
        <w:rPr>
          <w:lang w:val="fr-CA"/>
        </w:rPr>
        <w:t>Transmission par de l’eau/aliments contaminées</w:t>
      </w:r>
    </w:p>
    <w:p w:rsidR="00E60BD5" w:rsidRPr="008F0B35" w:rsidRDefault="00FD0BD2" w:rsidP="00FD0BD2">
      <w:pPr>
        <w:pStyle w:val="ListParagraph"/>
        <w:numPr>
          <w:ilvl w:val="1"/>
          <w:numId w:val="8"/>
        </w:numPr>
        <w:spacing w:line="240" w:lineRule="auto"/>
      </w:pPr>
      <w:r w:rsidRPr="00D60D61">
        <w:rPr>
          <w:lang w:val="fr-CA"/>
        </w:rPr>
        <w:t>Incubation 24-48 h</w:t>
      </w:r>
    </w:p>
    <w:p w:rsidR="00E60BD5" w:rsidRPr="008F0B35" w:rsidRDefault="00FD0BD2" w:rsidP="00FD0BD2">
      <w:pPr>
        <w:pStyle w:val="ListParagraph"/>
        <w:numPr>
          <w:ilvl w:val="1"/>
          <w:numId w:val="8"/>
        </w:numPr>
        <w:spacing w:line="240" w:lineRule="auto"/>
      </w:pPr>
      <w:r w:rsidRPr="00D60D61">
        <w:rPr>
          <w:lang w:val="fr-CA"/>
        </w:rPr>
        <w:t>Dose infectieuse : 10</w:t>
      </w:r>
      <w:r w:rsidRPr="00D60D61">
        <w:rPr>
          <w:vertAlign w:val="superscript"/>
          <w:lang w:val="fr-CA"/>
        </w:rPr>
        <w:t>8</w:t>
      </w:r>
      <w:r w:rsidRPr="00D60D61">
        <w:rPr>
          <w:lang w:val="fr-CA"/>
        </w:rPr>
        <w:t>-10</w:t>
      </w:r>
      <w:r w:rsidRPr="00D60D61">
        <w:rPr>
          <w:vertAlign w:val="superscript"/>
          <w:lang w:val="fr-CA"/>
        </w:rPr>
        <w:t xml:space="preserve">9 </w:t>
      </w:r>
      <w:r w:rsidRPr="00D60D61">
        <w:rPr>
          <w:lang w:val="fr-CA"/>
        </w:rPr>
        <w:t>org.</w:t>
      </w:r>
    </w:p>
    <w:p w:rsidR="00E60BD5" w:rsidRPr="008F0B35" w:rsidRDefault="00FD0BD2" w:rsidP="00FD0BD2">
      <w:pPr>
        <w:pStyle w:val="ListParagraph"/>
        <w:numPr>
          <w:ilvl w:val="1"/>
          <w:numId w:val="8"/>
        </w:numPr>
        <w:spacing w:line="240" w:lineRule="auto"/>
      </w:pPr>
      <w:r w:rsidRPr="00D60D61">
        <w:rPr>
          <w:lang w:val="fr-CA"/>
        </w:rPr>
        <w:t>Anorexie, crampes, diarrhée aqueuse aiguë</w:t>
      </w:r>
    </w:p>
    <w:p w:rsidR="00E60BD5" w:rsidRPr="008F0B35" w:rsidRDefault="00FD0BD2" w:rsidP="00FD0BD2">
      <w:pPr>
        <w:pStyle w:val="ListParagraph"/>
        <w:numPr>
          <w:ilvl w:val="0"/>
          <w:numId w:val="8"/>
        </w:numPr>
        <w:spacing w:line="240" w:lineRule="auto"/>
      </w:pPr>
      <w:r w:rsidRPr="00D60D61">
        <w:rPr>
          <w:lang w:val="fr-CA"/>
        </w:rPr>
        <w:t xml:space="preserve">Pathogenèse: </w:t>
      </w:r>
    </w:p>
    <w:p w:rsidR="008F0B35" w:rsidRPr="00D60D61" w:rsidRDefault="00FD0BD2" w:rsidP="00FD0BD2">
      <w:pPr>
        <w:pStyle w:val="ListParagraph"/>
        <w:numPr>
          <w:ilvl w:val="1"/>
          <w:numId w:val="8"/>
        </w:numPr>
        <w:spacing w:line="240" w:lineRule="auto"/>
        <w:rPr>
          <w:b/>
          <w:sz w:val="28"/>
          <w:szCs w:val="28"/>
          <w:lang w:val="fr-CA"/>
        </w:rPr>
      </w:pPr>
      <w:r w:rsidRPr="00D60D61">
        <w:rPr>
          <w:lang w:val="fr-CA"/>
        </w:rPr>
        <w:t>Adhésion, entérotoxines, facteurs de colonisation</w:t>
      </w:r>
    </w:p>
    <w:p w:rsidR="00E60BD5" w:rsidRPr="00D60D61" w:rsidRDefault="00FD0BD2" w:rsidP="00FD0BD2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D60D61">
        <w:rPr>
          <w:lang w:val="fr-CA"/>
        </w:rPr>
        <w:t>Diarrhée épidémique chez les jeunes enfants</w:t>
      </w:r>
    </w:p>
    <w:p w:rsidR="00E60BD5" w:rsidRPr="00D60D61" w:rsidRDefault="00FD0BD2" w:rsidP="00FD0BD2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D60D61">
        <w:rPr>
          <w:lang w:val="fr-CA"/>
        </w:rPr>
        <w:t>Commun dans les pays sous-développés</w:t>
      </w:r>
    </w:p>
    <w:p w:rsidR="00E60BD5" w:rsidRPr="008F0B35" w:rsidRDefault="00FD0BD2" w:rsidP="00FD0BD2">
      <w:pPr>
        <w:pStyle w:val="ListParagraph"/>
        <w:numPr>
          <w:ilvl w:val="0"/>
          <w:numId w:val="8"/>
        </w:numPr>
        <w:spacing w:line="240" w:lineRule="auto"/>
      </w:pPr>
      <w:r w:rsidRPr="00D60D61">
        <w:rPr>
          <w:lang w:val="fr-CA"/>
        </w:rPr>
        <w:t>Pathogenèse</w:t>
      </w:r>
    </w:p>
    <w:p w:rsidR="00E60BD5" w:rsidRPr="00D60D61" w:rsidRDefault="00FD0BD2" w:rsidP="00FD0BD2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D60D61">
        <w:rPr>
          <w:lang w:val="fr-CA"/>
        </w:rPr>
        <w:t>Adhésion aux entérocytes du duodénum et jéjunum</w:t>
      </w:r>
    </w:p>
    <w:p w:rsidR="00E60BD5" w:rsidRPr="008F0B35" w:rsidRDefault="00FD0BD2" w:rsidP="00FD0BD2">
      <w:pPr>
        <w:pStyle w:val="ListParagraph"/>
        <w:numPr>
          <w:ilvl w:val="1"/>
          <w:numId w:val="8"/>
        </w:numPr>
        <w:spacing w:line="240" w:lineRule="auto"/>
      </w:pPr>
      <w:r w:rsidRPr="00D60D61">
        <w:rPr>
          <w:lang w:val="fr-CA"/>
        </w:rPr>
        <w:t>Altération des microvillosités</w:t>
      </w:r>
    </w:p>
    <w:p w:rsidR="00E60BD5" w:rsidRPr="008F0B35" w:rsidRDefault="00FD0BD2" w:rsidP="00AC2C90">
      <w:pPr>
        <w:spacing w:line="240" w:lineRule="auto"/>
      </w:pPr>
      <w:r w:rsidRPr="008F0B35">
        <w:rPr>
          <w:i/>
          <w:iCs/>
          <w:lang w:val="en-US"/>
        </w:rPr>
        <w:t>E. coli</w:t>
      </w:r>
      <w:r w:rsidRPr="008F0B35">
        <w:rPr>
          <w:i/>
          <w:lang w:val="en-US"/>
        </w:rPr>
        <w:t xml:space="preserve"> Enterohémorragique</w:t>
      </w:r>
      <w:r w:rsidRPr="008F0B35">
        <w:rPr>
          <w:i/>
          <w:lang w:val="en-US"/>
        </w:rPr>
        <w:br/>
      </w:r>
      <w:r w:rsidRPr="008F0B35">
        <w:rPr>
          <w:lang w:val="en-US"/>
        </w:rPr>
        <w:t>(EHEC-0157)</w:t>
      </w:r>
    </w:p>
    <w:p w:rsidR="00E60BD5" w:rsidRPr="00D60D61" w:rsidRDefault="00FD0BD2" w:rsidP="00FD0BD2">
      <w:pPr>
        <w:pStyle w:val="ListParagraph"/>
        <w:numPr>
          <w:ilvl w:val="0"/>
          <w:numId w:val="9"/>
        </w:numPr>
        <w:spacing w:line="240" w:lineRule="auto"/>
        <w:rPr>
          <w:lang w:val="fr-CA"/>
        </w:rPr>
      </w:pPr>
      <w:r w:rsidRPr="00D60D61">
        <w:rPr>
          <w:lang w:val="fr-CA"/>
        </w:rPr>
        <w:t>Pathogène d’importance pour la Santé Publique</w:t>
      </w:r>
    </w:p>
    <w:p w:rsidR="00E60BD5" w:rsidRPr="008F0B35" w:rsidRDefault="00FD0BD2" w:rsidP="00FD0BD2">
      <w:pPr>
        <w:pStyle w:val="ListParagraph"/>
        <w:numPr>
          <w:ilvl w:val="0"/>
          <w:numId w:val="9"/>
        </w:numPr>
        <w:spacing w:line="240" w:lineRule="auto"/>
      </w:pPr>
      <w:r w:rsidRPr="00D60D61">
        <w:rPr>
          <w:lang w:val="fr-CA"/>
        </w:rPr>
        <w:t xml:space="preserve">Réservoir: </w:t>
      </w:r>
    </w:p>
    <w:p w:rsidR="00E60BD5" w:rsidRPr="00D60D61" w:rsidRDefault="00FD0BD2" w:rsidP="00FD0BD2">
      <w:pPr>
        <w:pStyle w:val="ListParagraph"/>
        <w:numPr>
          <w:ilvl w:val="1"/>
          <w:numId w:val="9"/>
        </w:numPr>
        <w:spacing w:line="240" w:lineRule="auto"/>
        <w:rPr>
          <w:lang w:val="fr-CA"/>
        </w:rPr>
      </w:pPr>
      <w:r w:rsidRPr="00D60D61">
        <w:rPr>
          <w:lang w:val="fr-CA"/>
        </w:rPr>
        <w:t>Flore normale des bovins et autres ruminants</w:t>
      </w:r>
    </w:p>
    <w:p w:rsidR="00E60BD5" w:rsidRPr="00D60D61" w:rsidRDefault="00FD0BD2" w:rsidP="00FD0BD2">
      <w:pPr>
        <w:pStyle w:val="ListParagraph"/>
        <w:numPr>
          <w:ilvl w:val="1"/>
          <w:numId w:val="9"/>
        </w:numPr>
        <w:spacing w:line="240" w:lineRule="auto"/>
        <w:rPr>
          <w:lang w:val="fr-CA"/>
        </w:rPr>
      </w:pPr>
      <w:r w:rsidRPr="00D60D61">
        <w:rPr>
          <w:lang w:val="fr-CA"/>
        </w:rPr>
        <w:t>Contamination de la viande à l’abattoir, produits laitiers non pasteurisés, eau potable, personne à personne</w:t>
      </w:r>
    </w:p>
    <w:p w:rsidR="00E60BD5" w:rsidRPr="008F0B35" w:rsidRDefault="00FD0BD2" w:rsidP="00FD0BD2">
      <w:pPr>
        <w:pStyle w:val="ListParagraph"/>
        <w:numPr>
          <w:ilvl w:val="0"/>
          <w:numId w:val="9"/>
        </w:numPr>
        <w:spacing w:line="240" w:lineRule="auto"/>
      </w:pPr>
      <w:r w:rsidRPr="00D60D61">
        <w:rPr>
          <w:lang w:val="fr-CA"/>
        </w:rPr>
        <w:t>Associé à une diarrhée hémorragique</w:t>
      </w:r>
    </w:p>
    <w:p w:rsidR="00E60BD5" w:rsidRPr="00D60D61" w:rsidRDefault="00FD0BD2" w:rsidP="00FD0BD2">
      <w:pPr>
        <w:pStyle w:val="ListParagraph"/>
        <w:numPr>
          <w:ilvl w:val="1"/>
          <w:numId w:val="9"/>
        </w:numPr>
        <w:spacing w:line="240" w:lineRule="auto"/>
        <w:rPr>
          <w:lang w:val="fr-CA"/>
        </w:rPr>
      </w:pPr>
      <w:r w:rsidRPr="00D60D61">
        <w:rPr>
          <w:lang w:val="fr-CA"/>
        </w:rPr>
        <w:t>Modification de la muqueuse avec dommage sévère</w:t>
      </w:r>
    </w:p>
    <w:p w:rsidR="00E60BD5" w:rsidRPr="00D60D61" w:rsidRDefault="00FD0BD2" w:rsidP="00FD0BD2">
      <w:pPr>
        <w:pStyle w:val="ListParagraph"/>
        <w:numPr>
          <w:ilvl w:val="1"/>
          <w:numId w:val="9"/>
        </w:numPr>
        <w:spacing w:line="240" w:lineRule="auto"/>
        <w:rPr>
          <w:lang w:val="fr-CA"/>
        </w:rPr>
      </w:pPr>
      <w:r w:rsidRPr="00D60D61">
        <w:rPr>
          <w:lang w:val="fr-CA"/>
        </w:rPr>
        <w:t>Vérotoxine libérée et absorbée au niveau des reins</w:t>
      </w:r>
    </w:p>
    <w:p w:rsidR="00E60BD5" w:rsidRPr="00D60D61" w:rsidRDefault="00FD0BD2" w:rsidP="00FD0BD2">
      <w:pPr>
        <w:pStyle w:val="ListParagraph"/>
        <w:numPr>
          <w:ilvl w:val="1"/>
          <w:numId w:val="9"/>
        </w:numPr>
        <w:spacing w:line="240" w:lineRule="auto"/>
        <w:rPr>
          <w:lang w:val="fr-CA"/>
        </w:rPr>
      </w:pPr>
      <w:r w:rsidRPr="00D60D61">
        <w:rPr>
          <w:lang w:val="fr-CA"/>
        </w:rPr>
        <w:t>Incubation de 3-4 jours (min 1 J, max 8 J)</w:t>
      </w:r>
    </w:p>
    <w:p w:rsidR="00E60BD5" w:rsidRPr="008F0B35" w:rsidRDefault="00FD0BD2" w:rsidP="00FD0BD2">
      <w:pPr>
        <w:pStyle w:val="ListParagraph"/>
        <w:numPr>
          <w:ilvl w:val="0"/>
          <w:numId w:val="9"/>
        </w:numPr>
        <w:spacing w:line="240" w:lineRule="auto"/>
      </w:pPr>
      <w:r w:rsidRPr="00D60D61">
        <w:rPr>
          <w:lang w:val="fr-CA"/>
        </w:rPr>
        <w:t>Présentation clinique variée</w:t>
      </w:r>
    </w:p>
    <w:p w:rsidR="00E60BD5" w:rsidRPr="008F0B35" w:rsidRDefault="00FD0BD2" w:rsidP="00FD0BD2">
      <w:pPr>
        <w:pStyle w:val="ListParagraph"/>
        <w:numPr>
          <w:ilvl w:val="1"/>
          <w:numId w:val="9"/>
        </w:numPr>
        <w:spacing w:line="240" w:lineRule="auto"/>
      </w:pPr>
      <w:r w:rsidRPr="00D60D61">
        <w:rPr>
          <w:lang w:val="fr-CA"/>
        </w:rPr>
        <w:t>Diarrhée bénigne, colite hémorragique</w:t>
      </w:r>
    </w:p>
    <w:p w:rsidR="00E60BD5" w:rsidRPr="008F0B35" w:rsidRDefault="00FD0BD2" w:rsidP="00FD0BD2">
      <w:pPr>
        <w:pStyle w:val="ListParagraph"/>
        <w:numPr>
          <w:ilvl w:val="1"/>
          <w:numId w:val="9"/>
        </w:numPr>
        <w:spacing w:line="240" w:lineRule="auto"/>
      </w:pPr>
      <w:r w:rsidRPr="00D60D61">
        <w:rPr>
          <w:lang w:val="fr-CA"/>
        </w:rPr>
        <w:t>Syndrome hémolytique et urémique</w:t>
      </w:r>
    </w:p>
    <w:p w:rsidR="00E60BD5" w:rsidRPr="008F0B35" w:rsidRDefault="00FD0BD2" w:rsidP="00FD0BD2">
      <w:pPr>
        <w:pStyle w:val="ListParagraph"/>
        <w:numPr>
          <w:ilvl w:val="1"/>
          <w:numId w:val="9"/>
        </w:numPr>
        <w:spacing w:line="240" w:lineRule="auto"/>
      </w:pPr>
      <w:r w:rsidRPr="00D60D61">
        <w:rPr>
          <w:lang w:val="fr-CA"/>
        </w:rPr>
        <w:t>Mortalité 3-5 % chez les jeunes</w:t>
      </w:r>
    </w:p>
    <w:p w:rsidR="00E60BD5" w:rsidRPr="008F0B35" w:rsidRDefault="00FD0BD2" w:rsidP="00FD0BD2">
      <w:pPr>
        <w:pStyle w:val="ListParagraph"/>
        <w:numPr>
          <w:ilvl w:val="0"/>
          <w:numId w:val="9"/>
        </w:numPr>
        <w:spacing w:line="240" w:lineRule="auto"/>
      </w:pPr>
      <w:r w:rsidRPr="00D60D61">
        <w:rPr>
          <w:lang w:val="fr-CA"/>
        </w:rPr>
        <w:t>Séquelles</w:t>
      </w:r>
    </w:p>
    <w:p w:rsidR="00E60BD5" w:rsidRPr="00D60D61" w:rsidRDefault="00FD0BD2" w:rsidP="00FD0BD2">
      <w:pPr>
        <w:pStyle w:val="ListParagraph"/>
        <w:numPr>
          <w:ilvl w:val="1"/>
          <w:numId w:val="9"/>
        </w:numPr>
        <w:spacing w:line="240" w:lineRule="auto"/>
        <w:rPr>
          <w:lang w:val="fr-CA"/>
        </w:rPr>
      </w:pPr>
      <w:r w:rsidRPr="00D60D61">
        <w:rPr>
          <w:lang w:val="fr-CA"/>
        </w:rPr>
        <w:t>Rénales, neurologiques, hypertension. Appr. 1/100,000 (&lt;15 ans)</w:t>
      </w:r>
    </w:p>
    <w:p w:rsidR="008F0B35" w:rsidRPr="00797375" w:rsidRDefault="008F0B35" w:rsidP="00AC2C90">
      <w:pPr>
        <w:spacing w:line="240" w:lineRule="auto"/>
        <w:rPr>
          <w:b/>
          <w:color w:val="92D050"/>
          <w:sz w:val="28"/>
          <w:szCs w:val="28"/>
        </w:rPr>
      </w:pPr>
      <w:r w:rsidRPr="00797375">
        <w:rPr>
          <w:b/>
          <w:color w:val="92D050"/>
          <w:sz w:val="28"/>
          <w:szCs w:val="28"/>
        </w:rPr>
        <w:t>Salmonella</w:t>
      </w:r>
    </w:p>
    <w:p w:rsidR="00E60BD5" w:rsidRPr="00D60D61" w:rsidRDefault="00FD0BD2" w:rsidP="00FD0BD2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D60D61">
        <w:rPr>
          <w:lang w:val="fr-CA"/>
        </w:rPr>
        <w:t xml:space="preserve">2 Espèces: </w:t>
      </w:r>
      <w:r w:rsidRPr="00D60D61">
        <w:rPr>
          <w:i/>
          <w:iCs/>
          <w:lang w:val="fr-CA"/>
        </w:rPr>
        <w:t>S. enterica et S. bangori</w:t>
      </w:r>
    </w:p>
    <w:p w:rsidR="00E60BD5" w:rsidRPr="008F0B35" w:rsidRDefault="00FD0BD2" w:rsidP="00FD0BD2">
      <w:pPr>
        <w:pStyle w:val="ListParagraph"/>
        <w:numPr>
          <w:ilvl w:val="1"/>
          <w:numId w:val="10"/>
        </w:numPr>
        <w:spacing w:line="240" w:lineRule="auto"/>
      </w:pPr>
      <w:r w:rsidRPr="00D60D61">
        <w:rPr>
          <w:lang w:val="fr-CA"/>
        </w:rPr>
        <w:t>&gt;2500 s</w:t>
      </w:r>
      <w:r w:rsidRPr="00D60D61">
        <w:rPr>
          <w:lang w:val="en-US"/>
        </w:rPr>
        <w:t>é</w:t>
      </w:r>
      <w:r w:rsidRPr="00D60D61">
        <w:rPr>
          <w:lang w:val="fr-CA"/>
        </w:rPr>
        <w:t>rotypes, 38% causent 95% des infections</w:t>
      </w:r>
    </w:p>
    <w:p w:rsidR="00E60BD5" w:rsidRPr="00D60D61" w:rsidRDefault="00FD0BD2" w:rsidP="00FD0BD2">
      <w:pPr>
        <w:pStyle w:val="ListParagraph"/>
        <w:numPr>
          <w:ilvl w:val="1"/>
          <w:numId w:val="10"/>
        </w:numPr>
        <w:spacing w:line="240" w:lineRule="auto"/>
        <w:rPr>
          <w:lang w:val="fr-CA"/>
        </w:rPr>
      </w:pPr>
      <w:r w:rsidRPr="00D60D61">
        <w:rPr>
          <w:lang w:val="fr-CA"/>
        </w:rPr>
        <w:t>Sérotypes typhimurium et enteritidis: communs en Amérique du Nord</w:t>
      </w:r>
    </w:p>
    <w:p w:rsidR="00E60BD5" w:rsidRPr="008F0B35" w:rsidRDefault="00FD0BD2" w:rsidP="00FD0BD2">
      <w:pPr>
        <w:pStyle w:val="ListParagraph"/>
        <w:numPr>
          <w:ilvl w:val="1"/>
          <w:numId w:val="10"/>
        </w:numPr>
        <w:spacing w:line="240" w:lineRule="auto"/>
      </w:pPr>
      <w:r w:rsidRPr="00D60D61">
        <w:rPr>
          <w:lang w:val="fr-CA"/>
        </w:rPr>
        <w:t>Réservoir animal</w:t>
      </w:r>
    </w:p>
    <w:p w:rsidR="00E60BD5" w:rsidRPr="008F0B35" w:rsidRDefault="00FD0BD2" w:rsidP="00FD0BD2">
      <w:pPr>
        <w:pStyle w:val="ListParagraph"/>
        <w:numPr>
          <w:ilvl w:val="0"/>
          <w:numId w:val="10"/>
        </w:numPr>
        <w:spacing w:line="240" w:lineRule="auto"/>
      </w:pPr>
      <w:r w:rsidRPr="00D60D61">
        <w:rPr>
          <w:lang w:val="fr-CA"/>
        </w:rPr>
        <w:t>Épid</w:t>
      </w:r>
      <w:r w:rsidRPr="00D60D61">
        <w:rPr>
          <w:lang w:val="en-US"/>
        </w:rPr>
        <w:t>é</w:t>
      </w:r>
      <w:r w:rsidRPr="00D60D61">
        <w:rPr>
          <w:lang w:val="fr-CA"/>
        </w:rPr>
        <w:t>mies</w:t>
      </w:r>
    </w:p>
    <w:p w:rsidR="00E60BD5" w:rsidRPr="008F0B35" w:rsidRDefault="00FD0BD2" w:rsidP="00FD0BD2">
      <w:pPr>
        <w:pStyle w:val="ListParagraph"/>
        <w:numPr>
          <w:ilvl w:val="1"/>
          <w:numId w:val="10"/>
        </w:numPr>
        <w:spacing w:line="240" w:lineRule="auto"/>
      </w:pPr>
      <w:r w:rsidRPr="00D60D61">
        <w:rPr>
          <w:lang w:val="fr-CA"/>
        </w:rPr>
        <w:t>1984 : Canada, 2 700 cas, S. typhimurium, Cheddar</w:t>
      </w:r>
    </w:p>
    <w:p w:rsidR="00E60BD5" w:rsidRPr="008F0B35" w:rsidRDefault="00FD0BD2" w:rsidP="00FD0BD2">
      <w:pPr>
        <w:pStyle w:val="ListParagraph"/>
        <w:numPr>
          <w:ilvl w:val="1"/>
          <w:numId w:val="10"/>
        </w:numPr>
        <w:spacing w:line="240" w:lineRule="auto"/>
      </w:pPr>
      <w:r w:rsidRPr="00D60D61">
        <w:rPr>
          <w:lang w:val="fr-CA"/>
        </w:rPr>
        <w:t>1994 : 224 000 cas, Glace Schwan</w:t>
      </w:r>
    </w:p>
    <w:p w:rsidR="00E60BD5" w:rsidRPr="00D60D61" w:rsidRDefault="00FD0BD2" w:rsidP="00FD0BD2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D60D61">
        <w:rPr>
          <w:lang w:val="fr-CA"/>
        </w:rPr>
        <w:t>Transmission: Personne à personne, aliments/eau</w:t>
      </w:r>
    </w:p>
    <w:p w:rsidR="00E60BD5" w:rsidRPr="008F0B35" w:rsidRDefault="00FD0BD2" w:rsidP="00FD0BD2">
      <w:pPr>
        <w:pStyle w:val="ListParagraph"/>
        <w:numPr>
          <w:ilvl w:val="0"/>
          <w:numId w:val="10"/>
        </w:numPr>
        <w:spacing w:line="240" w:lineRule="auto"/>
      </w:pPr>
      <w:r w:rsidRPr="00D60D61">
        <w:rPr>
          <w:lang w:val="fr-CA"/>
        </w:rPr>
        <w:t>Dose infectieuse</w:t>
      </w:r>
    </w:p>
    <w:p w:rsidR="00E60BD5" w:rsidRPr="008F0B35" w:rsidRDefault="00FD0BD2" w:rsidP="00FD0BD2">
      <w:pPr>
        <w:pStyle w:val="ListParagraph"/>
        <w:numPr>
          <w:ilvl w:val="1"/>
          <w:numId w:val="10"/>
        </w:numPr>
        <w:spacing w:line="240" w:lineRule="auto"/>
      </w:pPr>
      <w:r w:rsidRPr="00D60D61">
        <w:rPr>
          <w:lang w:val="fr-CA"/>
        </w:rPr>
        <w:t>10</w:t>
      </w:r>
      <w:r w:rsidRPr="00D60D61">
        <w:rPr>
          <w:vertAlign w:val="superscript"/>
          <w:lang w:val="fr-CA"/>
        </w:rPr>
        <w:t>3</w:t>
      </w:r>
      <w:r w:rsidRPr="00D60D61">
        <w:rPr>
          <w:lang w:val="fr-CA"/>
        </w:rPr>
        <w:t>-10</w:t>
      </w:r>
      <w:r w:rsidRPr="00D60D61">
        <w:rPr>
          <w:vertAlign w:val="superscript"/>
          <w:lang w:val="fr-CA"/>
        </w:rPr>
        <w:t>5</w:t>
      </w:r>
      <w:r w:rsidRPr="00D60D61">
        <w:rPr>
          <w:lang w:val="fr-CA"/>
        </w:rPr>
        <w:t>, incub: 48h-3 semaines</w:t>
      </w:r>
    </w:p>
    <w:p w:rsidR="00E60BD5" w:rsidRPr="00D60D61" w:rsidRDefault="00FD0BD2" w:rsidP="00FD0BD2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D60D61">
        <w:rPr>
          <w:lang w:val="fr-CA"/>
        </w:rPr>
        <w:t>Salmonellose se présente sous deux types d’infection humaine:</w:t>
      </w:r>
    </w:p>
    <w:p w:rsidR="00E60BD5" w:rsidRPr="00D60D61" w:rsidRDefault="00FD0BD2" w:rsidP="00FD0BD2">
      <w:pPr>
        <w:pStyle w:val="ListParagraph"/>
        <w:numPr>
          <w:ilvl w:val="1"/>
          <w:numId w:val="10"/>
        </w:numPr>
        <w:spacing w:line="240" w:lineRule="auto"/>
        <w:rPr>
          <w:lang w:val="fr-CA"/>
        </w:rPr>
      </w:pPr>
      <w:r w:rsidRPr="00D60D61">
        <w:rPr>
          <w:lang w:val="fr-CA"/>
        </w:rPr>
        <w:t>Les Toxi-infections alimentaires (Gastro)</w:t>
      </w:r>
    </w:p>
    <w:p w:rsidR="00E60BD5" w:rsidRPr="00D60D61" w:rsidRDefault="00FD0BD2" w:rsidP="00FD0BD2">
      <w:pPr>
        <w:pStyle w:val="ListParagraph"/>
        <w:numPr>
          <w:ilvl w:val="1"/>
          <w:numId w:val="10"/>
        </w:numPr>
        <w:spacing w:line="240" w:lineRule="auto"/>
        <w:rPr>
          <w:lang w:val="fr-CA"/>
        </w:rPr>
      </w:pPr>
      <w:r w:rsidRPr="00D60D61">
        <w:rPr>
          <w:lang w:val="fr-CA"/>
        </w:rPr>
        <w:t>Les fièvres entériques (fièvres typhoïdes et paratyphoïdes)</w:t>
      </w:r>
    </w:p>
    <w:p w:rsidR="00E60BD5" w:rsidRPr="00715322" w:rsidRDefault="00FD0BD2" w:rsidP="00FD0BD2">
      <w:pPr>
        <w:pStyle w:val="ListParagraph"/>
        <w:numPr>
          <w:ilvl w:val="2"/>
          <w:numId w:val="10"/>
        </w:numPr>
        <w:spacing w:line="240" w:lineRule="auto"/>
      </w:pPr>
      <w:r w:rsidRPr="00D60D61">
        <w:rPr>
          <w:i/>
          <w:iCs/>
          <w:lang w:val="fr-CA"/>
        </w:rPr>
        <w:t>S. typhi</w:t>
      </w:r>
      <w:r w:rsidRPr="00D60D61">
        <w:rPr>
          <w:lang w:val="fr-CA"/>
        </w:rPr>
        <w:t xml:space="preserve"> &amp; </w:t>
      </w:r>
      <w:r w:rsidRPr="00D60D61">
        <w:rPr>
          <w:i/>
          <w:iCs/>
          <w:lang w:val="fr-CA"/>
        </w:rPr>
        <w:t>S. paratyphi</w:t>
      </w:r>
    </w:p>
    <w:p w:rsidR="00E60BD5" w:rsidRPr="00715322" w:rsidRDefault="00FD0BD2" w:rsidP="00AC2C90">
      <w:pPr>
        <w:spacing w:line="240" w:lineRule="auto"/>
        <w:rPr>
          <w:i/>
        </w:rPr>
      </w:pPr>
      <w:r w:rsidRPr="00715322">
        <w:rPr>
          <w:i/>
          <w:lang w:val="fr-CA"/>
        </w:rPr>
        <w:lastRenderedPageBreak/>
        <w:t>Gastro-entérite</w:t>
      </w:r>
    </w:p>
    <w:p w:rsidR="00E60BD5" w:rsidRPr="00715322" w:rsidRDefault="00FD0BD2" w:rsidP="00FD0BD2">
      <w:pPr>
        <w:pStyle w:val="ListParagraph"/>
        <w:numPr>
          <w:ilvl w:val="0"/>
          <w:numId w:val="11"/>
        </w:numPr>
        <w:spacing w:line="240" w:lineRule="auto"/>
      </w:pPr>
      <w:r w:rsidRPr="00D60D61">
        <w:rPr>
          <w:lang w:val="fr-CA"/>
        </w:rPr>
        <w:t>Incubation: 12 à 24 hrs</w:t>
      </w:r>
    </w:p>
    <w:p w:rsidR="00E60BD5" w:rsidRPr="00D60D61" w:rsidRDefault="00FD0BD2" w:rsidP="00FD0BD2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D60D61">
        <w:rPr>
          <w:lang w:val="fr-CA"/>
        </w:rPr>
        <w:t>Gastro fébrile avec vomissement et diarrhée</w:t>
      </w:r>
    </w:p>
    <w:p w:rsidR="00E60BD5" w:rsidRPr="00D60D61" w:rsidRDefault="00FD0BD2" w:rsidP="00FD0BD2">
      <w:pPr>
        <w:pStyle w:val="ListParagraph"/>
        <w:numPr>
          <w:ilvl w:val="1"/>
          <w:numId w:val="11"/>
        </w:numPr>
        <w:spacing w:line="240" w:lineRule="auto"/>
        <w:rPr>
          <w:lang w:val="fr-CA"/>
        </w:rPr>
      </w:pPr>
      <w:r w:rsidRPr="00D60D61">
        <w:rPr>
          <w:lang w:val="fr-CA"/>
        </w:rPr>
        <w:t>Selles: non sanglantes, sans mucus, volumineuses et aqueuses</w:t>
      </w:r>
    </w:p>
    <w:p w:rsidR="00E60BD5" w:rsidRPr="00D60D61" w:rsidRDefault="00FD0BD2" w:rsidP="00FD0BD2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D60D61">
        <w:rPr>
          <w:lang w:val="fr-CA"/>
        </w:rPr>
        <w:t>Bactériémie : 5-8 % des patients immunocompétents, 10-15% de ceux-ci ont une métastase à une autre organe</w:t>
      </w:r>
    </w:p>
    <w:p w:rsidR="00E60BD5" w:rsidRPr="00715322" w:rsidRDefault="00FD0BD2" w:rsidP="00FD0BD2">
      <w:pPr>
        <w:pStyle w:val="ListParagraph"/>
        <w:numPr>
          <w:ilvl w:val="0"/>
          <w:numId w:val="11"/>
        </w:numPr>
        <w:spacing w:line="240" w:lineRule="auto"/>
      </w:pPr>
      <w:r w:rsidRPr="00D60D61">
        <w:rPr>
          <w:lang w:val="fr-CA"/>
        </w:rPr>
        <w:t>Porteur :</w:t>
      </w:r>
    </w:p>
    <w:p w:rsidR="00E60BD5" w:rsidRPr="00D60D61" w:rsidRDefault="00FD0BD2" w:rsidP="00FD0BD2">
      <w:pPr>
        <w:pStyle w:val="ListParagraph"/>
        <w:numPr>
          <w:ilvl w:val="1"/>
          <w:numId w:val="11"/>
        </w:numPr>
        <w:spacing w:line="240" w:lineRule="auto"/>
        <w:rPr>
          <w:lang w:val="fr-CA"/>
        </w:rPr>
      </w:pPr>
      <w:r w:rsidRPr="00D60D61">
        <w:rPr>
          <w:lang w:val="fr-CA"/>
        </w:rPr>
        <w:t>moyenne 4-5 semaines, &lt;1 % au-delà de 10 semaines</w:t>
      </w:r>
    </w:p>
    <w:p w:rsidR="00E60BD5" w:rsidRPr="00715322" w:rsidRDefault="00FD0BD2" w:rsidP="00FD0BD2">
      <w:pPr>
        <w:pStyle w:val="ListParagraph"/>
        <w:numPr>
          <w:ilvl w:val="0"/>
          <w:numId w:val="11"/>
        </w:numPr>
        <w:spacing w:line="240" w:lineRule="auto"/>
      </w:pPr>
      <w:r w:rsidRPr="00D60D61">
        <w:rPr>
          <w:lang w:val="fr-CA"/>
        </w:rPr>
        <w:t>Traitement: soins de soutien</w:t>
      </w:r>
    </w:p>
    <w:p w:rsidR="00E60BD5" w:rsidRPr="00715322" w:rsidRDefault="00FD0BD2" w:rsidP="00AC2C90">
      <w:pPr>
        <w:spacing w:line="240" w:lineRule="auto"/>
        <w:rPr>
          <w:i/>
        </w:rPr>
      </w:pPr>
      <w:r w:rsidRPr="00715322">
        <w:rPr>
          <w:i/>
          <w:lang w:val="fr-CA"/>
        </w:rPr>
        <w:t>Fièvre entérique</w:t>
      </w:r>
    </w:p>
    <w:p w:rsidR="00E60BD5" w:rsidRPr="00715322" w:rsidRDefault="00FD0BD2" w:rsidP="00FD0BD2">
      <w:pPr>
        <w:pStyle w:val="ListParagraph"/>
        <w:numPr>
          <w:ilvl w:val="0"/>
          <w:numId w:val="12"/>
        </w:numPr>
        <w:spacing w:line="240" w:lineRule="auto"/>
      </w:pPr>
      <w:r w:rsidRPr="00D60D61">
        <w:rPr>
          <w:lang w:val="fr-CA"/>
        </w:rPr>
        <w:t>Incubation: 2-21 jours</w:t>
      </w:r>
    </w:p>
    <w:p w:rsidR="00E60BD5" w:rsidRPr="00D60D61" w:rsidRDefault="00FD0BD2" w:rsidP="00FD0BD2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D60D61">
        <w:rPr>
          <w:lang w:val="fr-CA"/>
        </w:rPr>
        <w:t xml:space="preserve">Premiers 7 jours: Fièvre, vomissement, diarrhée/constipation/normal, céphalée, douleurs avec prostration, </w:t>
      </w:r>
    </w:p>
    <w:p w:rsidR="00E60BD5" w:rsidRPr="00D60D61" w:rsidRDefault="00FD0BD2" w:rsidP="00FD0BD2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D60D61">
        <w:rPr>
          <w:lang w:val="fr-CA"/>
        </w:rPr>
        <w:t>Suivie d’un syndrome fébrile (39</w:t>
      </w:r>
      <w:r w:rsidRPr="00D60D61">
        <w:rPr>
          <w:vertAlign w:val="superscript"/>
          <w:lang w:val="fr-CA"/>
        </w:rPr>
        <w:t>o</w:t>
      </w:r>
      <w:r w:rsidRPr="00D60D61">
        <w:rPr>
          <w:lang w:val="fr-CA"/>
        </w:rPr>
        <w:t>-40</w:t>
      </w:r>
      <w:r w:rsidRPr="00D60D61">
        <w:rPr>
          <w:vertAlign w:val="superscript"/>
          <w:lang w:val="fr-CA"/>
        </w:rPr>
        <w:t>o</w:t>
      </w:r>
      <w:r w:rsidRPr="00D60D61">
        <w:rPr>
          <w:lang w:val="fr-CA"/>
        </w:rPr>
        <w:t>C)</w:t>
      </w:r>
    </w:p>
    <w:p w:rsidR="00E60BD5" w:rsidRPr="00715322" w:rsidRDefault="00FD0BD2" w:rsidP="00FD0BD2">
      <w:pPr>
        <w:pStyle w:val="ListParagraph"/>
        <w:numPr>
          <w:ilvl w:val="1"/>
          <w:numId w:val="12"/>
        </w:numPr>
        <w:spacing w:line="240" w:lineRule="auto"/>
      </w:pPr>
      <w:r w:rsidRPr="00D60D61">
        <w:rPr>
          <w:lang w:val="en-US"/>
        </w:rPr>
        <w:t>Tâ</w:t>
      </w:r>
      <w:r w:rsidRPr="00D60D61">
        <w:rPr>
          <w:lang w:val="fr-CA"/>
        </w:rPr>
        <w:t>ches rosées sur l’abdomen</w:t>
      </w:r>
    </w:p>
    <w:p w:rsidR="00E60BD5" w:rsidRPr="00D60D61" w:rsidRDefault="00FD0BD2" w:rsidP="00FD0BD2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D60D61">
        <w:rPr>
          <w:lang w:val="fr-CA"/>
        </w:rPr>
        <w:t>Métastase: endocarde ou CNS (méningo-encéphalite)</w:t>
      </w:r>
    </w:p>
    <w:p w:rsidR="00E60BD5" w:rsidRPr="00D60D61" w:rsidRDefault="00FD0BD2" w:rsidP="00FD0BD2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D60D61">
        <w:rPr>
          <w:lang w:val="fr-CA"/>
        </w:rPr>
        <w:t>Majorité deviennent bactériémiques et plusieurs deviennent porteur à long terme</w:t>
      </w:r>
    </w:p>
    <w:p w:rsidR="00E60BD5" w:rsidRPr="00715322" w:rsidRDefault="00FD0BD2" w:rsidP="00FD0BD2">
      <w:pPr>
        <w:pStyle w:val="ListParagraph"/>
        <w:numPr>
          <w:ilvl w:val="0"/>
          <w:numId w:val="12"/>
        </w:numPr>
        <w:spacing w:line="240" w:lineRule="auto"/>
      </w:pPr>
      <w:r w:rsidRPr="00D60D61">
        <w:rPr>
          <w:lang w:val="fr-CA"/>
        </w:rPr>
        <w:t>Traitement: Abx</w:t>
      </w:r>
    </w:p>
    <w:p w:rsidR="00E60BD5" w:rsidRPr="00D60D61" w:rsidRDefault="00FD0BD2" w:rsidP="00FD0BD2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D60D61">
        <w:rPr>
          <w:lang w:val="fr-CA"/>
        </w:rPr>
        <w:t>Pathogenèse – Qu’elle est la différence?</w:t>
      </w:r>
    </w:p>
    <w:p w:rsidR="00E60BD5" w:rsidRPr="00D60D61" w:rsidRDefault="00FD0BD2" w:rsidP="00FD0BD2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D60D61">
        <w:rPr>
          <w:lang w:val="fr-CA"/>
        </w:rPr>
        <w:t>Pénétration de l’épithélium par les entérocytes et cellules M</w:t>
      </w:r>
    </w:p>
    <w:p w:rsidR="00E60BD5" w:rsidRPr="00715322" w:rsidRDefault="00FD0BD2" w:rsidP="00FD0BD2">
      <w:pPr>
        <w:pStyle w:val="ListParagraph"/>
        <w:numPr>
          <w:ilvl w:val="0"/>
          <w:numId w:val="12"/>
        </w:numPr>
        <w:spacing w:line="240" w:lineRule="auto"/>
      </w:pPr>
      <w:r w:rsidRPr="00D60D61">
        <w:rPr>
          <w:lang w:val="fr-CA"/>
        </w:rPr>
        <w:t>Réaction inflammatoire</w:t>
      </w:r>
    </w:p>
    <w:p w:rsidR="00E60BD5" w:rsidRPr="00D60D61" w:rsidRDefault="00923BCE" w:rsidP="00FD0BD2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923BCE">
        <w:rPr>
          <w:noProof/>
          <w:lang w:eastAsia="en-CA"/>
        </w:rPr>
        <w:drawing>
          <wp:anchor distT="0" distB="0" distL="114300" distR="114300" simplePos="0" relativeHeight="251666432" behindDoc="0" locked="0" layoutInCell="1" allowOverlap="1" wp14:anchorId="74FC3492" wp14:editId="0A79A9AC">
            <wp:simplePos x="0" y="0"/>
            <wp:positionH relativeFrom="column">
              <wp:posOffset>3895725</wp:posOffset>
            </wp:positionH>
            <wp:positionV relativeFrom="paragraph">
              <wp:posOffset>260350</wp:posOffset>
            </wp:positionV>
            <wp:extent cx="2847975" cy="2340610"/>
            <wp:effectExtent l="0" t="0" r="9525" b="2540"/>
            <wp:wrapSquare wrapText="bothSides"/>
            <wp:docPr id="37892" name="Picture 11" descr="salmonella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2" name="Picture 11" descr="salmonella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64" r="9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4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BD2" w:rsidRPr="00D60D61">
        <w:rPr>
          <w:lang w:val="fr-CA"/>
        </w:rPr>
        <w:t>Fièvre typhoïde: afflux de monocytes</w:t>
      </w:r>
    </w:p>
    <w:p w:rsidR="00E60BD5" w:rsidRPr="00715322" w:rsidRDefault="00FD0BD2" w:rsidP="00FD0BD2">
      <w:pPr>
        <w:pStyle w:val="ListParagraph"/>
        <w:numPr>
          <w:ilvl w:val="1"/>
          <w:numId w:val="12"/>
        </w:numPr>
        <w:spacing w:line="240" w:lineRule="auto"/>
      </w:pPr>
      <w:r w:rsidRPr="00D60D61">
        <w:rPr>
          <w:lang w:val="fr-CA"/>
        </w:rPr>
        <w:t>Gastroentérite: afflux de polynucléaires</w:t>
      </w:r>
    </w:p>
    <w:p w:rsidR="00E60BD5" w:rsidRPr="00D60D61" w:rsidRDefault="00FD0BD2" w:rsidP="00FD0BD2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D60D61">
        <w:rPr>
          <w:i/>
          <w:iCs/>
          <w:lang w:val="fr-CA"/>
        </w:rPr>
        <w:t>S. typhi</w:t>
      </w:r>
      <w:r w:rsidRPr="00D60D61">
        <w:rPr>
          <w:lang w:val="fr-CA"/>
        </w:rPr>
        <w:t xml:space="preserve"> et </w:t>
      </w:r>
      <w:r w:rsidRPr="00D60D61">
        <w:rPr>
          <w:i/>
          <w:iCs/>
          <w:lang w:val="fr-CA"/>
        </w:rPr>
        <w:t>paratyphi</w:t>
      </w:r>
      <w:r w:rsidRPr="00D60D61">
        <w:rPr>
          <w:lang w:val="fr-CA"/>
        </w:rPr>
        <w:t xml:space="preserve"> survivent et se multiplient dans les monocytes</w:t>
      </w:r>
    </w:p>
    <w:p w:rsidR="00E60BD5" w:rsidRPr="00D60D61" w:rsidRDefault="00FD0BD2" w:rsidP="00FD0BD2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D60D61">
        <w:rPr>
          <w:lang w:val="fr-CA"/>
        </w:rPr>
        <w:t>Les autres espèces sont phagocytées et détruites par les neutrophiles</w:t>
      </w:r>
    </w:p>
    <w:p w:rsidR="00E60BD5" w:rsidRPr="00715322" w:rsidRDefault="00FD0BD2" w:rsidP="00FD0BD2">
      <w:pPr>
        <w:pStyle w:val="ListParagraph"/>
        <w:numPr>
          <w:ilvl w:val="0"/>
          <w:numId w:val="12"/>
        </w:numPr>
        <w:spacing w:line="240" w:lineRule="auto"/>
      </w:pPr>
      <w:r w:rsidRPr="00D60D61">
        <w:rPr>
          <w:lang w:val="fr-CA"/>
        </w:rPr>
        <w:t>Septicémie lymphatique:</w:t>
      </w:r>
    </w:p>
    <w:p w:rsidR="00E60BD5" w:rsidRPr="00D60D61" w:rsidRDefault="00FD0BD2" w:rsidP="00FD0BD2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D60D61">
        <w:rPr>
          <w:lang w:val="fr-CA"/>
        </w:rPr>
        <w:t>Diffusion dans la lymphe thoracique et la circulation</w:t>
      </w:r>
    </w:p>
    <w:p w:rsidR="00E60BD5" w:rsidRPr="00D60D61" w:rsidRDefault="00FD0BD2" w:rsidP="00FD0BD2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D60D61">
        <w:rPr>
          <w:lang w:val="fr-CA"/>
        </w:rPr>
        <w:t>Envahissement des voies biliaires ou autres systèmes et métastase</w:t>
      </w:r>
    </w:p>
    <w:p w:rsidR="00923BCE" w:rsidRPr="00FD0BD2" w:rsidRDefault="00923BCE" w:rsidP="00AC2C90">
      <w:pPr>
        <w:spacing w:line="240" w:lineRule="auto"/>
        <w:rPr>
          <w:b/>
          <w:color w:val="00B050"/>
          <w:sz w:val="28"/>
          <w:szCs w:val="28"/>
        </w:rPr>
      </w:pPr>
      <w:r w:rsidRPr="00FD0BD2">
        <w:rPr>
          <w:b/>
          <w:color w:val="00B050"/>
          <w:sz w:val="28"/>
          <w:szCs w:val="28"/>
        </w:rPr>
        <w:t>Pseudomonas</w:t>
      </w:r>
    </w:p>
    <w:p w:rsidR="00E60BD5" w:rsidRPr="00D60D61" w:rsidRDefault="00FD0BD2" w:rsidP="00D60D61">
      <w:pPr>
        <w:spacing w:line="240" w:lineRule="auto"/>
        <w:rPr>
          <w:b/>
          <w:u w:val="single"/>
        </w:rPr>
      </w:pPr>
      <w:r w:rsidRPr="00D60D61">
        <w:rPr>
          <w:b/>
          <w:i/>
          <w:iCs/>
          <w:u w:val="single"/>
          <w:lang w:val="en-US"/>
        </w:rPr>
        <w:t>Pseudomonas aeruginosa</w:t>
      </w:r>
    </w:p>
    <w:p w:rsidR="00E60BD5" w:rsidRPr="00923BCE" w:rsidRDefault="00FD0BD2" w:rsidP="00FD0BD2">
      <w:pPr>
        <w:pStyle w:val="ListParagraph"/>
        <w:numPr>
          <w:ilvl w:val="0"/>
          <w:numId w:val="13"/>
        </w:numPr>
        <w:spacing w:line="240" w:lineRule="auto"/>
      </w:pPr>
      <w:r w:rsidRPr="00D60D61">
        <w:rPr>
          <w:lang w:val="fr-CA"/>
        </w:rPr>
        <w:t>Distribution cosmopolite</w:t>
      </w:r>
    </w:p>
    <w:p w:rsidR="00E60BD5" w:rsidRPr="00923BCE" w:rsidRDefault="00FD0BD2" w:rsidP="00FD0BD2">
      <w:pPr>
        <w:pStyle w:val="ListParagraph"/>
        <w:numPr>
          <w:ilvl w:val="0"/>
          <w:numId w:val="13"/>
        </w:numPr>
        <w:spacing w:line="240" w:lineRule="auto"/>
      </w:pPr>
      <w:r w:rsidRPr="00D60D61">
        <w:rPr>
          <w:lang w:val="fr-CA"/>
        </w:rPr>
        <w:t>Habitat naturel:</w:t>
      </w:r>
    </w:p>
    <w:p w:rsidR="00E60BD5" w:rsidRPr="00923BCE" w:rsidRDefault="00FD0BD2" w:rsidP="00FD0BD2">
      <w:pPr>
        <w:pStyle w:val="ListParagraph"/>
        <w:numPr>
          <w:ilvl w:val="1"/>
          <w:numId w:val="13"/>
        </w:numPr>
        <w:spacing w:line="240" w:lineRule="auto"/>
      </w:pPr>
      <w:r w:rsidRPr="00D60D61">
        <w:rPr>
          <w:lang w:val="fr-CA"/>
        </w:rPr>
        <w:t>Sol, eau, environnement</w:t>
      </w:r>
    </w:p>
    <w:p w:rsidR="00E60BD5" w:rsidRPr="00923BCE" w:rsidRDefault="00FD0BD2" w:rsidP="00FD0BD2">
      <w:pPr>
        <w:pStyle w:val="ListParagraph"/>
        <w:numPr>
          <w:ilvl w:val="1"/>
          <w:numId w:val="13"/>
        </w:numPr>
        <w:spacing w:line="240" w:lineRule="auto"/>
      </w:pPr>
      <w:r w:rsidRPr="00D60D61">
        <w:rPr>
          <w:lang w:val="fr-CA"/>
        </w:rPr>
        <w:t>Pathogène opportuniste par excellence</w:t>
      </w:r>
    </w:p>
    <w:p w:rsidR="00E60BD5" w:rsidRPr="00D60D61" w:rsidRDefault="00FD0BD2" w:rsidP="00FD0BD2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D60D61">
        <w:rPr>
          <w:lang w:val="fr-CA"/>
        </w:rPr>
        <w:t>Les infections chez les adultes en santé demeurent rares</w:t>
      </w:r>
    </w:p>
    <w:p w:rsidR="00E60BD5" w:rsidRPr="00D60D61" w:rsidRDefault="00FD0BD2" w:rsidP="00FD0BD2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D60D61">
        <w:rPr>
          <w:lang w:val="fr-CA"/>
        </w:rPr>
        <w:t>Folliculite liée à l'utilisation de bains bouillonnants, de spas, de piscines, de saunas et de piscines d'hydrothérapie</w:t>
      </w:r>
    </w:p>
    <w:p w:rsidR="00E60BD5" w:rsidRPr="00D60D61" w:rsidRDefault="00FD0BD2" w:rsidP="00FD0BD2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D60D61">
        <w:rPr>
          <w:lang w:val="fr-CA"/>
        </w:rPr>
        <w:t>Transmission par contact avec eau, aliments, personne à personne</w:t>
      </w:r>
    </w:p>
    <w:p w:rsidR="00E60BD5" w:rsidRPr="00D60D61" w:rsidRDefault="00FD0BD2" w:rsidP="00FD0BD2">
      <w:pPr>
        <w:pStyle w:val="ListParagraph"/>
        <w:numPr>
          <w:ilvl w:val="1"/>
          <w:numId w:val="13"/>
        </w:numPr>
        <w:spacing w:line="240" w:lineRule="auto"/>
        <w:rPr>
          <w:lang w:val="fr-CA"/>
        </w:rPr>
      </w:pPr>
      <w:r w:rsidRPr="00D60D61">
        <w:rPr>
          <w:lang w:val="fr-CA"/>
        </w:rPr>
        <w:t>Infection oculaire après contact ou trauma</w:t>
      </w:r>
    </w:p>
    <w:p w:rsidR="00D60D61" w:rsidRDefault="00D60D61" w:rsidP="00AC2C90">
      <w:pPr>
        <w:spacing w:line="240" w:lineRule="auto"/>
        <w:rPr>
          <w:i/>
          <w:lang w:val="fr-CA"/>
        </w:rPr>
      </w:pPr>
    </w:p>
    <w:p w:rsidR="00D60D61" w:rsidRDefault="00D60D61" w:rsidP="00AC2C90">
      <w:pPr>
        <w:spacing w:line="240" w:lineRule="auto"/>
        <w:rPr>
          <w:i/>
          <w:lang w:val="fr-CA"/>
        </w:rPr>
      </w:pPr>
    </w:p>
    <w:p w:rsidR="00E60BD5" w:rsidRPr="00923BCE" w:rsidRDefault="00FD0BD2" w:rsidP="00AC2C90">
      <w:pPr>
        <w:spacing w:line="240" w:lineRule="auto"/>
        <w:rPr>
          <w:i/>
        </w:rPr>
      </w:pPr>
      <w:r w:rsidRPr="00923BCE">
        <w:rPr>
          <w:i/>
          <w:lang w:val="fr-CA"/>
        </w:rPr>
        <w:lastRenderedPageBreak/>
        <w:t>Pathogenèse</w:t>
      </w:r>
    </w:p>
    <w:p w:rsidR="00E60BD5" w:rsidRPr="00D60D61" w:rsidRDefault="00FD0BD2" w:rsidP="00FD0BD2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D60D61">
        <w:rPr>
          <w:lang w:val="fr-CA"/>
        </w:rPr>
        <w:t>Responsable de 90% des décès associés avec la fibrose kystique (FK)</w:t>
      </w:r>
    </w:p>
    <w:p w:rsidR="00E60BD5" w:rsidRPr="00923BCE" w:rsidRDefault="00FD0BD2" w:rsidP="00FD0BD2">
      <w:pPr>
        <w:pStyle w:val="ListParagraph"/>
        <w:numPr>
          <w:ilvl w:val="0"/>
          <w:numId w:val="14"/>
        </w:numPr>
        <w:spacing w:line="240" w:lineRule="auto"/>
      </w:pPr>
      <w:r w:rsidRPr="00D60D61">
        <w:rPr>
          <w:lang w:val="fr-CA"/>
        </w:rPr>
        <w:t>10% des infections nosocomiales</w:t>
      </w:r>
    </w:p>
    <w:p w:rsidR="00E60BD5" w:rsidRPr="00923BCE" w:rsidRDefault="00FD0BD2" w:rsidP="00FD0BD2">
      <w:pPr>
        <w:pStyle w:val="ListParagraph"/>
        <w:numPr>
          <w:ilvl w:val="1"/>
          <w:numId w:val="14"/>
        </w:numPr>
        <w:spacing w:line="240" w:lineRule="auto"/>
      </w:pPr>
      <w:r w:rsidRPr="00D60D61">
        <w:rPr>
          <w:lang w:val="fr-CA"/>
        </w:rPr>
        <w:t>Infections urinaires (avec sonde)</w:t>
      </w:r>
    </w:p>
    <w:p w:rsidR="00E60BD5" w:rsidRPr="00923BCE" w:rsidRDefault="00FD0BD2" w:rsidP="00FD0BD2">
      <w:pPr>
        <w:pStyle w:val="ListParagraph"/>
        <w:numPr>
          <w:ilvl w:val="1"/>
          <w:numId w:val="14"/>
        </w:numPr>
        <w:spacing w:line="240" w:lineRule="auto"/>
      </w:pPr>
      <w:r w:rsidRPr="00D60D61">
        <w:rPr>
          <w:lang w:val="fr-CA"/>
        </w:rPr>
        <w:t>Bactériémies</w:t>
      </w:r>
    </w:p>
    <w:p w:rsidR="00E60BD5" w:rsidRPr="00923BCE" w:rsidRDefault="00FD0BD2" w:rsidP="00FD0BD2">
      <w:pPr>
        <w:pStyle w:val="ListParagraph"/>
        <w:numPr>
          <w:ilvl w:val="1"/>
          <w:numId w:val="14"/>
        </w:numPr>
        <w:spacing w:line="240" w:lineRule="auto"/>
      </w:pPr>
      <w:r w:rsidRPr="00D60D61">
        <w:rPr>
          <w:lang w:val="fr-CA"/>
        </w:rPr>
        <w:t>Pneumonies chez les patients ventil</w:t>
      </w:r>
      <w:r w:rsidRPr="00D60D61">
        <w:rPr>
          <w:lang w:val="en-US"/>
        </w:rPr>
        <w:t>é</w:t>
      </w:r>
      <w:r w:rsidRPr="00D60D61">
        <w:rPr>
          <w:lang w:val="fr-CA"/>
        </w:rPr>
        <w:t>s</w:t>
      </w:r>
    </w:p>
    <w:p w:rsidR="00E60BD5" w:rsidRPr="00923BCE" w:rsidRDefault="00FD0BD2" w:rsidP="00FD0BD2">
      <w:pPr>
        <w:pStyle w:val="ListParagraph"/>
        <w:numPr>
          <w:ilvl w:val="1"/>
          <w:numId w:val="14"/>
        </w:numPr>
        <w:spacing w:line="240" w:lineRule="auto"/>
      </w:pPr>
      <w:r w:rsidRPr="00D60D61">
        <w:rPr>
          <w:lang w:val="fr-CA"/>
        </w:rPr>
        <w:t>Infections des grands brûlés</w:t>
      </w:r>
    </w:p>
    <w:p w:rsidR="00923BCE" w:rsidRPr="00D60D61" w:rsidRDefault="00FD0BD2" w:rsidP="00FD0BD2">
      <w:pPr>
        <w:pStyle w:val="ListParagraph"/>
        <w:numPr>
          <w:ilvl w:val="0"/>
          <w:numId w:val="14"/>
        </w:numPr>
        <w:spacing w:line="240" w:lineRule="auto"/>
      </w:pPr>
      <w:r w:rsidRPr="00D60D61">
        <w:rPr>
          <w:lang w:val="fr-CA"/>
        </w:rPr>
        <w:t>Résistance naturelle à plusieurs Abx</w:t>
      </w:r>
    </w:p>
    <w:p w:rsidR="00E60BD5" w:rsidRPr="00923BCE" w:rsidRDefault="00FD0BD2" w:rsidP="00AC2C90">
      <w:pPr>
        <w:spacing w:line="240" w:lineRule="auto"/>
        <w:rPr>
          <w:i/>
        </w:rPr>
      </w:pPr>
      <w:r w:rsidRPr="00923BCE">
        <w:rPr>
          <w:i/>
          <w:lang w:val="fr-CA"/>
        </w:rPr>
        <w:t>Facteurs de virulences</w:t>
      </w:r>
    </w:p>
    <w:p w:rsidR="00797375" w:rsidRDefault="00797375" w:rsidP="00FD0BD2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  <w:sectPr w:rsidR="00797375" w:rsidSect="00AC2C90">
          <w:headerReference w:type="default" r:id="rId18"/>
          <w:pgSz w:w="12240" w:h="15840"/>
          <w:pgMar w:top="1276" w:right="669" w:bottom="1276" w:left="669" w:header="708" w:footer="708" w:gutter="0"/>
          <w:cols w:space="708"/>
          <w:docGrid w:linePitch="360"/>
        </w:sectPr>
      </w:pPr>
    </w:p>
    <w:p w:rsidR="00E60BD5" w:rsidRPr="00797375" w:rsidRDefault="00FD0BD2" w:rsidP="00FD0BD2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 w:rsidRPr="00797375">
        <w:rPr>
          <w:b/>
          <w:lang w:val="fr-CA"/>
        </w:rPr>
        <w:lastRenderedPageBreak/>
        <w:t>Attachement, colonisation</w:t>
      </w:r>
    </w:p>
    <w:p w:rsidR="00E60BD5" w:rsidRPr="00923BCE" w:rsidRDefault="00FD0BD2" w:rsidP="00FD0BD2">
      <w:pPr>
        <w:pStyle w:val="ListParagraph"/>
        <w:numPr>
          <w:ilvl w:val="1"/>
          <w:numId w:val="15"/>
        </w:numPr>
        <w:spacing w:line="240" w:lineRule="auto"/>
      </w:pPr>
      <w:r w:rsidRPr="00D60D61">
        <w:rPr>
          <w:lang w:val="fr-CA"/>
        </w:rPr>
        <w:t>LPS, pili, adh</w:t>
      </w:r>
      <w:r w:rsidRPr="00D60D61">
        <w:rPr>
          <w:lang w:val="en-US"/>
        </w:rPr>
        <w:t>é</w:t>
      </w:r>
      <w:r w:rsidRPr="00D60D61">
        <w:rPr>
          <w:lang w:val="fr-CA"/>
        </w:rPr>
        <w:t xml:space="preserve">sine, alginate, </w:t>
      </w:r>
      <w:r w:rsidRPr="00D60D61">
        <w:rPr>
          <w:lang w:val="en-US"/>
        </w:rPr>
        <w:t>é</w:t>
      </w:r>
      <w:r w:rsidRPr="00D60D61">
        <w:rPr>
          <w:lang w:val="fr-CA"/>
        </w:rPr>
        <w:t>lastase</w:t>
      </w:r>
    </w:p>
    <w:p w:rsidR="00E60BD5" w:rsidRPr="00797375" w:rsidRDefault="00FD0BD2" w:rsidP="00FD0BD2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 w:rsidRPr="00797375">
        <w:rPr>
          <w:b/>
          <w:lang w:val="fr-CA"/>
        </w:rPr>
        <w:t>Évasion</w:t>
      </w:r>
    </w:p>
    <w:p w:rsidR="00E60BD5" w:rsidRPr="00923BCE" w:rsidRDefault="00FD0BD2" w:rsidP="00FD0BD2">
      <w:pPr>
        <w:pStyle w:val="ListParagraph"/>
        <w:numPr>
          <w:ilvl w:val="1"/>
          <w:numId w:val="15"/>
        </w:numPr>
        <w:spacing w:line="240" w:lineRule="auto"/>
      </w:pPr>
      <w:r w:rsidRPr="00D60D61">
        <w:rPr>
          <w:lang w:val="fr-CA"/>
        </w:rPr>
        <w:t>Capsule, biofilm (alginate), pyocyanine, Exotoxine A</w:t>
      </w:r>
    </w:p>
    <w:p w:rsidR="00E60BD5" w:rsidRPr="00797375" w:rsidRDefault="00FD0BD2" w:rsidP="00FD0BD2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 w:rsidRPr="00797375">
        <w:rPr>
          <w:b/>
          <w:lang w:val="fr-CA"/>
        </w:rPr>
        <w:t>Manifestations/dommages</w:t>
      </w:r>
    </w:p>
    <w:p w:rsidR="00E60BD5" w:rsidRPr="00923BCE" w:rsidRDefault="00FD0BD2" w:rsidP="00FD0BD2">
      <w:pPr>
        <w:pStyle w:val="ListParagraph"/>
        <w:numPr>
          <w:ilvl w:val="1"/>
          <w:numId w:val="15"/>
        </w:numPr>
        <w:spacing w:line="240" w:lineRule="auto"/>
      </w:pPr>
      <w:r w:rsidRPr="00D60D61">
        <w:rPr>
          <w:lang w:val="fr-CA"/>
        </w:rPr>
        <w:t>Exotoxine A, Exoenzyme S, Phospholipase, LPS</w:t>
      </w:r>
    </w:p>
    <w:p w:rsidR="00E60BD5" w:rsidRPr="00797375" w:rsidRDefault="00FD0BD2" w:rsidP="00FD0BD2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 w:rsidRPr="00797375">
        <w:rPr>
          <w:b/>
          <w:lang w:val="fr-CA"/>
        </w:rPr>
        <w:t xml:space="preserve">Pyocyanine </w:t>
      </w:r>
    </w:p>
    <w:p w:rsidR="00E60BD5" w:rsidRPr="00D60D61" w:rsidRDefault="00FD0BD2" w:rsidP="00FD0BD2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D60D61">
        <w:rPr>
          <w:lang w:val="fr-CA"/>
        </w:rPr>
        <w:t>Pigment bleu-vert (pus bleu)</w:t>
      </w:r>
    </w:p>
    <w:p w:rsidR="00E60BD5" w:rsidRPr="00923BCE" w:rsidRDefault="00FD0BD2" w:rsidP="00FD0BD2">
      <w:pPr>
        <w:pStyle w:val="ListParagraph"/>
        <w:numPr>
          <w:ilvl w:val="1"/>
          <w:numId w:val="15"/>
        </w:numPr>
        <w:spacing w:line="240" w:lineRule="auto"/>
      </w:pPr>
      <w:r w:rsidRPr="00D60D61">
        <w:rPr>
          <w:lang w:val="fr-CA"/>
        </w:rPr>
        <w:t>Activité proinflammatoire sur les phagocytes</w:t>
      </w:r>
    </w:p>
    <w:p w:rsidR="00E60BD5" w:rsidRPr="00923BCE" w:rsidRDefault="00FD0BD2" w:rsidP="00FD0BD2">
      <w:pPr>
        <w:pStyle w:val="ListParagraph"/>
        <w:numPr>
          <w:ilvl w:val="0"/>
          <w:numId w:val="15"/>
        </w:numPr>
        <w:spacing w:line="240" w:lineRule="auto"/>
      </w:pPr>
      <w:r w:rsidRPr="00797375">
        <w:rPr>
          <w:b/>
          <w:lang w:val="fr-CA"/>
        </w:rPr>
        <w:t>Exotoxine A</w:t>
      </w:r>
      <w:r w:rsidRPr="00D60D61">
        <w:rPr>
          <w:lang w:val="fr-CA"/>
        </w:rPr>
        <w:t>:</w:t>
      </w:r>
    </w:p>
    <w:p w:rsidR="00E60BD5" w:rsidRPr="00923BCE" w:rsidRDefault="00FD0BD2" w:rsidP="00FD0BD2">
      <w:pPr>
        <w:pStyle w:val="ListParagraph"/>
        <w:numPr>
          <w:ilvl w:val="1"/>
          <w:numId w:val="15"/>
        </w:numPr>
        <w:spacing w:line="240" w:lineRule="auto"/>
      </w:pPr>
      <w:r w:rsidRPr="00D60D61">
        <w:rPr>
          <w:lang w:val="fr-CA"/>
        </w:rPr>
        <w:t>Inhibition de la phagocytose</w:t>
      </w:r>
    </w:p>
    <w:p w:rsidR="00E60BD5" w:rsidRPr="00923BCE" w:rsidRDefault="00FD0BD2" w:rsidP="00FD0BD2">
      <w:pPr>
        <w:pStyle w:val="ListParagraph"/>
        <w:numPr>
          <w:ilvl w:val="0"/>
          <w:numId w:val="15"/>
        </w:numPr>
        <w:spacing w:line="240" w:lineRule="auto"/>
      </w:pPr>
      <w:r w:rsidRPr="00797375">
        <w:rPr>
          <w:b/>
          <w:lang w:val="fr-CA"/>
        </w:rPr>
        <w:t>Exoenzyme</w:t>
      </w:r>
      <w:r w:rsidRPr="00797375">
        <w:rPr>
          <w:b/>
          <w:bCs/>
          <w:lang w:val="fr-CA"/>
        </w:rPr>
        <w:t xml:space="preserve"> </w:t>
      </w:r>
      <w:r w:rsidRPr="00797375">
        <w:rPr>
          <w:b/>
          <w:lang w:val="fr-CA"/>
        </w:rPr>
        <w:t>S</w:t>
      </w:r>
      <w:r w:rsidRPr="00D60D61">
        <w:rPr>
          <w:b/>
          <w:bCs/>
          <w:lang w:val="fr-CA"/>
        </w:rPr>
        <w:t>:</w:t>
      </w:r>
      <w:r w:rsidRPr="00D60D61">
        <w:rPr>
          <w:lang w:val="fr-CA"/>
        </w:rPr>
        <w:t xml:space="preserve"> </w:t>
      </w:r>
    </w:p>
    <w:p w:rsidR="00E60BD5" w:rsidRPr="00D60D61" w:rsidRDefault="00FD0BD2" w:rsidP="00FD0BD2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D60D61">
        <w:rPr>
          <w:lang w:val="fr-CA"/>
        </w:rPr>
        <w:t>Rôle intégral au niveau d’infection de l’appareil respiratoire (FK)</w:t>
      </w:r>
    </w:p>
    <w:p w:rsidR="00797375" w:rsidRPr="00923BCE" w:rsidRDefault="00797375" w:rsidP="00FD0BD2">
      <w:pPr>
        <w:pStyle w:val="ListParagraph"/>
        <w:numPr>
          <w:ilvl w:val="1"/>
          <w:numId w:val="15"/>
        </w:numPr>
        <w:spacing w:line="240" w:lineRule="auto"/>
      </w:pPr>
      <w:r w:rsidRPr="00923BCE">
        <w:t>C</w:t>
      </w:r>
      <w:r w:rsidR="00FD0BD2" w:rsidRPr="00923BCE">
        <w:t>ytotoxine</w:t>
      </w:r>
    </w:p>
    <w:p w:rsidR="00E60BD5" w:rsidRPr="00923BCE" w:rsidRDefault="00FD0BD2" w:rsidP="00FD0BD2">
      <w:pPr>
        <w:pStyle w:val="ListParagraph"/>
        <w:numPr>
          <w:ilvl w:val="0"/>
          <w:numId w:val="15"/>
        </w:numPr>
        <w:spacing w:line="240" w:lineRule="auto"/>
      </w:pPr>
      <w:r w:rsidRPr="00D60D61">
        <w:rPr>
          <w:lang w:val="fr-CA"/>
        </w:rPr>
        <w:lastRenderedPageBreak/>
        <w:t xml:space="preserve">Biofilm: </w:t>
      </w:r>
    </w:p>
    <w:p w:rsidR="00E60BD5" w:rsidRPr="00D60D61" w:rsidRDefault="00FD0BD2" w:rsidP="00FD0BD2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D60D61">
        <w:rPr>
          <w:lang w:val="fr-CA"/>
        </w:rPr>
        <w:t>Intégrale au développement  d’infections chroniques (FK)</w:t>
      </w:r>
    </w:p>
    <w:p w:rsidR="00E60BD5" w:rsidRPr="00923BCE" w:rsidRDefault="00FD0BD2" w:rsidP="00FD0BD2">
      <w:pPr>
        <w:pStyle w:val="ListParagraph"/>
        <w:numPr>
          <w:ilvl w:val="1"/>
          <w:numId w:val="15"/>
        </w:numPr>
        <w:spacing w:line="240" w:lineRule="auto"/>
      </w:pPr>
      <w:r w:rsidRPr="00D60D61">
        <w:rPr>
          <w:lang w:val="fr-CA"/>
        </w:rPr>
        <w:t>Confère à la bactérie:</w:t>
      </w:r>
    </w:p>
    <w:p w:rsidR="00E60BD5" w:rsidRPr="00923BCE" w:rsidRDefault="00FD0BD2" w:rsidP="00FD0BD2">
      <w:pPr>
        <w:pStyle w:val="ListParagraph"/>
        <w:numPr>
          <w:ilvl w:val="2"/>
          <w:numId w:val="15"/>
        </w:numPr>
        <w:spacing w:line="240" w:lineRule="auto"/>
      </w:pPr>
      <w:r w:rsidRPr="00D60D61">
        <w:rPr>
          <w:lang w:val="fr-CA"/>
        </w:rPr>
        <w:t>Adhésion (cathéter, cellules bronchiques)</w:t>
      </w:r>
    </w:p>
    <w:p w:rsidR="00E60BD5" w:rsidRPr="00923BCE" w:rsidRDefault="00FD0BD2" w:rsidP="00FD0BD2">
      <w:pPr>
        <w:pStyle w:val="ListParagraph"/>
        <w:numPr>
          <w:ilvl w:val="2"/>
          <w:numId w:val="15"/>
        </w:numPr>
        <w:spacing w:line="240" w:lineRule="auto"/>
      </w:pPr>
      <w:r w:rsidRPr="00D60D61">
        <w:rPr>
          <w:lang w:val="fr-CA"/>
        </w:rPr>
        <w:t>Formation de microcolonies</w:t>
      </w:r>
    </w:p>
    <w:p w:rsidR="00E60BD5" w:rsidRPr="00923BCE" w:rsidRDefault="00FD0BD2" w:rsidP="00FD0BD2">
      <w:pPr>
        <w:pStyle w:val="ListParagraph"/>
        <w:numPr>
          <w:ilvl w:val="2"/>
          <w:numId w:val="15"/>
        </w:numPr>
        <w:spacing w:line="240" w:lineRule="auto"/>
      </w:pPr>
      <w:r w:rsidRPr="00D60D61">
        <w:rPr>
          <w:lang w:val="fr-CA"/>
        </w:rPr>
        <w:t>Inhibition de la phagocytose</w:t>
      </w:r>
    </w:p>
    <w:p w:rsidR="00E60BD5" w:rsidRPr="00923BCE" w:rsidRDefault="00FD0BD2" w:rsidP="00FD0BD2">
      <w:pPr>
        <w:pStyle w:val="ListParagraph"/>
        <w:numPr>
          <w:ilvl w:val="0"/>
          <w:numId w:val="15"/>
        </w:numPr>
        <w:spacing w:line="240" w:lineRule="auto"/>
      </w:pPr>
      <w:r w:rsidRPr="00D60D61">
        <w:rPr>
          <w:lang w:val="fr-CA"/>
        </w:rPr>
        <w:t>En Biofilm</w:t>
      </w:r>
    </w:p>
    <w:p w:rsidR="00E60BD5" w:rsidRPr="00923BCE" w:rsidRDefault="00FD0BD2" w:rsidP="00FD0BD2">
      <w:pPr>
        <w:pStyle w:val="ListParagraph"/>
        <w:numPr>
          <w:ilvl w:val="1"/>
          <w:numId w:val="15"/>
        </w:numPr>
        <w:spacing w:line="240" w:lineRule="auto"/>
      </w:pPr>
      <w:r w:rsidRPr="00D60D61">
        <w:rPr>
          <w:lang w:val="fr-CA"/>
        </w:rPr>
        <w:t>Métaboliquement moins actif - persistant</w:t>
      </w:r>
    </w:p>
    <w:p w:rsidR="00E60BD5" w:rsidRPr="00923BCE" w:rsidRDefault="00FD0BD2" w:rsidP="00FD0BD2">
      <w:pPr>
        <w:pStyle w:val="ListParagraph"/>
        <w:numPr>
          <w:ilvl w:val="1"/>
          <w:numId w:val="15"/>
        </w:numPr>
        <w:spacing w:line="240" w:lineRule="auto"/>
      </w:pPr>
      <w:r w:rsidRPr="00D60D61">
        <w:rPr>
          <w:lang w:val="fr-CA"/>
        </w:rPr>
        <w:t>Résistance aux antibiotiques</w:t>
      </w:r>
    </w:p>
    <w:p w:rsidR="00E60BD5" w:rsidRPr="00923BCE" w:rsidRDefault="00FD0BD2" w:rsidP="00FD0BD2">
      <w:pPr>
        <w:pStyle w:val="ListParagraph"/>
        <w:numPr>
          <w:ilvl w:val="1"/>
          <w:numId w:val="15"/>
        </w:numPr>
        <w:spacing w:line="240" w:lineRule="auto"/>
      </w:pPr>
      <w:r w:rsidRPr="00D60D61">
        <w:rPr>
          <w:lang w:val="fr-CA"/>
        </w:rPr>
        <w:t>Stimulation de médiateurs inflammatoires</w:t>
      </w:r>
    </w:p>
    <w:p w:rsidR="00923BCE" w:rsidRPr="00D60D61" w:rsidRDefault="00FD0BD2" w:rsidP="00FD0BD2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D60D61">
        <w:rPr>
          <w:lang w:val="fr-CA"/>
        </w:rPr>
        <w:t>Facteur de virulence de première importance  à la FK</w:t>
      </w:r>
    </w:p>
    <w:p w:rsidR="00797375" w:rsidRDefault="00797375" w:rsidP="00AC2C90">
      <w:pPr>
        <w:spacing w:line="240" w:lineRule="auto"/>
        <w:rPr>
          <w:i/>
          <w:lang w:val="fr-CA"/>
        </w:rPr>
      </w:pPr>
    </w:p>
    <w:p w:rsidR="00797375" w:rsidRDefault="00797375" w:rsidP="00AC2C90">
      <w:pPr>
        <w:spacing w:line="240" w:lineRule="auto"/>
        <w:rPr>
          <w:i/>
          <w:lang w:val="fr-CA"/>
        </w:rPr>
        <w:sectPr w:rsidR="00797375" w:rsidSect="00797375">
          <w:type w:val="continuous"/>
          <w:pgSz w:w="12240" w:h="15840"/>
          <w:pgMar w:top="1276" w:right="669" w:bottom="1276" w:left="669" w:header="708" w:footer="708" w:gutter="0"/>
          <w:cols w:num="2" w:space="708"/>
          <w:docGrid w:linePitch="360"/>
        </w:sectPr>
      </w:pPr>
    </w:p>
    <w:p w:rsidR="00797375" w:rsidRDefault="00797375" w:rsidP="00AC2C90">
      <w:pPr>
        <w:spacing w:line="240" w:lineRule="auto"/>
        <w:rPr>
          <w:i/>
          <w:lang w:val="fr-CA"/>
        </w:rPr>
      </w:pPr>
    </w:p>
    <w:p w:rsidR="00E60BD5" w:rsidRPr="00923BCE" w:rsidRDefault="00FD0BD2" w:rsidP="00AC2C90">
      <w:pPr>
        <w:spacing w:line="240" w:lineRule="auto"/>
        <w:rPr>
          <w:i/>
          <w:lang w:val="fr-CA"/>
        </w:rPr>
      </w:pPr>
      <w:r w:rsidRPr="00923BCE">
        <w:rPr>
          <w:i/>
          <w:lang w:val="fr-CA"/>
        </w:rPr>
        <w:t xml:space="preserve">La fibrose kystique et le </w:t>
      </w:r>
      <w:r w:rsidRPr="00923BCE">
        <w:rPr>
          <w:i/>
          <w:iCs/>
          <w:lang w:val="fr-CA"/>
        </w:rPr>
        <w:t>Pseudomonas</w:t>
      </w:r>
    </w:p>
    <w:p w:rsidR="00E60BD5" w:rsidRPr="00923BCE" w:rsidRDefault="00FD0BD2" w:rsidP="00FD0BD2">
      <w:pPr>
        <w:pStyle w:val="ListParagraph"/>
        <w:numPr>
          <w:ilvl w:val="0"/>
          <w:numId w:val="16"/>
        </w:numPr>
        <w:spacing w:line="240" w:lineRule="auto"/>
      </w:pPr>
      <w:r w:rsidRPr="00D60D61">
        <w:rPr>
          <w:lang w:val="fr-CA"/>
        </w:rPr>
        <w:t>Maladie d’origine génétique</w:t>
      </w:r>
    </w:p>
    <w:p w:rsidR="00E60BD5" w:rsidRPr="00D60D61" w:rsidRDefault="00FD0BD2" w:rsidP="00FD0BD2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D60D61">
        <w:rPr>
          <w:lang w:val="fr-CA"/>
        </w:rPr>
        <w:t>Mutations au niveau de gêne qui contrôle le mouvement des électrolytes</w:t>
      </w:r>
    </w:p>
    <w:p w:rsidR="00E60BD5" w:rsidRPr="00D60D61" w:rsidRDefault="00FD0BD2" w:rsidP="00FD0BD2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D60D61">
        <w:rPr>
          <w:lang w:val="fr-CA"/>
        </w:rPr>
        <w:t>Altération de la fonction des glandes exocrines</w:t>
      </w:r>
    </w:p>
    <w:p w:rsidR="00E60BD5" w:rsidRPr="00D60D61" w:rsidRDefault="00FD0BD2" w:rsidP="00FD0BD2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D60D61">
        <w:rPr>
          <w:lang w:val="fr-CA"/>
        </w:rPr>
        <w:t>Sécrétion de mucus dans les voies respiratoires</w:t>
      </w:r>
    </w:p>
    <w:p w:rsidR="00E60BD5" w:rsidRPr="00D60D61" w:rsidRDefault="00FD0BD2" w:rsidP="00FD0BD2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D60D61">
        <w:rPr>
          <w:lang w:val="fr-CA"/>
        </w:rPr>
        <w:t>Le mucus visqueux interrompt le fonctionnement des cellules ciliaires</w:t>
      </w:r>
    </w:p>
    <w:p w:rsidR="00E60BD5" w:rsidRPr="00D60D61" w:rsidRDefault="00FD0BD2" w:rsidP="00FD0BD2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D60D61">
        <w:rPr>
          <w:lang w:val="fr-CA"/>
        </w:rPr>
        <w:t xml:space="preserve">Le </w:t>
      </w:r>
      <w:r w:rsidRPr="00D60D61">
        <w:rPr>
          <w:i/>
          <w:iCs/>
          <w:lang w:val="fr-CA"/>
        </w:rPr>
        <w:t>Pseudomonas</w:t>
      </w:r>
      <w:r w:rsidRPr="00D60D61">
        <w:rPr>
          <w:lang w:val="fr-CA"/>
        </w:rPr>
        <w:t xml:space="preserve"> est bien adapté à vivre dans l’environnement et persiste en biofilm.</w:t>
      </w:r>
    </w:p>
    <w:p w:rsidR="00E60BD5" w:rsidRPr="00D60D61" w:rsidRDefault="00FD0BD2" w:rsidP="00FD0BD2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D60D61">
        <w:rPr>
          <w:i/>
          <w:iCs/>
          <w:lang w:val="fr-CA"/>
        </w:rPr>
        <w:t>P. aeuroginosa</w:t>
      </w:r>
      <w:r w:rsidRPr="00D60D61">
        <w:rPr>
          <w:lang w:val="fr-CA"/>
        </w:rPr>
        <w:t xml:space="preserve"> libère des toxines, endommage les tissus</w:t>
      </w:r>
    </w:p>
    <w:p w:rsidR="00E60BD5" w:rsidRPr="00923BCE" w:rsidRDefault="00FD0BD2" w:rsidP="00FD0BD2">
      <w:pPr>
        <w:pStyle w:val="ListParagraph"/>
        <w:numPr>
          <w:ilvl w:val="1"/>
          <w:numId w:val="16"/>
        </w:numPr>
        <w:spacing w:line="240" w:lineRule="auto"/>
      </w:pPr>
      <w:r w:rsidRPr="00D60D61">
        <w:rPr>
          <w:lang w:val="fr-CA"/>
        </w:rPr>
        <w:t>Biofilm protège les pathogènes</w:t>
      </w:r>
    </w:p>
    <w:p w:rsidR="00E60BD5" w:rsidRPr="00D60D61" w:rsidRDefault="00FD0BD2" w:rsidP="00FD0BD2">
      <w:pPr>
        <w:pStyle w:val="ListParagraph"/>
        <w:numPr>
          <w:ilvl w:val="0"/>
          <w:numId w:val="16"/>
        </w:numPr>
        <w:spacing w:line="240" w:lineRule="auto"/>
        <w:rPr>
          <w:lang w:val="fr-CA"/>
        </w:rPr>
      </w:pPr>
      <w:r w:rsidRPr="00D60D61">
        <w:rPr>
          <w:lang w:val="fr-CA"/>
        </w:rPr>
        <w:t>Afflux de cellules immunitaires ne peuvent pas contrôler l’infection</w:t>
      </w:r>
    </w:p>
    <w:p w:rsidR="00923BCE" w:rsidRPr="00D60D61" w:rsidRDefault="00FD0BD2" w:rsidP="00FD0BD2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D60D61">
        <w:rPr>
          <w:lang w:val="fr-CA"/>
        </w:rPr>
        <w:t>La destruction des phagocytes et la libération des facteurs intracellulaire endommagent les tissus et amplifient la réaction inflammatoire</w:t>
      </w:r>
    </w:p>
    <w:p w:rsidR="00797375" w:rsidRPr="00106318" w:rsidRDefault="00797375" w:rsidP="00AC2C90">
      <w:pPr>
        <w:spacing w:line="240" w:lineRule="auto"/>
        <w:rPr>
          <w:b/>
          <w:sz w:val="28"/>
          <w:szCs w:val="28"/>
          <w:lang w:val="fr-CA"/>
        </w:rPr>
      </w:pPr>
    </w:p>
    <w:p w:rsidR="00797375" w:rsidRPr="00106318" w:rsidRDefault="00797375" w:rsidP="00AC2C90">
      <w:pPr>
        <w:spacing w:line="240" w:lineRule="auto"/>
        <w:rPr>
          <w:b/>
          <w:sz w:val="28"/>
          <w:szCs w:val="28"/>
          <w:lang w:val="fr-CA"/>
        </w:rPr>
      </w:pPr>
    </w:p>
    <w:p w:rsidR="008F0B35" w:rsidRPr="00FD0BD2" w:rsidRDefault="00923BCE" w:rsidP="00AC2C90">
      <w:pPr>
        <w:spacing w:line="240" w:lineRule="auto"/>
        <w:rPr>
          <w:b/>
          <w:color w:val="0070C0"/>
          <w:sz w:val="28"/>
          <w:szCs w:val="28"/>
        </w:rPr>
      </w:pPr>
      <w:r w:rsidRPr="00FD0BD2">
        <w:rPr>
          <w:b/>
          <w:color w:val="0070C0"/>
          <w:sz w:val="28"/>
          <w:szCs w:val="28"/>
        </w:rPr>
        <w:lastRenderedPageBreak/>
        <w:t>Legionella</w:t>
      </w:r>
    </w:p>
    <w:p w:rsidR="00E60BD5" w:rsidRPr="00797375" w:rsidRDefault="00FD0BD2" w:rsidP="00FD0BD2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797375">
        <w:rPr>
          <w:lang w:val="fr-CA"/>
        </w:rPr>
        <w:t>Mise en évidence en 1943 et 1968</w:t>
      </w:r>
    </w:p>
    <w:p w:rsidR="00E60BD5" w:rsidRPr="00797375" w:rsidRDefault="00FD0BD2" w:rsidP="00FD0BD2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797375">
        <w:rPr>
          <w:lang w:val="fr-CA"/>
        </w:rPr>
        <w:t>Philadelphie 1976: 182 participants du congrès de la légion Américaine sont malades avec une pneumonie</w:t>
      </w:r>
    </w:p>
    <w:p w:rsidR="00E60BD5" w:rsidRPr="00923BCE" w:rsidRDefault="00FD0BD2" w:rsidP="00FD0BD2">
      <w:pPr>
        <w:pStyle w:val="ListParagraph"/>
        <w:numPr>
          <w:ilvl w:val="1"/>
          <w:numId w:val="17"/>
        </w:numPr>
        <w:spacing w:line="240" w:lineRule="auto"/>
      </w:pPr>
      <w:r w:rsidRPr="00797375">
        <w:rPr>
          <w:lang w:val="fr-CA"/>
        </w:rPr>
        <w:t>34 légionnaires sont décédés</w:t>
      </w:r>
    </w:p>
    <w:p w:rsidR="00E60BD5" w:rsidRPr="00923BCE" w:rsidRDefault="00FD0BD2" w:rsidP="00FD0BD2">
      <w:pPr>
        <w:pStyle w:val="ListParagraph"/>
        <w:numPr>
          <w:ilvl w:val="1"/>
          <w:numId w:val="17"/>
        </w:numPr>
        <w:spacing w:line="240" w:lineRule="auto"/>
      </w:pPr>
      <w:r w:rsidRPr="00797375">
        <w:rPr>
          <w:lang w:val="fr-CA"/>
        </w:rPr>
        <w:t>Légionellose</w:t>
      </w:r>
    </w:p>
    <w:p w:rsidR="00E60BD5" w:rsidRPr="00797375" w:rsidRDefault="00FD0BD2" w:rsidP="00FD0BD2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797375">
        <w:rPr>
          <w:lang w:val="fr-CA"/>
        </w:rPr>
        <w:t xml:space="preserve">La cause fut isolée et identifiée en 1979: </w:t>
      </w:r>
      <w:r w:rsidRPr="00797375">
        <w:rPr>
          <w:i/>
          <w:iCs/>
          <w:lang w:val="fr-CA"/>
        </w:rPr>
        <w:t>Legionella pneumophila</w:t>
      </w:r>
    </w:p>
    <w:p w:rsidR="00E60BD5" w:rsidRPr="00923BCE" w:rsidRDefault="00FD0BD2" w:rsidP="00FD0BD2">
      <w:pPr>
        <w:pStyle w:val="ListParagraph"/>
        <w:numPr>
          <w:ilvl w:val="0"/>
          <w:numId w:val="17"/>
        </w:numPr>
        <w:spacing w:line="240" w:lineRule="auto"/>
      </w:pPr>
      <w:r w:rsidRPr="00797375">
        <w:rPr>
          <w:lang w:val="fr-CA"/>
        </w:rPr>
        <w:t>&gt;47 espèces</w:t>
      </w:r>
    </w:p>
    <w:p w:rsidR="00E60BD5" w:rsidRPr="00797375" w:rsidRDefault="00FD0BD2" w:rsidP="00FD0BD2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797375">
        <w:rPr>
          <w:lang w:val="fr-CA"/>
        </w:rPr>
        <w:t xml:space="preserve">60-90% des infections sont causées par </w:t>
      </w:r>
      <w:r w:rsidRPr="00797375">
        <w:rPr>
          <w:i/>
          <w:iCs/>
          <w:lang w:val="fr-CA"/>
        </w:rPr>
        <w:t>L. pneumophila</w:t>
      </w:r>
    </w:p>
    <w:p w:rsidR="00E60BD5" w:rsidRPr="00923BCE" w:rsidRDefault="00FD0BD2" w:rsidP="00FD0BD2">
      <w:pPr>
        <w:pStyle w:val="ListParagraph"/>
        <w:numPr>
          <w:ilvl w:val="0"/>
          <w:numId w:val="17"/>
        </w:numPr>
        <w:spacing w:line="240" w:lineRule="auto"/>
      </w:pPr>
      <w:r w:rsidRPr="00797375">
        <w:rPr>
          <w:lang w:val="fr-CA"/>
        </w:rPr>
        <w:t>Très résistants aux désinfectants:</w:t>
      </w:r>
    </w:p>
    <w:p w:rsidR="00E60BD5" w:rsidRPr="00797375" w:rsidRDefault="00FD0BD2" w:rsidP="00FD0BD2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797375">
        <w:rPr>
          <w:lang w:val="fr-CA"/>
        </w:rPr>
        <w:t>2mg/L de chlore, UV, ozone</w:t>
      </w:r>
    </w:p>
    <w:p w:rsidR="00E60BD5" w:rsidRPr="00797375" w:rsidRDefault="00FD0BD2" w:rsidP="00FD0BD2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797375">
        <w:rPr>
          <w:lang w:val="fr-CA"/>
        </w:rPr>
        <w:t>Peuvent survivre 6 mois dans H</w:t>
      </w:r>
      <w:r w:rsidRPr="00797375">
        <w:rPr>
          <w:vertAlign w:val="subscript"/>
          <w:lang w:val="fr-CA"/>
        </w:rPr>
        <w:t>2</w:t>
      </w:r>
      <w:r w:rsidRPr="00797375">
        <w:rPr>
          <w:lang w:val="fr-CA"/>
        </w:rPr>
        <w:t>O distillée à la Temp. de la pièce ou 1 an dans l’H</w:t>
      </w:r>
      <w:r w:rsidRPr="00797375">
        <w:rPr>
          <w:vertAlign w:val="subscript"/>
          <w:lang w:val="fr-CA"/>
        </w:rPr>
        <w:t>2</w:t>
      </w:r>
      <w:r w:rsidRPr="00797375">
        <w:rPr>
          <w:lang w:val="fr-CA"/>
        </w:rPr>
        <w:t>O du robinet</w:t>
      </w:r>
    </w:p>
    <w:p w:rsidR="00E60BD5" w:rsidRPr="00F5025F" w:rsidRDefault="00FD0BD2" w:rsidP="00AC2C90">
      <w:pPr>
        <w:spacing w:line="240" w:lineRule="auto"/>
        <w:rPr>
          <w:i/>
        </w:rPr>
      </w:pPr>
      <w:r w:rsidRPr="00F5025F">
        <w:rPr>
          <w:i/>
        </w:rPr>
        <w:t>Habitat</w:t>
      </w:r>
    </w:p>
    <w:p w:rsidR="00E60BD5" w:rsidRPr="00F5025F" w:rsidRDefault="00FD0BD2" w:rsidP="00FD0BD2">
      <w:pPr>
        <w:pStyle w:val="ListParagraph"/>
        <w:numPr>
          <w:ilvl w:val="0"/>
          <w:numId w:val="18"/>
        </w:numPr>
        <w:spacing w:line="240" w:lineRule="auto"/>
      </w:pPr>
      <w:r w:rsidRPr="00797375">
        <w:rPr>
          <w:lang w:val="fr-CA"/>
        </w:rPr>
        <w:t>Réservoir: milieu aquatique</w:t>
      </w:r>
    </w:p>
    <w:p w:rsidR="00E60BD5" w:rsidRPr="00797375" w:rsidRDefault="00FD0BD2" w:rsidP="00FD0BD2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797375">
        <w:rPr>
          <w:lang w:val="fr-CA"/>
        </w:rPr>
        <w:t>Lacs, rivières, système de climatisation (tours aéro-réfrigérantes) nébulisateurs, fontaines d’eau, machine à glace, bains à remous, robinets et douches</w:t>
      </w:r>
    </w:p>
    <w:p w:rsidR="00E60BD5" w:rsidRPr="00797375" w:rsidRDefault="00FD0BD2" w:rsidP="00FD0BD2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797375">
        <w:rPr>
          <w:lang w:val="fr-CA"/>
        </w:rPr>
        <w:t>Pathogène intracellulaire même dans son habitat naturel</w:t>
      </w:r>
    </w:p>
    <w:p w:rsidR="00E60BD5" w:rsidRPr="00797375" w:rsidRDefault="00FD0BD2" w:rsidP="00FD0BD2">
      <w:pPr>
        <w:pStyle w:val="ListParagraph"/>
        <w:numPr>
          <w:ilvl w:val="1"/>
          <w:numId w:val="18"/>
        </w:numPr>
        <w:spacing w:line="240" w:lineRule="auto"/>
        <w:rPr>
          <w:lang w:val="fr-CA"/>
        </w:rPr>
      </w:pPr>
      <w:r w:rsidRPr="00797375">
        <w:rPr>
          <w:lang w:val="fr-CA"/>
        </w:rPr>
        <w:t>Organisme fastidieux – la croissance en milieu artificiel dépend de la présence de la cystéine</w:t>
      </w:r>
    </w:p>
    <w:p w:rsidR="00E60BD5" w:rsidRPr="00797375" w:rsidRDefault="00FD0BD2" w:rsidP="00FD0BD2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797375">
        <w:rPr>
          <w:lang w:val="fr-CA"/>
        </w:rPr>
        <w:t>Infections humaines: Bactéries intracellulaires (macrophages)</w:t>
      </w:r>
    </w:p>
    <w:p w:rsidR="00E60BD5" w:rsidRPr="00797375" w:rsidRDefault="00FD0BD2" w:rsidP="00FD0BD2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797375">
        <w:rPr>
          <w:lang w:val="fr-CA"/>
        </w:rPr>
        <w:t>En milieu aquatique: parasite de cellules unicellulaires (amibes)</w:t>
      </w:r>
    </w:p>
    <w:p w:rsidR="00E60BD5" w:rsidRPr="00F5025F" w:rsidRDefault="00FD0BD2" w:rsidP="00AC2C90">
      <w:pPr>
        <w:spacing w:line="240" w:lineRule="auto"/>
        <w:rPr>
          <w:i/>
        </w:rPr>
      </w:pPr>
      <w:r w:rsidRPr="00F5025F">
        <w:rPr>
          <w:i/>
          <w:lang w:val="fr-CA"/>
        </w:rPr>
        <w:t>Présentation</w:t>
      </w:r>
    </w:p>
    <w:p w:rsidR="00E60BD5" w:rsidRPr="00F5025F" w:rsidRDefault="00FD0BD2" w:rsidP="00FD0BD2">
      <w:pPr>
        <w:pStyle w:val="ListParagraph"/>
        <w:numPr>
          <w:ilvl w:val="0"/>
          <w:numId w:val="19"/>
        </w:numPr>
        <w:spacing w:line="240" w:lineRule="auto"/>
      </w:pPr>
      <w:r w:rsidRPr="00797375">
        <w:rPr>
          <w:lang w:val="fr-CA"/>
        </w:rPr>
        <w:t>Légionellose:</w:t>
      </w:r>
    </w:p>
    <w:p w:rsidR="00E60BD5" w:rsidRPr="00797375" w:rsidRDefault="00FD0BD2" w:rsidP="00FD0BD2">
      <w:pPr>
        <w:pStyle w:val="ListParagraph"/>
        <w:numPr>
          <w:ilvl w:val="1"/>
          <w:numId w:val="19"/>
        </w:numPr>
        <w:spacing w:line="240" w:lineRule="auto"/>
        <w:rPr>
          <w:lang w:val="fr-CA"/>
        </w:rPr>
      </w:pPr>
      <w:r w:rsidRPr="00797375">
        <w:rPr>
          <w:lang w:val="fr-CA"/>
        </w:rPr>
        <w:t>Personnes à risque: âgées, fumeurs, immunodéprimés</w:t>
      </w:r>
    </w:p>
    <w:p w:rsidR="00E60BD5" w:rsidRPr="00797375" w:rsidRDefault="00FD0BD2" w:rsidP="00FD0BD2">
      <w:pPr>
        <w:pStyle w:val="ListParagraph"/>
        <w:numPr>
          <w:ilvl w:val="1"/>
          <w:numId w:val="19"/>
        </w:numPr>
        <w:spacing w:line="240" w:lineRule="auto"/>
        <w:rPr>
          <w:lang w:val="fr-CA"/>
        </w:rPr>
      </w:pPr>
      <w:r w:rsidRPr="00797375">
        <w:rPr>
          <w:lang w:val="fr-CA"/>
        </w:rPr>
        <w:t>Débute par un syndrome grippale et progresse à une fièvre, dyspnée, toux, pleurésie</w:t>
      </w:r>
    </w:p>
    <w:p w:rsidR="00E60BD5" w:rsidRPr="00797375" w:rsidRDefault="00FD0BD2" w:rsidP="00AC2C90">
      <w:pPr>
        <w:spacing w:line="240" w:lineRule="auto"/>
        <w:rPr>
          <w:i/>
          <w:lang w:val="fr-CA"/>
        </w:rPr>
      </w:pPr>
      <w:r w:rsidRPr="00F5025F">
        <w:rPr>
          <w:i/>
          <w:lang w:val="fr-CA"/>
        </w:rPr>
        <w:t>Pouvoir Pathogénique</w:t>
      </w:r>
    </w:p>
    <w:p w:rsidR="00E60BD5" w:rsidRPr="00F5025F" w:rsidRDefault="00FD0BD2" w:rsidP="00FD0BD2">
      <w:pPr>
        <w:pStyle w:val="ListParagraph"/>
        <w:numPr>
          <w:ilvl w:val="0"/>
          <w:numId w:val="19"/>
        </w:numPr>
        <w:spacing w:line="240" w:lineRule="auto"/>
      </w:pPr>
      <w:r w:rsidRPr="00797375">
        <w:rPr>
          <w:lang w:val="fr-CA"/>
        </w:rPr>
        <w:t>Transmission:</w:t>
      </w:r>
    </w:p>
    <w:p w:rsidR="00E60BD5" w:rsidRPr="00F5025F" w:rsidRDefault="00FD0BD2" w:rsidP="00FD0BD2">
      <w:pPr>
        <w:pStyle w:val="ListParagraph"/>
        <w:numPr>
          <w:ilvl w:val="1"/>
          <w:numId w:val="19"/>
        </w:numPr>
        <w:spacing w:line="240" w:lineRule="auto"/>
      </w:pPr>
      <w:r w:rsidRPr="00797375">
        <w:rPr>
          <w:lang w:val="fr-CA"/>
        </w:rPr>
        <w:t>Voies respiratoires</w:t>
      </w:r>
    </w:p>
    <w:p w:rsidR="00E60BD5" w:rsidRPr="00797375" w:rsidRDefault="00FD0BD2" w:rsidP="00FD0BD2">
      <w:pPr>
        <w:pStyle w:val="ListParagraph"/>
        <w:numPr>
          <w:ilvl w:val="1"/>
          <w:numId w:val="19"/>
        </w:numPr>
        <w:spacing w:line="240" w:lineRule="auto"/>
        <w:rPr>
          <w:lang w:val="fr-CA"/>
        </w:rPr>
      </w:pPr>
      <w:r w:rsidRPr="00797375">
        <w:rPr>
          <w:lang w:val="fr-CA"/>
        </w:rPr>
        <w:t>Pas transmis de personne à personne</w:t>
      </w:r>
    </w:p>
    <w:p w:rsidR="00E60BD5" w:rsidRPr="00797375" w:rsidRDefault="00FD0BD2" w:rsidP="00FD0BD2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797375">
        <w:rPr>
          <w:lang w:val="fr-CA"/>
        </w:rPr>
        <w:t>Virulence liée à leurs capacités à se multiplier dans les monocytes</w:t>
      </w:r>
    </w:p>
    <w:p w:rsidR="00E60BD5" w:rsidRPr="00F5025F" w:rsidRDefault="00FD0BD2" w:rsidP="00FD0BD2">
      <w:pPr>
        <w:pStyle w:val="ListParagraph"/>
        <w:numPr>
          <w:ilvl w:val="0"/>
          <w:numId w:val="19"/>
        </w:numPr>
        <w:spacing w:line="240" w:lineRule="auto"/>
      </w:pPr>
      <w:r w:rsidRPr="00797375">
        <w:rPr>
          <w:lang w:val="fr-CA"/>
        </w:rPr>
        <w:t>Attachement: Pili</w:t>
      </w:r>
    </w:p>
    <w:p w:rsidR="00E60BD5" w:rsidRPr="00797375" w:rsidRDefault="00FD0BD2" w:rsidP="00FD0BD2">
      <w:pPr>
        <w:pStyle w:val="ListParagraph"/>
        <w:numPr>
          <w:ilvl w:val="1"/>
          <w:numId w:val="19"/>
        </w:numPr>
        <w:spacing w:line="240" w:lineRule="auto"/>
        <w:rPr>
          <w:lang w:val="fr-CA"/>
        </w:rPr>
      </w:pPr>
      <w:r w:rsidRPr="00797375">
        <w:rPr>
          <w:lang w:val="fr-CA"/>
        </w:rPr>
        <w:t>Pénétration du phagocyte: voie classique (endocytose) ou par enroulement</w:t>
      </w:r>
    </w:p>
    <w:p w:rsidR="00E60BD5" w:rsidRPr="00797375" w:rsidRDefault="00FD0BD2" w:rsidP="00FD0BD2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797375">
        <w:rPr>
          <w:lang w:val="fr-CA"/>
        </w:rPr>
        <w:t>Lysosome ne se fusionne pas avec le phagosome</w:t>
      </w:r>
    </w:p>
    <w:p w:rsidR="00E60BD5" w:rsidRPr="00797375" w:rsidRDefault="00FD0BD2" w:rsidP="00FD0BD2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797375">
        <w:rPr>
          <w:lang w:val="fr-CA"/>
        </w:rPr>
        <w:t>Multiplication à l’intérieur du phagosome et éventuellement tue le macrophage et endommage les tissus - inflammation</w:t>
      </w:r>
    </w:p>
    <w:p w:rsidR="00923BCE" w:rsidRPr="00FD0BD2" w:rsidRDefault="00F5025F" w:rsidP="00AC2C90">
      <w:pPr>
        <w:spacing w:line="240" w:lineRule="auto"/>
        <w:rPr>
          <w:b/>
          <w:iCs/>
          <w:color w:val="7030A0"/>
          <w:sz w:val="28"/>
          <w:szCs w:val="28"/>
          <w:lang w:val="fr-CA"/>
        </w:rPr>
      </w:pPr>
      <w:r w:rsidRPr="00FD0BD2">
        <w:rPr>
          <w:b/>
          <w:iCs/>
          <w:color w:val="7030A0"/>
          <w:sz w:val="28"/>
          <w:szCs w:val="28"/>
          <w:lang w:val="fr-CA"/>
        </w:rPr>
        <w:t>Hélicobacter pylori</w:t>
      </w:r>
    </w:p>
    <w:p w:rsidR="00E60BD5" w:rsidRPr="00797375" w:rsidRDefault="00FD0BD2" w:rsidP="00FD0BD2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797375">
        <w:rPr>
          <w:lang w:val="fr-CA"/>
        </w:rPr>
        <w:t>Découvert en 1885 dans l’estomac humain</w:t>
      </w:r>
    </w:p>
    <w:p w:rsidR="00E60BD5" w:rsidRPr="00797375" w:rsidRDefault="00FD0BD2" w:rsidP="00FD0BD2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797375">
        <w:rPr>
          <w:lang w:val="fr-CA"/>
        </w:rPr>
        <w:t>Rôle pathogénique non reconnu avant 1982</w:t>
      </w:r>
    </w:p>
    <w:p w:rsidR="00E60BD5" w:rsidRPr="00797375" w:rsidRDefault="00FD0BD2" w:rsidP="00FD0BD2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797375">
        <w:rPr>
          <w:lang w:val="fr-CA"/>
        </w:rPr>
        <w:t xml:space="preserve">Association entre ulcère gastrique et </w:t>
      </w:r>
      <w:r w:rsidRPr="00797375">
        <w:rPr>
          <w:i/>
          <w:iCs/>
          <w:lang w:val="fr-CA"/>
        </w:rPr>
        <w:t xml:space="preserve">Hélicobacter pylori </w:t>
      </w:r>
      <w:r w:rsidRPr="00797375">
        <w:rPr>
          <w:lang w:val="fr-CA"/>
        </w:rPr>
        <w:t>maintenant établie</w:t>
      </w:r>
    </w:p>
    <w:p w:rsidR="00E60BD5" w:rsidRPr="00797375" w:rsidRDefault="00FD0BD2" w:rsidP="00FD0BD2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797375">
        <w:rPr>
          <w:lang w:val="fr-CA"/>
        </w:rPr>
        <w:t>Infection chronique la plus répandue (20 -90% des adultes selon le pays)</w:t>
      </w:r>
    </w:p>
    <w:p w:rsidR="00E60BD5" w:rsidRPr="00797375" w:rsidRDefault="00FD0BD2" w:rsidP="00FD0BD2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797375">
        <w:rPr>
          <w:lang w:val="fr-CA"/>
        </w:rPr>
        <w:t>Variation en fonction du statut socio-économique</w:t>
      </w:r>
    </w:p>
    <w:p w:rsidR="00E60BD5" w:rsidRPr="00F5025F" w:rsidRDefault="00FD0BD2" w:rsidP="00FD0BD2">
      <w:pPr>
        <w:pStyle w:val="ListParagraph"/>
        <w:numPr>
          <w:ilvl w:val="1"/>
          <w:numId w:val="20"/>
        </w:numPr>
        <w:spacing w:line="240" w:lineRule="auto"/>
      </w:pPr>
      <w:r w:rsidRPr="00797375">
        <w:rPr>
          <w:lang w:val="fr-CA"/>
        </w:rPr>
        <w:t>80-90% pays en développement</w:t>
      </w:r>
    </w:p>
    <w:p w:rsidR="00E60BD5" w:rsidRPr="00F5025F" w:rsidRDefault="00FD0BD2" w:rsidP="00FD0BD2">
      <w:pPr>
        <w:pStyle w:val="ListParagraph"/>
        <w:numPr>
          <w:ilvl w:val="1"/>
          <w:numId w:val="20"/>
        </w:numPr>
        <w:spacing w:line="240" w:lineRule="auto"/>
      </w:pPr>
      <w:r w:rsidRPr="00797375">
        <w:rPr>
          <w:lang w:val="fr-CA"/>
        </w:rPr>
        <w:t>25-30% pays développés</w:t>
      </w:r>
    </w:p>
    <w:p w:rsidR="00E60BD5" w:rsidRPr="00797375" w:rsidRDefault="00FD0BD2" w:rsidP="00FD0BD2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797375">
        <w:rPr>
          <w:lang w:val="fr-CA"/>
        </w:rPr>
        <w:t>Infection acquise en jeune âge:</w:t>
      </w:r>
    </w:p>
    <w:p w:rsidR="00E60BD5" w:rsidRPr="00F5025F" w:rsidRDefault="00FD0BD2" w:rsidP="00FD0BD2">
      <w:pPr>
        <w:pStyle w:val="ListParagraph"/>
        <w:numPr>
          <w:ilvl w:val="1"/>
          <w:numId w:val="20"/>
        </w:numPr>
        <w:spacing w:line="240" w:lineRule="auto"/>
      </w:pPr>
      <w:r w:rsidRPr="00797375">
        <w:rPr>
          <w:lang w:val="fr-CA"/>
        </w:rPr>
        <w:lastRenderedPageBreak/>
        <w:t>Transmission de personne à personne</w:t>
      </w:r>
    </w:p>
    <w:p w:rsidR="00E60BD5" w:rsidRPr="00F5025F" w:rsidRDefault="00FD0BD2" w:rsidP="00AC2C90">
      <w:pPr>
        <w:spacing w:line="240" w:lineRule="auto"/>
        <w:rPr>
          <w:i/>
        </w:rPr>
      </w:pPr>
      <w:r w:rsidRPr="00F5025F">
        <w:rPr>
          <w:i/>
          <w:lang w:val="fr-CA"/>
        </w:rPr>
        <w:t>Pathologie</w:t>
      </w:r>
    </w:p>
    <w:p w:rsidR="00E60BD5" w:rsidRPr="00F5025F" w:rsidRDefault="00FD0BD2" w:rsidP="00FD0BD2">
      <w:pPr>
        <w:pStyle w:val="ListParagraph"/>
        <w:numPr>
          <w:ilvl w:val="0"/>
          <w:numId w:val="21"/>
        </w:numPr>
        <w:spacing w:line="240" w:lineRule="auto"/>
      </w:pPr>
      <w:r w:rsidRPr="00797375">
        <w:rPr>
          <w:lang w:val="fr-CA"/>
        </w:rPr>
        <w:t>Gastrites, ulcères gastro-duodénaux, cancer</w:t>
      </w:r>
    </w:p>
    <w:p w:rsidR="00E60BD5" w:rsidRPr="00F5025F" w:rsidRDefault="00FD0BD2" w:rsidP="00FD0BD2">
      <w:pPr>
        <w:pStyle w:val="ListParagraph"/>
        <w:numPr>
          <w:ilvl w:val="0"/>
          <w:numId w:val="21"/>
        </w:numPr>
        <w:spacing w:line="240" w:lineRule="auto"/>
      </w:pPr>
      <w:r w:rsidRPr="00797375">
        <w:rPr>
          <w:lang w:val="fr-CA"/>
        </w:rPr>
        <w:t>Généralement asymptomatique</w:t>
      </w:r>
    </w:p>
    <w:p w:rsidR="00E60BD5" w:rsidRPr="00797375" w:rsidRDefault="00FD0BD2" w:rsidP="00FD0BD2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797375">
        <w:rPr>
          <w:lang w:val="fr-CA"/>
        </w:rPr>
        <w:t>10% des patients infectés évoluent vers les ulcères</w:t>
      </w:r>
    </w:p>
    <w:p w:rsidR="00E60BD5" w:rsidRPr="00F5025F" w:rsidRDefault="00FD0BD2" w:rsidP="00FD0BD2">
      <w:pPr>
        <w:pStyle w:val="ListParagraph"/>
        <w:numPr>
          <w:ilvl w:val="1"/>
          <w:numId w:val="21"/>
        </w:numPr>
        <w:spacing w:line="240" w:lineRule="auto"/>
      </w:pPr>
      <w:r w:rsidRPr="00797375">
        <w:rPr>
          <w:lang w:val="fr-CA"/>
        </w:rPr>
        <w:t>1% une néoplasie gastrique</w:t>
      </w:r>
    </w:p>
    <w:p w:rsidR="00E60BD5" w:rsidRPr="00F5025F" w:rsidRDefault="00FD0BD2" w:rsidP="00FD0BD2">
      <w:pPr>
        <w:pStyle w:val="ListParagraph"/>
        <w:numPr>
          <w:ilvl w:val="0"/>
          <w:numId w:val="21"/>
        </w:numPr>
        <w:spacing w:line="240" w:lineRule="auto"/>
      </w:pPr>
      <w:r w:rsidRPr="00797375">
        <w:rPr>
          <w:lang w:val="fr-CA"/>
        </w:rPr>
        <w:t>Facteurs de virulences:</w:t>
      </w:r>
    </w:p>
    <w:p w:rsidR="00E60BD5" w:rsidRPr="00F5025F" w:rsidRDefault="00FD0BD2" w:rsidP="00FD0BD2">
      <w:pPr>
        <w:pStyle w:val="ListParagraph"/>
        <w:numPr>
          <w:ilvl w:val="1"/>
          <w:numId w:val="21"/>
        </w:numPr>
        <w:spacing w:line="240" w:lineRule="auto"/>
      </w:pPr>
      <w:r w:rsidRPr="00797375">
        <w:rPr>
          <w:lang w:val="fr-CA"/>
        </w:rPr>
        <w:t>Flagelles</w:t>
      </w:r>
    </w:p>
    <w:p w:rsidR="00E60BD5" w:rsidRPr="00F5025F" w:rsidRDefault="00FD0BD2" w:rsidP="00FD0BD2">
      <w:pPr>
        <w:pStyle w:val="ListParagraph"/>
        <w:numPr>
          <w:ilvl w:val="1"/>
          <w:numId w:val="21"/>
        </w:numPr>
        <w:spacing w:line="240" w:lineRule="auto"/>
      </w:pPr>
      <w:r w:rsidRPr="00797375">
        <w:rPr>
          <w:lang w:val="fr-CA"/>
        </w:rPr>
        <w:t>LPS</w:t>
      </w:r>
    </w:p>
    <w:p w:rsidR="00E60BD5" w:rsidRPr="00F5025F" w:rsidRDefault="00FD0BD2" w:rsidP="00FD0BD2">
      <w:pPr>
        <w:pStyle w:val="ListParagraph"/>
        <w:numPr>
          <w:ilvl w:val="1"/>
          <w:numId w:val="21"/>
        </w:numPr>
        <w:spacing w:line="240" w:lineRule="auto"/>
      </w:pPr>
      <w:r w:rsidRPr="00797375">
        <w:rPr>
          <w:lang w:val="fr-CA"/>
        </w:rPr>
        <w:t>Exotoxines:</w:t>
      </w:r>
    </w:p>
    <w:p w:rsidR="00E60BD5" w:rsidRPr="00797375" w:rsidRDefault="00FD0BD2" w:rsidP="00FD0BD2">
      <w:pPr>
        <w:pStyle w:val="ListParagraph"/>
        <w:numPr>
          <w:ilvl w:val="2"/>
          <w:numId w:val="21"/>
        </w:numPr>
        <w:spacing w:line="240" w:lineRule="auto"/>
        <w:rPr>
          <w:lang w:val="fr-CA"/>
        </w:rPr>
      </w:pPr>
      <w:r w:rsidRPr="00797375">
        <w:rPr>
          <w:lang w:val="fr-CA"/>
        </w:rPr>
        <w:t>Uréase, Cytotoxine CagA, Cytotoxine vacuolisante (Vac)</w:t>
      </w:r>
    </w:p>
    <w:p w:rsidR="00E60BD5" w:rsidRPr="00F5025F" w:rsidRDefault="00FD0BD2" w:rsidP="00AC2C90">
      <w:pPr>
        <w:spacing w:line="240" w:lineRule="auto"/>
        <w:rPr>
          <w:i/>
        </w:rPr>
      </w:pPr>
      <w:r w:rsidRPr="00F5025F">
        <w:rPr>
          <w:i/>
        </w:rPr>
        <w:t>Flagelles</w:t>
      </w:r>
    </w:p>
    <w:p w:rsidR="00E60BD5" w:rsidRPr="00797375" w:rsidRDefault="00FD0BD2" w:rsidP="00FD0BD2">
      <w:pPr>
        <w:pStyle w:val="ListParagraph"/>
        <w:numPr>
          <w:ilvl w:val="0"/>
          <w:numId w:val="22"/>
        </w:numPr>
        <w:spacing w:line="240" w:lineRule="auto"/>
        <w:rPr>
          <w:lang w:val="fr-CA"/>
        </w:rPr>
      </w:pPr>
      <w:r w:rsidRPr="00797375">
        <w:rPr>
          <w:lang w:val="fr-CA"/>
        </w:rPr>
        <w:t>Essentielles au développement du processus infectieux</w:t>
      </w:r>
    </w:p>
    <w:p w:rsidR="00E60BD5" w:rsidRPr="00797375" w:rsidRDefault="00FD0BD2" w:rsidP="00FD0BD2">
      <w:pPr>
        <w:pStyle w:val="ListParagraph"/>
        <w:numPr>
          <w:ilvl w:val="0"/>
          <w:numId w:val="22"/>
        </w:numPr>
        <w:spacing w:line="240" w:lineRule="auto"/>
        <w:rPr>
          <w:lang w:val="fr-CA"/>
        </w:rPr>
      </w:pPr>
      <w:r w:rsidRPr="00797375">
        <w:rPr>
          <w:lang w:val="fr-CA"/>
        </w:rPr>
        <w:t>Permet à la bactérie de se glisser dans la muqueuse gastrique</w:t>
      </w:r>
    </w:p>
    <w:p w:rsidR="00E60BD5" w:rsidRPr="00F5025F" w:rsidRDefault="00FD0BD2" w:rsidP="00FD0BD2">
      <w:pPr>
        <w:pStyle w:val="ListParagraph"/>
        <w:numPr>
          <w:ilvl w:val="0"/>
          <w:numId w:val="22"/>
        </w:numPr>
        <w:spacing w:line="240" w:lineRule="auto"/>
      </w:pPr>
      <w:r w:rsidRPr="00797375">
        <w:rPr>
          <w:lang w:val="fr-CA"/>
        </w:rPr>
        <w:t>Toutes les souches sont mobiles</w:t>
      </w:r>
    </w:p>
    <w:p w:rsidR="00E60BD5" w:rsidRPr="00F5025F" w:rsidRDefault="00FD0BD2" w:rsidP="00AC2C90">
      <w:pPr>
        <w:spacing w:line="240" w:lineRule="auto"/>
        <w:rPr>
          <w:i/>
        </w:rPr>
      </w:pPr>
      <w:r w:rsidRPr="00F5025F">
        <w:rPr>
          <w:i/>
        </w:rPr>
        <w:t>LPS</w:t>
      </w:r>
      <w:r w:rsidRPr="00F5025F">
        <w:rPr>
          <w:i/>
        </w:rPr>
        <w:tab/>
      </w:r>
    </w:p>
    <w:p w:rsidR="00E60BD5" w:rsidRPr="00F5025F" w:rsidRDefault="00FD0BD2" w:rsidP="00FD0BD2">
      <w:pPr>
        <w:pStyle w:val="ListParagraph"/>
        <w:numPr>
          <w:ilvl w:val="0"/>
          <w:numId w:val="23"/>
        </w:numPr>
        <w:spacing w:line="240" w:lineRule="auto"/>
      </w:pPr>
      <w:r w:rsidRPr="00797375">
        <w:rPr>
          <w:lang w:val="fr-CA"/>
        </w:rPr>
        <w:t>Faible activité biologique et immunologique</w:t>
      </w:r>
    </w:p>
    <w:p w:rsidR="00E60BD5" w:rsidRPr="00797375" w:rsidRDefault="00FD0BD2" w:rsidP="00FD0BD2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797375">
        <w:rPr>
          <w:lang w:val="fr-CA"/>
        </w:rPr>
        <w:t>Polysaccharides contiennent des antigènes de groupes sanguins</w:t>
      </w:r>
    </w:p>
    <w:p w:rsidR="00E60BD5" w:rsidRPr="00797375" w:rsidRDefault="00FD0BD2" w:rsidP="00FD0BD2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797375">
        <w:rPr>
          <w:lang w:val="fr-CA"/>
        </w:rPr>
        <w:t>Mimétisme des antigènes entraîne une réponse auto-immune</w:t>
      </w:r>
    </w:p>
    <w:p w:rsidR="00E60BD5" w:rsidRPr="00797375" w:rsidRDefault="00FD0BD2" w:rsidP="00FD0BD2">
      <w:pPr>
        <w:pStyle w:val="ListParagraph"/>
        <w:numPr>
          <w:ilvl w:val="1"/>
          <w:numId w:val="23"/>
        </w:numPr>
        <w:spacing w:line="240" w:lineRule="auto"/>
        <w:rPr>
          <w:lang w:val="fr-CA"/>
        </w:rPr>
      </w:pPr>
      <w:r w:rsidRPr="00797375">
        <w:rPr>
          <w:lang w:val="fr-CA"/>
        </w:rPr>
        <w:t>Peut-être facteur déclenchant la gastrite atrophique et le développement de carcinomes.</w:t>
      </w:r>
    </w:p>
    <w:p w:rsidR="00E60BD5" w:rsidRPr="00872D7E" w:rsidRDefault="00FD0BD2" w:rsidP="00AC2C90">
      <w:pPr>
        <w:spacing w:line="240" w:lineRule="auto"/>
        <w:rPr>
          <w:i/>
        </w:rPr>
      </w:pPr>
      <w:r w:rsidRPr="00872D7E">
        <w:rPr>
          <w:i/>
          <w:lang w:val="fr-CA"/>
        </w:rPr>
        <w:t>Uréase</w:t>
      </w:r>
    </w:p>
    <w:p w:rsidR="00E60BD5" w:rsidRPr="00797375" w:rsidRDefault="00FD0BD2" w:rsidP="00FD0BD2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797375">
        <w:rPr>
          <w:lang w:val="fr-CA"/>
        </w:rPr>
        <w:t>Produite par toutes les souches pathogéniques</w:t>
      </w:r>
    </w:p>
    <w:p w:rsidR="00E60BD5" w:rsidRPr="00872D7E" w:rsidRDefault="00FD0BD2" w:rsidP="00FD0BD2">
      <w:pPr>
        <w:pStyle w:val="ListParagraph"/>
        <w:numPr>
          <w:ilvl w:val="0"/>
          <w:numId w:val="24"/>
        </w:numPr>
        <w:spacing w:line="240" w:lineRule="auto"/>
      </w:pPr>
      <w:r w:rsidRPr="00797375">
        <w:rPr>
          <w:lang w:val="fr-CA"/>
        </w:rPr>
        <w:t>Intégrale au développement d’ulcères</w:t>
      </w:r>
    </w:p>
    <w:p w:rsidR="00E60BD5" w:rsidRPr="00797375" w:rsidRDefault="00FD0BD2" w:rsidP="00FD0BD2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797375">
        <w:rPr>
          <w:lang w:val="fr-CA"/>
        </w:rPr>
        <w:t>Assure la survie en milieu acide</w:t>
      </w:r>
    </w:p>
    <w:p w:rsidR="00E60BD5" w:rsidRPr="00797375" w:rsidRDefault="00FD0BD2" w:rsidP="00FD0BD2">
      <w:pPr>
        <w:pStyle w:val="ListParagraph"/>
        <w:numPr>
          <w:ilvl w:val="1"/>
          <w:numId w:val="24"/>
        </w:numPr>
        <w:spacing w:line="240" w:lineRule="auto"/>
        <w:rPr>
          <w:lang w:val="fr-CA"/>
        </w:rPr>
      </w:pPr>
      <w:r w:rsidRPr="00797375">
        <w:rPr>
          <w:lang w:val="fr-CA"/>
        </w:rPr>
        <w:t>Hydrolyse l’urée en ammoniac et dioxyde de carbone</w:t>
      </w:r>
    </w:p>
    <w:p w:rsidR="00E60BD5" w:rsidRPr="00797375" w:rsidRDefault="00FD0BD2" w:rsidP="00FD0BD2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797375">
        <w:rPr>
          <w:lang w:val="fr-CA"/>
        </w:rPr>
        <w:t>L’ammoniac neutralise l’acide gastrique et endommage les cellules épithéliales</w:t>
      </w:r>
    </w:p>
    <w:p w:rsidR="00872D7E" w:rsidRPr="00872D7E" w:rsidRDefault="00797375" w:rsidP="00AC2C90">
      <w:pPr>
        <w:spacing w:line="240" w:lineRule="auto"/>
        <w:ind w:left="720"/>
        <w:rPr>
          <w:lang w:val="fr-CA"/>
        </w:rPr>
      </w:pPr>
      <w:r w:rsidRPr="00872D7E">
        <w:rPr>
          <w:noProof/>
          <w:lang w:eastAsia="en-CA"/>
        </w:rPr>
        <w:drawing>
          <wp:anchor distT="0" distB="0" distL="114300" distR="114300" simplePos="0" relativeHeight="251667456" behindDoc="0" locked="0" layoutInCell="1" allowOverlap="1" wp14:anchorId="506A298F" wp14:editId="13C92BAB">
            <wp:simplePos x="0" y="0"/>
            <wp:positionH relativeFrom="column">
              <wp:posOffset>3200400</wp:posOffset>
            </wp:positionH>
            <wp:positionV relativeFrom="paragraph">
              <wp:posOffset>109855</wp:posOffset>
            </wp:positionV>
            <wp:extent cx="3990340" cy="2705100"/>
            <wp:effectExtent l="0" t="0" r="0" b="0"/>
            <wp:wrapSquare wrapText="bothSides"/>
            <wp:docPr id="66562" name="Picture 6" descr="132 Fig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2" name="Picture 6" descr="132 Fig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1" t="14734" r="8173" b="10556"/>
                    <a:stretch/>
                  </pic:blipFill>
                  <pic:spPr bwMode="auto">
                    <a:xfrm>
                      <a:off x="0" y="0"/>
                      <a:ext cx="399034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BD5" w:rsidRPr="00872D7E" w:rsidRDefault="00FD0BD2" w:rsidP="00AC2C90">
      <w:pPr>
        <w:spacing w:line="240" w:lineRule="auto"/>
        <w:rPr>
          <w:i/>
        </w:rPr>
      </w:pPr>
      <w:r w:rsidRPr="00872D7E">
        <w:rPr>
          <w:i/>
          <w:lang w:val="fr-CA"/>
        </w:rPr>
        <w:t>Cytotoxines</w:t>
      </w:r>
    </w:p>
    <w:p w:rsidR="00E60BD5" w:rsidRPr="00797375" w:rsidRDefault="00FD0BD2" w:rsidP="00FD0BD2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797375">
        <w:rPr>
          <w:lang w:val="fr-CA"/>
        </w:rPr>
        <w:t>Cytotoxines vacuolisante (Vac) et CagA</w:t>
      </w:r>
    </w:p>
    <w:p w:rsidR="00E60BD5" w:rsidRPr="00872D7E" w:rsidRDefault="00FD0BD2" w:rsidP="00FD0BD2">
      <w:pPr>
        <w:pStyle w:val="ListParagraph"/>
        <w:numPr>
          <w:ilvl w:val="0"/>
          <w:numId w:val="25"/>
        </w:numPr>
        <w:spacing w:line="240" w:lineRule="auto"/>
      </w:pPr>
      <w:r w:rsidRPr="00797375">
        <w:rPr>
          <w:lang w:val="fr-CA"/>
        </w:rPr>
        <w:t>Rôle pathogénique pas bien compris</w:t>
      </w:r>
    </w:p>
    <w:p w:rsidR="00E60BD5" w:rsidRPr="00797375" w:rsidRDefault="00FD0BD2" w:rsidP="00FD0BD2">
      <w:pPr>
        <w:pStyle w:val="ListParagraph"/>
        <w:numPr>
          <w:ilvl w:val="1"/>
          <w:numId w:val="25"/>
        </w:numPr>
        <w:spacing w:line="240" w:lineRule="auto"/>
        <w:rPr>
          <w:lang w:val="fr-CA"/>
        </w:rPr>
      </w:pPr>
      <w:r w:rsidRPr="00797375">
        <w:rPr>
          <w:lang w:val="fr-CA"/>
        </w:rPr>
        <w:t>50-70% des souches cliniques produisent une des 2 toxines</w:t>
      </w:r>
    </w:p>
    <w:p w:rsidR="00E60BD5" w:rsidRPr="00797375" w:rsidRDefault="00FD0BD2" w:rsidP="00FD0BD2">
      <w:pPr>
        <w:pStyle w:val="ListParagraph"/>
        <w:numPr>
          <w:ilvl w:val="1"/>
          <w:numId w:val="25"/>
        </w:numPr>
        <w:spacing w:line="240" w:lineRule="auto"/>
        <w:rPr>
          <w:lang w:val="fr-CA"/>
        </w:rPr>
      </w:pPr>
      <w:r w:rsidRPr="00797375">
        <w:rPr>
          <w:lang w:val="fr-CA"/>
        </w:rPr>
        <w:t>Pourraient contribuer à la sévérité de l’infection</w:t>
      </w:r>
    </w:p>
    <w:p w:rsidR="00E60BD5" w:rsidRPr="00797375" w:rsidRDefault="00FD0BD2" w:rsidP="00FD0BD2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797375">
        <w:rPr>
          <w:lang w:val="fr-CA"/>
        </w:rPr>
        <w:t>CagA stimule les réponses inflammatoires et Vac induit la nécrose de l’épithélium gastrique</w:t>
      </w:r>
    </w:p>
    <w:p w:rsidR="00872D7E" w:rsidRPr="00872D7E" w:rsidRDefault="00872D7E" w:rsidP="00AC2C90">
      <w:pPr>
        <w:spacing w:line="240" w:lineRule="auto"/>
        <w:rPr>
          <w:lang w:val="fr-CA"/>
        </w:rPr>
      </w:pPr>
    </w:p>
    <w:p w:rsidR="00F5025F" w:rsidRDefault="00F5025F" w:rsidP="00AC2C90">
      <w:pPr>
        <w:spacing w:line="240" w:lineRule="auto"/>
        <w:rPr>
          <w:lang w:val="fr-CA"/>
        </w:rPr>
      </w:pPr>
    </w:p>
    <w:p w:rsidR="00872D7E" w:rsidRDefault="00872D7E" w:rsidP="00AC2C90">
      <w:pPr>
        <w:spacing w:line="240" w:lineRule="auto"/>
        <w:rPr>
          <w:lang w:val="fr-CA"/>
        </w:rPr>
      </w:pPr>
    </w:p>
    <w:p w:rsidR="00872D7E" w:rsidRDefault="00872D7E" w:rsidP="00AC2C90">
      <w:pPr>
        <w:spacing w:line="240" w:lineRule="auto"/>
        <w:rPr>
          <w:lang w:val="fr-CA"/>
        </w:rPr>
      </w:pPr>
    </w:p>
    <w:p w:rsidR="00E60BD5" w:rsidRPr="00872D7E" w:rsidRDefault="00FD0BD2" w:rsidP="00AC2C90">
      <w:pPr>
        <w:spacing w:line="240" w:lineRule="auto"/>
        <w:rPr>
          <w:i/>
          <w:lang w:val="fr-CA"/>
        </w:rPr>
      </w:pPr>
      <w:r w:rsidRPr="00872D7E">
        <w:rPr>
          <w:i/>
          <w:lang w:val="fr-CA"/>
        </w:rPr>
        <w:t>Les artistes de la déception</w:t>
      </w:r>
    </w:p>
    <w:p w:rsidR="00E60BD5" w:rsidRPr="00797375" w:rsidRDefault="00FD0BD2" w:rsidP="00FD0BD2">
      <w:pPr>
        <w:pStyle w:val="ListParagraph"/>
        <w:numPr>
          <w:ilvl w:val="0"/>
          <w:numId w:val="26"/>
        </w:numPr>
        <w:spacing w:line="240" w:lineRule="auto"/>
        <w:rPr>
          <w:lang w:val="fr-CA"/>
        </w:rPr>
      </w:pPr>
      <w:r w:rsidRPr="00797375">
        <w:rPr>
          <w:lang w:val="fr-CA"/>
        </w:rPr>
        <w:t>Femme âgée de 58 ans se présente à l’urgence avec douleurs abdominales et au bas du dos.</w:t>
      </w:r>
    </w:p>
    <w:p w:rsidR="00E60BD5" w:rsidRPr="00797375" w:rsidRDefault="00FD0BD2" w:rsidP="00FD0BD2">
      <w:pPr>
        <w:pStyle w:val="ListParagraph"/>
        <w:numPr>
          <w:ilvl w:val="0"/>
          <w:numId w:val="26"/>
        </w:numPr>
        <w:spacing w:line="240" w:lineRule="auto"/>
        <w:rPr>
          <w:lang w:val="fr-CA"/>
        </w:rPr>
      </w:pPr>
      <w:r w:rsidRPr="00797375">
        <w:rPr>
          <w:lang w:val="fr-CA"/>
        </w:rPr>
        <w:t>U/S et R-x Abdo = Normal, R-x pelvien : possibilité d’inflammation</w:t>
      </w:r>
    </w:p>
    <w:p w:rsidR="00E60BD5" w:rsidRPr="00872D7E" w:rsidRDefault="00FD0BD2" w:rsidP="00FD0BD2">
      <w:pPr>
        <w:pStyle w:val="ListParagraph"/>
        <w:numPr>
          <w:ilvl w:val="0"/>
          <w:numId w:val="26"/>
        </w:numPr>
        <w:spacing w:line="240" w:lineRule="auto"/>
      </w:pPr>
      <w:r w:rsidRPr="00797375">
        <w:rPr>
          <w:lang w:val="fr-CA"/>
        </w:rPr>
        <w:t>Dx posé : Sacro-iliite</w:t>
      </w:r>
    </w:p>
    <w:p w:rsidR="00E60BD5" w:rsidRPr="00872D7E" w:rsidRDefault="00FD0BD2" w:rsidP="00FD0BD2">
      <w:pPr>
        <w:pStyle w:val="ListParagraph"/>
        <w:numPr>
          <w:ilvl w:val="0"/>
          <w:numId w:val="26"/>
        </w:numPr>
        <w:spacing w:line="240" w:lineRule="auto"/>
      </w:pPr>
      <w:r w:rsidRPr="00797375">
        <w:rPr>
          <w:lang w:val="fr-CA"/>
        </w:rPr>
        <w:t>IRM: hernie discal</w:t>
      </w:r>
    </w:p>
    <w:p w:rsidR="00E60BD5" w:rsidRPr="00797375" w:rsidRDefault="00FD0BD2" w:rsidP="00FD0BD2">
      <w:pPr>
        <w:pStyle w:val="ListParagraph"/>
        <w:numPr>
          <w:ilvl w:val="0"/>
          <w:numId w:val="26"/>
        </w:numPr>
        <w:spacing w:line="240" w:lineRule="auto"/>
        <w:rPr>
          <w:lang w:val="fr-CA"/>
        </w:rPr>
      </w:pPr>
      <w:r w:rsidRPr="00797375">
        <w:rPr>
          <w:lang w:val="fr-CA"/>
        </w:rPr>
        <w:t>Lui donne des analgésique et lui demande de faire un suivi avec son MD et rhumatologue</w:t>
      </w:r>
    </w:p>
    <w:p w:rsidR="00E60BD5" w:rsidRPr="00797375" w:rsidRDefault="00FD0BD2" w:rsidP="00FD0BD2">
      <w:pPr>
        <w:pStyle w:val="ListParagraph"/>
        <w:numPr>
          <w:ilvl w:val="0"/>
          <w:numId w:val="26"/>
        </w:numPr>
        <w:spacing w:line="240" w:lineRule="auto"/>
        <w:rPr>
          <w:lang w:val="fr-CA"/>
        </w:rPr>
      </w:pPr>
      <w:r w:rsidRPr="00797375">
        <w:rPr>
          <w:lang w:val="fr-CA"/>
        </w:rPr>
        <w:t>2 mois plus tard revient avec douleurs au dos et de la hanche gauche et depuis 4 jours une enflure de la jambe gauche.</w:t>
      </w:r>
    </w:p>
    <w:p w:rsidR="00E60BD5" w:rsidRPr="00797375" w:rsidRDefault="00FD0BD2" w:rsidP="00FD0BD2">
      <w:pPr>
        <w:pStyle w:val="ListParagraph"/>
        <w:numPr>
          <w:ilvl w:val="1"/>
          <w:numId w:val="26"/>
        </w:numPr>
        <w:spacing w:line="240" w:lineRule="auto"/>
        <w:rPr>
          <w:lang w:val="fr-CA"/>
        </w:rPr>
      </w:pPr>
      <w:r w:rsidRPr="00797375">
        <w:rPr>
          <w:lang w:val="fr-CA"/>
        </w:rPr>
        <w:t>Numération leucocytaire : 20.8 x10</w:t>
      </w:r>
      <w:r w:rsidRPr="00797375">
        <w:rPr>
          <w:vertAlign w:val="superscript"/>
          <w:lang w:val="fr-CA"/>
        </w:rPr>
        <w:t>9</w:t>
      </w:r>
      <w:r w:rsidRPr="00797375">
        <w:rPr>
          <w:lang w:val="fr-CA"/>
        </w:rPr>
        <w:t>/L (neutrophiles : 16 x10</w:t>
      </w:r>
      <w:r w:rsidRPr="00797375">
        <w:rPr>
          <w:vertAlign w:val="superscript"/>
          <w:lang w:val="fr-CA"/>
        </w:rPr>
        <w:t>9</w:t>
      </w:r>
      <w:r w:rsidRPr="00797375">
        <w:rPr>
          <w:lang w:val="fr-CA"/>
        </w:rPr>
        <w:t>/L)</w:t>
      </w:r>
    </w:p>
    <w:p w:rsidR="00E60BD5" w:rsidRPr="00872D7E" w:rsidRDefault="00FD0BD2" w:rsidP="00FD0BD2">
      <w:pPr>
        <w:pStyle w:val="ListParagraph"/>
        <w:numPr>
          <w:ilvl w:val="0"/>
          <w:numId w:val="26"/>
        </w:numPr>
        <w:spacing w:line="240" w:lineRule="auto"/>
      </w:pPr>
      <w:r w:rsidRPr="00797375">
        <w:rPr>
          <w:lang w:val="fr-CA"/>
        </w:rPr>
        <w:t>Antécédents médicaux :</w:t>
      </w:r>
    </w:p>
    <w:p w:rsidR="00E60BD5" w:rsidRPr="00872D7E" w:rsidRDefault="00FD0BD2" w:rsidP="00FD0BD2">
      <w:pPr>
        <w:pStyle w:val="ListParagraph"/>
        <w:numPr>
          <w:ilvl w:val="1"/>
          <w:numId w:val="26"/>
        </w:numPr>
        <w:spacing w:line="240" w:lineRule="auto"/>
      </w:pPr>
      <w:r w:rsidRPr="00797375">
        <w:rPr>
          <w:lang w:val="fr-CA"/>
        </w:rPr>
        <w:t>Arthrite psoriasique – prednisone et methotrexate</w:t>
      </w:r>
    </w:p>
    <w:p w:rsidR="00E60BD5" w:rsidRPr="00872D7E" w:rsidRDefault="00FD0BD2" w:rsidP="00AC2C90">
      <w:pPr>
        <w:spacing w:line="240" w:lineRule="auto"/>
        <w:rPr>
          <w:i/>
        </w:rPr>
      </w:pPr>
      <w:r w:rsidRPr="00872D7E">
        <w:rPr>
          <w:i/>
          <w:lang w:val="fr-CA"/>
        </w:rPr>
        <w:t>Le dénouement</w:t>
      </w:r>
    </w:p>
    <w:p w:rsidR="00E60BD5" w:rsidRPr="00797375" w:rsidRDefault="00FD0BD2" w:rsidP="00FD0BD2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797375">
        <w:rPr>
          <w:lang w:val="fr-CA"/>
        </w:rPr>
        <w:t>Abcès massif mesurant 30cm/19cm (déplace les organes internes vers la droite).</w:t>
      </w:r>
    </w:p>
    <w:p w:rsidR="00E60BD5" w:rsidRPr="00797375" w:rsidRDefault="00FD0BD2" w:rsidP="00FD0BD2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797375">
        <w:rPr>
          <w:lang w:val="fr-CA"/>
        </w:rPr>
        <w:t>Hématome et ulcération de l’aorte abdominale</w:t>
      </w:r>
    </w:p>
    <w:p w:rsidR="00E60BD5" w:rsidRPr="00872D7E" w:rsidRDefault="00FD0BD2" w:rsidP="00FD0BD2">
      <w:pPr>
        <w:pStyle w:val="ListParagraph"/>
        <w:numPr>
          <w:ilvl w:val="0"/>
          <w:numId w:val="27"/>
        </w:numPr>
        <w:spacing w:line="240" w:lineRule="auto"/>
      </w:pPr>
      <w:r w:rsidRPr="00797375">
        <w:rPr>
          <w:lang w:val="fr-CA"/>
        </w:rPr>
        <w:t>Chirurgie d’urgence:</w:t>
      </w:r>
    </w:p>
    <w:p w:rsidR="00E60BD5" w:rsidRPr="00797375" w:rsidRDefault="00FD0BD2" w:rsidP="00FD0BD2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797375">
        <w:rPr>
          <w:lang w:val="fr-CA"/>
        </w:rPr>
        <w:t>Enlève 4-5L de fluide purulent et malodorant</w:t>
      </w:r>
    </w:p>
    <w:p w:rsidR="00E60BD5" w:rsidRPr="00872D7E" w:rsidRDefault="00FD0BD2" w:rsidP="00FD0BD2">
      <w:pPr>
        <w:pStyle w:val="ListParagraph"/>
        <w:numPr>
          <w:ilvl w:val="1"/>
          <w:numId w:val="27"/>
        </w:numPr>
        <w:spacing w:line="240" w:lineRule="auto"/>
      </w:pPr>
      <w:r w:rsidRPr="00797375">
        <w:rPr>
          <w:lang w:val="fr-CA"/>
        </w:rPr>
        <w:t>Greffe de l’aorte</w:t>
      </w:r>
    </w:p>
    <w:p w:rsidR="00E60BD5" w:rsidRPr="00872D7E" w:rsidRDefault="00FD0BD2" w:rsidP="00FD0BD2">
      <w:pPr>
        <w:pStyle w:val="ListParagraph"/>
        <w:numPr>
          <w:ilvl w:val="0"/>
          <w:numId w:val="27"/>
        </w:numPr>
        <w:spacing w:line="240" w:lineRule="auto"/>
      </w:pPr>
      <w:r w:rsidRPr="00797375">
        <w:rPr>
          <w:lang w:val="fr-CA"/>
        </w:rPr>
        <w:t>Les cultures de Microbiologie: ?????</w:t>
      </w:r>
    </w:p>
    <w:p w:rsidR="006E7D07" w:rsidRDefault="006E7D07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797375" w:rsidRDefault="00797375" w:rsidP="00AC2C90">
      <w:pPr>
        <w:spacing w:line="240" w:lineRule="auto"/>
        <w:rPr>
          <w:b/>
          <w:bCs/>
          <w:sz w:val="28"/>
          <w:szCs w:val="28"/>
        </w:rPr>
      </w:pPr>
    </w:p>
    <w:p w:rsidR="00872D7E" w:rsidRPr="00797375" w:rsidRDefault="006E7D07" w:rsidP="00AC2C90">
      <w:pPr>
        <w:spacing w:line="240" w:lineRule="auto"/>
        <w:rPr>
          <w:b/>
          <w:bCs/>
          <w:color w:val="FF0000"/>
          <w:sz w:val="28"/>
          <w:szCs w:val="28"/>
          <w:lang w:val="fr-CA"/>
        </w:rPr>
      </w:pPr>
      <w:r w:rsidRPr="00797375">
        <w:rPr>
          <w:b/>
          <w:bCs/>
          <w:color w:val="FF0000"/>
          <w:sz w:val="28"/>
          <w:szCs w:val="28"/>
          <w:lang w:val="fr-CA"/>
        </w:rPr>
        <w:t>Testez vos connaissances</w:t>
      </w:r>
    </w:p>
    <w:p w:rsidR="00AC2C90" w:rsidRPr="00797375" w:rsidRDefault="00AC2C90" w:rsidP="00AC2C90">
      <w:pPr>
        <w:spacing w:line="240" w:lineRule="auto"/>
        <w:rPr>
          <w:lang w:val="fr-CA"/>
        </w:rPr>
      </w:pPr>
      <w:r w:rsidRPr="00797375">
        <w:rPr>
          <w:lang w:val="fr-CA"/>
        </w:rPr>
        <w:t xml:space="preserve">1) Quel obstacle du système digestif élimine le </w:t>
      </w:r>
      <w:r w:rsidRPr="00797375">
        <w:rPr>
          <w:u w:val="single"/>
          <w:lang w:val="fr-CA"/>
        </w:rPr>
        <w:t>plus</w:t>
      </w:r>
      <w:r w:rsidRPr="00797375">
        <w:rPr>
          <w:lang w:val="fr-CA"/>
        </w:rPr>
        <w:t xml:space="preserve"> de pourcentage de bactérie?</w:t>
      </w:r>
    </w:p>
    <w:p w:rsidR="00797375" w:rsidRDefault="00797375" w:rsidP="00FD0BD2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  <w:sectPr w:rsidR="00797375" w:rsidSect="00797375">
          <w:type w:val="continuous"/>
          <w:pgSz w:w="12240" w:h="15840"/>
          <w:pgMar w:top="1276" w:right="669" w:bottom="680" w:left="669" w:header="709" w:footer="709" w:gutter="0"/>
          <w:cols w:space="708"/>
          <w:docGrid w:linePitch="360"/>
        </w:sectPr>
      </w:pPr>
    </w:p>
    <w:p w:rsidR="00AC2C90" w:rsidRPr="00797375" w:rsidRDefault="00AC2C90" w:rsidP="00FD0BD2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797375">
        <w:rPr>
          <w:lang w:val="fr-CA"/>
        </w:rPr>
        <w:lastRenderedPageBreak/>
        <w:t>Le péristaltisme</w:t>
      </w:r>
    </w:p>
    <w:p w:rsidR="00AC2C90" w:rsidRPr="00797375" w:rsidRDefault="00AC2C90" w:rsidP="00FD0BD2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797375">
        <w:rPr>
          <w:lang w:val="fr-CA"/>
        </w:rPr>
        <w:t>La flore commensale</w:t>
      </w:r>
    </w:p>
    <w:p w:rsidR="00AC2C90" w:rsidRPr="00797375" w:rsidRDefault="00AC2C90" w:rsidP="00FD0BD2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797375">
        <w:rPr>
          <w:lang w:val="fr-CA"/>
        </w:rPr>
        <w:t>L’acidité de l’estomac</w:t>
      </w:r>
    </w:p>
    <w:p w:rsidR="00AC2C90" w:rsidRPr="00797375" w:rsidRDefault="00AC2C90" w:rsidP="00FD0BD2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</w:pPr>
      <w:r w:rsidRPr="00797375">
        <w:rPr>
          <w:lang w:val="fr-CA"/>
        </w:rPr>
        <w:lastRenderedPageBreak/>
        <w:t>L’alcalinité de l’intestin</w:t>
      </w:r>
    </w:p>
    <w:p w:rsidR="00797375" w:rsidRDefault="00AC2C90" w:rsidP="00FD0BD2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  <w:sectPr w:rsidR="00797375" w:rsidSect="00797375">
          <w:type w:val="continuous"/>
          <w:pgSz w:w="12240" w:h="15840"/>
          <w:pgMar w:top="1276" w:right="669" w:bottom="680" w:left="669" w:header="709" w:footer="709" w:gutter="0"/>
          <w:cols w:num="2" w:space="708"/>
          <w:docGrid w:linePitch="360"/>
        </w:sectPr>
      </w:pPr>
      <w:r w:rsidRPr="00797375">
        <w:rPr>
          <w:lang w:val="fr-CA"/>
        </w:rPr>
        <w:t>Le mucus (fibronectine, se</w:t>
      </w:r>
      <w:r w:rsidR="00797375">
        <w:rPr>
          <w:lang w:val="fr-CA"/>
        </w:rPr>
        <w:t>lles biliaires, enzymes, IgA)</w:t>
      </w:r>
    </w:p>
    <w:p w:rsidR="00AC2C90" w:rsidRPr="00797375" w:rsidRDefault="00AC2C90" w:rsidP="00797375">
      <w:pPr>
        <w:spacing w:line="240" w:lineRule="auto"/>
        <w:rPr>
          <w:lang w:val="fr-CA"/>
        </w:rPr>
      </w:pPr>
    </w:p>
    <w:p w:rsidR="00AC2C90" w:rsidRPr="00797375" w:rsidRDefault="00AC2C90" w:rsidP="00AC2C90">
      <w:pPr>
        <w:spacing w:line="240" w:lineRule="auto"/>
        <w:rPr>
          <w:lang w:val="fr-CA"/>
        </w:rPr>
      </w:pPr>
      <w:r w:rsidRPr="00797375">
        <w:rPr>
          <w:lang w:val="fr-CA"/>
        </w:rPr>
        <w:t>2) Quel sont les symptômes majeurs ou présentation clinique d’une diarrhée aqueuse?</w:t>
      </w:r>
    </w:p>
    <w:p w:rsidR="00E60BD5" w:rsidRPr="00797375" w:rsidRDefault="00FD0BD2" w:rsidP="00FD0BD2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797375">
        <w:rPr>
          <w:lang w:val="fr-CA"/>
        </w:rPr>
        <w:t>Crampes avec diarrhée, nausée, vomissement et fièvre</w:t>
      </w:r>
    </w:p>
    <w:p w:rsidR="00E60BD5" w:rsidRPr="00797375" w:rsidRDefault="00FD0BD2" w:rsidP="00FD0BD2">
      <w:pPr>
        <w:pStyle w:val="ListParagraph"/>
        <w:numPr>
          <w:ilvl w:val="0"/>
          <w:numId w:val="29"/>
        </w:numPr>
        <w:spacing w:line="240" w:lineRule="auto"/>
      </w:pPr>
      <w:r w:rsidRPr="00797375">
        <w:rPr>
          <w:lang w:val="fr-CA"/>
        </w:rPr>
        <w:t>Crampes avec diarrhée</w:t>
      </w:r>
    </w:p>
    <w:p w:rsidR="00E60BD5" w:rsidRPr="00797375" w:rsidRDefault="00FD0BD2" w:rsidP="00FD0BD2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797375">
        <w:rPr>
          <w:lang w:val="fr-CA"/>
        </w:rPr>
        <w:t>Crampes avec diarrhée, avec des selles hémorragiques</w:t>
      </w:r>
    </w:p>
    <w:p w:rsidR="00E60BD5" w:rsidRPr="00797375" w:rsidRDefault="00FD0BD2" w:rsidP="00FD0BD2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797375">
        <w:rPr>
          <w:lang w:val="fr-CA"/>
        </w:rPr>
        <w:t>Crampes avec diarrhée, avec selles glaireuses</w:t>
      </w:r>
    </w:p>
    <w:p w:rsidR="00E60BD5" w:rsidRPr="00797375" w:rsidRDefault="00FD0BD2" w:rsidP="00FD0BD2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797375">
        <w:rPr>
          <w:lang w:val="fr-CA"/>
        </w:rPr>
        <w:t>Crampes avec diarrhée, avec cellules inflammatoires dans les selles et de la fièvre</w:t>
      </w:r>
    </w:p>
    <w:p w:rsidR="00AC2C90" w:rsidRPr="00797375" w:rsidRDefault="00AC2C90" w:rsidP="00AC2C90">
      <w:pPr>
        <w:spacing w:line="240" w:lineRule="auto"/>
        <w:rPr>
          <w:lang w:val="fr-CA"/>
        </w:rPr>
      </w:pPr>
      <w:r w:rsidRPr="00797375">
        <w:rPr>
          <w:lang w:val="fr-CA"/>
        </w:rPr>
        <w:t xml:space="preserve">3) Quel pathologie </w:t>
      </w:r>
      <w:r w:rsidRPr="00797375">
        <w:rPr>
          <w:u w:val="single"/>
          <w:lang w:val="fr-CA"/>
        </w:rPr>
        <w:t xml:space="preserve">n’est pas </w:t>
      </w:r>
      <w:r w:rsidRPr="00797375">
        <w:rPr>
          <w:lang w:val="fr-CA"/>
        </w:rPr>
        <w:t>causée par l’Hélicobacter pylori?</w:t>
      </w:r>
    </w:p>
    <w:p w:rsidR="00797375" w:rsidRDefault="00797375" w:rsidP="00FD0BD2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  <w:sectPr w:rsidR="00797375" w:rsidSect="00797375">
          <w:type w:val="continuous"/>
          <w:pgSz w:w="12240" w:h="15840"/>
          <w:pgMar w:top="1276" w:right="669" w:bottom="680" w:left="669" w:header="709" w:footer="709" w:gutter="0"/>
          <w:cols w:space="708"/>
          <w:docGrid w:linePitch="360"/>
        </w:sectPr>
      </w:pPr>
    </w:p>
    <w:p w:rsidR="00AC2C90" w:rsidRPr="00797375" w:rsidRDefault="00AC2C90" w:rsidP="00FD0BD2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</w:pPr>
      <w:r w:rsidRPr="00797375">
        <w:rPr>
          <w:lang w:val="fr-CA"/>
        </w:rPr>
        <w:lastRenderedPageBreak/>
        <w:t>Gastrites</w:t>
      </w:r>
    </w:p>
    <w:p w:rsidR="00AC2C90" w:rsidRPr="00797375" w:rsidRDefault="00AC2C90" w:rsidP="00FD0BD2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</w:pPr>
      <w:r w:rsidRPr="00797375">
        <w:rPr>
          <w:lang w:val="fr-CA"/>
        </w:rPr>
        <w:t>Ulcères gastro-duodénaux</w:t>
      </w:r>
    </w:p>
    <w:p w:rsidR="00AC2C90" w:rsidRPr="00797375" w:rsidRDefault="00AC2C90" w:rsidP="00FD0BD2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</w:pPr>
      <w:r w:rsidRPr="00797375">
        <w:rPr>
          <w:lang w:val="fr-CA"/>
        </w:rPr>
        <w:t>Cancer gastrique</w:t>
      </w:r>
    </w:p>
    <w:p w:rsidR="00AC2C90" w:rsidRPr="00797375" w:rsidRDefault="00AC2C90" w:rsidP="00FD0BD2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</w:pPr>
      <w:r w:rsidRPr="00797375">
        <w:rPr>
          <w:lang w:val="fr-CA"/>
        </w:rPr>
        <w:lastRenderedPageBreak/>
        <w:t>Maladie de Crohn</w:t>
      </w:r>
    </w:p>
    <w:p w:rsidR="00797375" w:rsidRDefault="00797375" w:rsidP="00FD0BD2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  <w:sectPr w:rsidR="00797375" w:rsidSect="00797375">
          <w:type w:val="continuous"/>
          <w:pgSz w:w="12240" w:h="15840"/>
          <w:pgMar w:top="1276" w:right="669" w:bottom="680" w:left="669" w:header="709" w:footer="709" w:gutter="0"/>
          <w:cols w:num="2" w:space="708"/>
          <w:docGrid w:linePitch="360"/>
        </w:sectPr>
      </w:pPr>
      <w:r>
        <w:rPr>
          <w:lang w:val="fr-CA"/>
        </w:rPr>
        <w:t>Généralement asymptomatique</w:t>
      </w:r>
    </w:p>
    <w:p w:rsidR="00AC2C90" w:rsidRPr="00797375" w:rsidRDefault="00AC2C90" w:rsidP="00797375">
      <w:pPr>
        <w:spacing w:line="240" w:lineRule="auto"/>
        <w:rPr>
          <w:lang w:val="fr-CA"/>
        </w:rPr>
      </w:pPr>
    </w:p>
    <w:p w:rsidR="00AC2C90" w:rsidRPr="00797375" w:rsidRDefault="00AC2C90" w:rsidP="00AC2C90">
      <w:pPr>
        <w:spacing w:line="240" w:lineRule="auto"/>
        <w:rPr>
          <w:lang w:val="fr-CA"/>
        </w:rPr>
      </w:pPr>
      <w:r w:rsidRPr="00797375">
        <w:rPr>
          <w:lang w:val="fr-CA"/>
        </w:rPr>
        <w:t xml:space="preserve">4) Quel énoncé est </w:t>
      </w:r>
      <w:r w:rsidRPr="00797375">
        <w:rPr>
          <w:u w:val="single"/>
          <w:lang w:val="fr-CA"/>
        </w:rPr>
        <w:t>faux</w:t>
      </w:r>
      <w:r w:rsidRPr="00797375">
        <w:rPr>
          <w:lang w:val="fr-CA"/>
        </w:rPr>
        <w:t xml:space="preserve"> par rapport à la Legionella?</w:t>
      </w:r>
    </w:p>
    <w:p w:rsidR="00AC2C90" w:rsidRPr="00797375" w:rsidRDefault="00AC2C90" w:rsidP="00FD0BD2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797375">
        <w:rPr>
          <w:lang w:val="fr-CA"/>
        </w:rPr>
        <w:t>Transmission de personne à personne</w:t>
      </w:r>
    </w:p>
    <w:p w:rsidR="00AC2C90" w:rsidRPr="00797375" w:rsidRDefault="00AC2C90" w:rsidP="00FD0BD2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797375">
        <w:rPr>
          <w:lang w:val="fr-CA"/>
        </w:rPr>
        <w:t>Capacité à se multiplier dans les monocytes</w:t>
      </w:r>
    </w:p>
    <w:p w:rsidR="00AC2C90" w:rsidRPr="00797375" w:rsidRDefault="00AC2C90" w:rsidP="00FD0BD2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797375">
        <w:rPr>
          <w:lang w:val="fr-CA"/>
        </w:rPr>
        <w:t>Les personnes à risque sont les personnes âgées, les fumeurs et les immunodéprimés</w:t>
      </w:r>
    </w:p>
    <w:p w:rsidR="00AC2C90" w:rsidRPr="00797375" w:rsidRDefault="00AC2C90" w:rsidP="00FD0BD2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797375">
        <w:rPr>
          <w:lang w:val="fr-CA"/>
        </w:rPr>
        <w:t>Possède un réservoir aquatique</w:t>
      </w:r>
    </w:p>
    <w:p w:rsidR="00AC2C90" w:rsidRPr="00797375" w:rsidRDefault="00AC2C90" w:rsidP="00FD0BD2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797375">
        <w:rPr>
          <w:lang w:val="fr-CA"/>
        </w:rPr>
        <w:t>Cause un syndrome grippale, peut progresser à une fièvre, dyspnée, toux et pleurésie</w:t>
      </w:r>
    </w:p>
    <w:p w:rsidR="00AC2C90" w:rsidRPr="00797375" w:rsidRDefault="00AC2C90" w:rsidP="00AC2C90">
      <w:pPr>
        <w:spacing w:line="240" w:lineRule="auto"/>
        <w:rPr>
          <w:lang w:val="fr-CA"/>
        </w:rPr>
      </w:pPr>
      <w:r w:rsidRPr="00797375">
        <w:rPr>
          <w:lang w:val="fr-CA"/>
        </w:rPr>
        <w:t>5) Quel facteur de virulence chez la Pseudomonas aeruginosa permet de former une couche gélatineuse entourant la bactérie qui est important pour l’organisation de biofilm?</w:t>
      </w:r>
    </w:p>
    <w:p w:rsidR="00797375" w:rsidRDefault="00797375" w:rsidP="00FD0BD2">
      <w:pPr>
        <w:pStyle w:val="ListParagraph"/>
        <w:numPr>
          <w:ilvl w:val="0"/>
          <w:numId w:val="32"/>
        </w:numPr>
        <w:spacing w:line="240" w:lineRule="auto"/>
        <w:rPr>
          <w:lang w:val="fr-CA"/>
        </w:rPr>
        <w:sectPr w:rsidR="00797375" w:rsidSect="00797375">
          <w:type w:val="continuous"/>
          <w:pgSz w:w="12240" w:h="15840"/>
          <w:pgMar w:top="1276" w:right="669" w:bottom="680" w:left="669" w:header="709" w:footer="709" w:gutter="0"/>
          <w:cols w:space="708"/>
          <w:docGrid w:linePitch="360"/>
        </w:sectPr>
      </w:pPr>
    </w:p>
    <w:p w:rsidR="00AC2C90" w:rsidRPr="00797375" w:rsidRDefault="00AC2C90" w:rsidP="00FD0BD2">
      <w:pPr>
        <w:pStyle w:val="ListParagraph"/>
        <w:numPr>
          <w:ilvl w:val="0"/>
          <w:numId w:val="32"/>
        </w:numPr>
        <w:spacing w:line="240" w:lineRule="auto"/>
        <w:rPr>
          <w:lang w:val="fr-CA"/>
        </w:rPr>
      </w:pPr>
      <w:r w:rsidRPr="00797375">
        <w:rPr>
          <w:lang w:val="fr-CA"/>
        </w:rPr>
        <w:lastRenderedPageBreak/>
        <w:t>Pyocyanine</w:t>
      </w:r>
    </w:p>
    <w:p w:rsidR="00AC2C90" w:rsidRPr="00797375" w:rsidRDefault="00AC2C90" w:rsidP="00FD0BD2">
      <w:pPr>
        <w:pStyle w:val="ListParagraph"/>
        <w:numPr>
          <w:ilvl w:val="0"/>
          <w:numId w:val="32"/>
        </w:numPr>
        <w:spacing w:line="240" w:lineRule="auto"/>
        <w:rPr>
          <w:lang w:val="fr-CA"/>
        </w:rPr>
      </w:pPr>
      <w:r w:rsidRPr="00797375">
        <w:rPr>
          <w:lang w:val="fr-CA"/>
        </w:rPr>
        <w:t>Exotoxine A</w:t>
      </w:r>
    </w:p>
    <w:p w:rsidR="00AC2C90" w:rsidRPr="00797375" w:rsidRDefault="00AC2C90" w:rsidP="00FD0BD2">
      <w:pPr>
        <w:pStyle w:val="ListParagraph"/>
        <w:numPr>
          <w:ilvl w:val="0"/>
          <w:numId w:val="32"/>
        </w:numPr>
        <w:spacing w:line="240" w:lineRule="auto"/>
        <w:rPr>
          <w:lang w:val="fr-CA"/>
        </w:rPr>
      </w:pPr>
      <w:r w:rsidRPr="00797375">
        <w:rPr>
          <w:lang w:val="fr-CA"/>
        </w:rPr>
        <w:t>Exoenzyme S</w:t>
      </w:r>
    </w:p>
    <w:p w:rsidR="00AC2C90" w:rsidRPr="00797375" w:rsidRDefault="00AC2C90" w:rsidP="00FD0BD2">
      <w:pPr>
        <w:pStyle w:val="ListParagraph"/>
        <w:numPr>
          <w:ilvl w:val="0"/>
          <w:numId w:val="32"/>
        </w:numPr>
        <w:spacing w:line="240" w:lineRule="auto"/>
        <w:rPr>
          <w:lang w:val="fr-CA"/>
        </w:rPr>
      </w:pPr>
      <w:r w:rsidRPr="00797375">
        <w:rPr>
          <w:lang w:val="fr-CA"/>
        </w:rPr>
        <w:lastRenderedPageBreak/>
        <w:t>Phospalipase C</w:t>
      </w:r>
    </w:p>
    <w:p w:rsidR="00AC2C90" w:rsidRPr="00797375" w:rsidRDefault="00AC2C90" w:rsidP="00FD0BD2">
      <w:pPr>
        <w:pStyle w:val="ListParagraph"/>
        <w:numPr>
          <w:ilvl w:val="0"/>
          <w:numId w:val="32"/>
        </w:numPr>
        <w:spacing w:line="240" w:lineRule="auto"/>
        <w:rPr>
          <w:lang w:val="fr-CA"/>
        </w:rPr>
      </w:pPr>
      <w:r w:rsidRPr="00797375">
        <w:rPr>
          <w:lang w:val="fr-CA"/>
        </w:rPr>
        <w:t>Alginate</w:t>
      </w:r>
    </w:p>
    <w:p w:rsidR="00797375" w:rsidRDefault="00797375" w:rsidP="00AC2C90">
      <w:pPr>
        <w:spacing w:line="240" w:lineRule="auto"/>
        <w:rPr>
          <w:lang w:val="fr-CA"/>
        </w:rPr>
        <w:sectPr w:rsidR="00797375" w:rsidSect="00797375">
          <w:type w:val="continuous"/>
          <w:pgSz w:w="12240" w:h="15840"/>
          <w:pgMar w:top="1276" w:right="669" w:bottom="680" w:left="669" w:header="709" w:footer="709" w:gutter="0"/>
          <w:cols w:num="2" w:space="708"/>
          <w:docGrid w:linePitch="360"/>
        </w:sectPr>
      </w:pPr>
    </w:p>
    <w:p w:rsidR="00AC2C90" w:rsidRPr="00797375" w:rsidRDefault="00AC2C90" w:rsidP="00AC2C90">
      <w:pPr>
        <w:spacing w:line="240" w:lineRule="auto"/>
        <w:rPr>
          <w:lang w:val="fr-CA"/>
        </w:rPr>
      </w:pPr>
      <w:r w:rsidRPr="00797375">
        <w:rPr>
          <w:lang w:val="fr-CA"/>
        </w:rPr>
        <w:lastRenderedPageBreak/>
        <w:t>6) Lequel des énoncés est faux par rapport à la Salmonella?</w:t>
      </w:r>
    </w:p>
    <w:p w:rsidR="00AC2C90" w:rsidRPr="00797375" w:rsidRDefault="00AC2C90" w:rsidP="00FD0BD2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797375">
        <w:rPr>
          <w:lang w:val="fr-CA"/>
        </w:rPr>
        <w:t>Elle cause deux types d’infections chez les humains : Toxi-infections alimentaires (Gastro) et les fièvres entériques (fièvres typhoïdes et paratyphoïdes)</w:t>
      </w:r>
    </w:p>
    <w:p w:rsidR="00AC2C90" w:rsidRPr="00797375" w:rsidRDefault="00AC2C90" w:rsidP="00FD0BD2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797375">
        <w:rPr>
          <w:lang w:val="fr-CA"/>
        </w:rPr>
        <w:t>Elle cause une diarrhée volumineuse avec des selles sanglantes et avec du mucus</w:t>
      </w:r>
    </w:p>
    <w:p w:rsidR="00AC2C90" w:rsidRPr="00797375" w:rsidRDefault="00AC2C90" w:rsidP="00FD0BD2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797375">
        <w:rPr>
          <w:lang w:val="fr-CA"/>
        </w:rPr>
        <w:t>Peut causer un syndrome fébrile avec confusion mentale</w:t>
      </w:r>
    </w:p>
    <w:p w:rsidR="00AC2C90" w:rsidRPr="00797375" w:rsidRDefault="00AC2C90" w:rsidP="00FD0BD2">
      <w:pPr>
        <w:pStyle w:val="ListParagraph"/>
        <w:numPr>
          <w:ilvl w:val="0"/>
          <w:numId w:val="33"/>
        </w:numPr>
        <w:spacing w:line="240" w:lineRule="auto"/>
        <w:rPr>
          <w:lang w:val="fr-CA"/>
        </w:rPr>
      </w:pPr>
      <w:r w:rsidRPr="00797375">
        <w:rPr>
          <w:lang w:val="fr-CA"/>
        </w:rPr>
        <w:t>D.</w:t>
      </w:r>
      <w:r w:rsidRPr="00797375">
        <w:rPr>
          <w:lang w:val="fr-CA"/>
        </w:rPr>
        <w:tab/>
        <w:t xml:space="preserve">Elle pénètre dans l’épithélium par les entérocytes et les </w:t>
      </w:r>
      <w:r w:rsidRPr="00797375">
        <w:rPr>
          <w:lang w:val="fr-CA"/>
        </w:rPr>
        <w:tab/>
        <w:t>cellules M</w:t>
      </w:r>
    </w:p>
    <w:p w:rsidR="00AC2C90" w:rsidRPr="00797375" w:rsidRDefault="00AC2C90" w:rsidP="00FD0BD2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797375">
        <w:rPr>
          <w:lang w:val="fr-CA"/>
        </w:rPr>
        <w:t xml:space="preserve">Elle possède un réservoir animal </w:t>
      </w:r>
    </w:p>
    <w:p w:rsidR="00AC2C90" w:rsidRPr="00797375" w:rsidRDefault="00AC2C90" w:rsidP="00AC2C90">
      <w:pPr>
        <w:spacing w:line="240" w:lineRule="auto"/>
        <w:rPr>
          <w:lang w:val="fr-CA"/>
        </w:rPr>
      </w:pPr>
      <w:r w:rsidRPr="00797375">
        <w:rPr>
          <w:lang w:val="fr-CA"/>
        </w:rPr>
        <w:lastRenderedPageBreak/>
        <w:t>7) Escherichia coli possède plusieurs différentes souches. Quelle souche de E. coli est la cause primaire de la diarrhée des voyageurs?</w:t>
      </w:r>
    </w:p>
    <w:p w:rsidR="00797375" w:rsidRDefault="00797375" w:rsidP="00AC2C90">
      <w:pPr>
        <w:spacing w:line="240" w:lineRule="auto"/>
        <w:rPr>
          <w:lang w:val="fr-CA"/>
        </w:rPr>
        <w:sectPr w:rsidR="00797375" w:rsidSect="00797375">
          <w:type w:val="continuous"/>
          <w:pgSz w:w="12240" w:h="15840"/>
          <w:pgMar w:top="1276" w:right="669" w:bottom="680" w:left="669" w:header="709" w:footer="709" w:gutter="0"/>
          <w:cols w:space="708"/>
          <w:docGrid w:linePitch="360"/>
        </w:sectPr>
      </w:pPr>
    </w:p>
    <w:p w:rsidR="00AC2C90" w:rsidRPr="00797375" w:rsidRDefault="00AC2C90" w:rsidP="00FD0BD2">
      <w:pPr>
        <w:pStyle w:val="ListParagraph"/>
        <w:numPr>
          <w:ilvl w:val="0"/>
          <w:numId w:val="35"/>
        </w:numPr>
        <w:spacing w:line="240" w:lineRule="auto"/>
        <w:rPr>
          <w:lang w:val="fr-CA"/>
        </w:rPr>
      </w:pPr>
      <w:r w:rsidRPr="00797375">
        <w:rPr>
          <w:lang w:val="fr-CA"/>
        </w:rPr>
        <w:lastRenderedPageBreak/>
        <w:t>Entéroaggrégatif (EAEC)</w:t>
      </w:r>
    </w:p>
    <w:p w:rsidR="00AC2C90" w:rsidRPr="00797375" w:rsidRDefault="00AC2C90" w:rsidP="00FD0BD2">
      <w:pPr>
        <w:pStyle w:val="ListParagraph"/>
        <w:numPr>
          <w:ilvl w:val="0"/>
          <w:numId w:val="35"/>
        </w:numPr>
        <w:spacing w:line="240" w:lineRule="auto"/>
        <w:rPr>
          <w:lang w:val="fr-CA"/>
        </w:rPr>
      </w:pPr>
      <w:r w:rsidRPr="00797375">
        <w:rPr>
          <w:lang w:val="fr-CA"/>
        </w:rPr>
        <w:t>Entéroinvasive (EIEC)</w:t>
      </w:r>
    </w:p>
    <w:p w:rsidR="00AC2C90" w:rsidRPr="00797375" w:rsidRDefault="00AC2C90" w:rsidP="00FD0BD2">
      <w:pPr>
        <w:pStyle w:val="ListParagraph"/>
        <w:numPr>
          <w:ilvl w:val="0"/>
          <w:numId w:val="35"/>
        </w:numPr>
        <w:spacing w:line="240" w:lineRule="auto"/>
        <w:rPr>
          <w:lang w:val="fr-CA"/>
        </w:rPr>
      </w:pPr>
      <w:r w:rsidRPr="00797375">
        <w:rPr>
          <w:lang w:val="fr-CA"/>
        </w:rPr>
        <w:t>Entérohémorrhagique (EHEC)(0157)</w:t>
      </w:r>
    </w:p>
    <w:p w:rsidR="00AC2C90" w:rsidRPr="00797375" w:rsidRDefault="00AC2C90" w:rsidP="00FD0BD2">
      <w:pPr>
        <w:pStyle w:val="ListParagraph"/>
        <w:numPr>
          <w:ilvl w:val="0"/>
          <w:numId w:val="35"/>
        </w:numPr>
        <w:spacing w:line="240" w:lineRule="auto"/>
        <w:rPr>
          <w:lang w:val="fr-CA"/>
        </w:rPr>
      </w:pPr>
      <w:r w:rsidRPr="00797375">
        <w:rPr>
          <w:lang w:val="fr-CA"/>
        </w:rPr>
        <w:t>Entérotoxinogène (ETEC)</w:t>
      </w:r>
    </w:p>
    <w:p w:rsidR="006E7D07" w:rsidRPr="00797375" w:rsidRDefault="00AC2C90" w:rsidP="00FD0BD2">
      <w:pPr>
        <w:pStyle w:val="ListParagraph"/>
        <w:numPr>
          <w:ilvl w:val="0"/>
          <w:numId w:val="35"/>
        </w:numPr>
        <w:spacing w:line="240" w:lineRule="auto"/>
      </w:pPr>
      <w:r w:rsidRPr="00797375">
        <w:rPr>
          <w:lang w:val="fr-CA"/>
        </w:rPr>
        <w:t>Entéropathogène (EPEC)</w:t>
      </w:r>
    </w:p>
    <w:sectPr w:rsidR="006E7D07" w:rsidRPr="00797375" w:rsidSect="00797375">
      <w:type w:val="continuous"/>
      <w:pgSz w:w="12240" w:h="15840"/>
      <w:pgMar w:top="1276" w:right="669" w:bottom="680" w:left="669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34B" w:rsidRDefault="0061634B" w:rsidP="00106318">
      <w:pPr>
        <w:spacing w:after="0" w:line="240" w:lineRule="auto"/>
      </w:pPr>
      <w:r>
        <w:separator/>
      </w:r>
    </w:p>
  </w:endnote>
  <w:endnote w:type="continuationSeparator" w:id="0">
    <w:p w:rsidR="0061634B" w:rsidRDefault="0061634B" w:rsidP="0010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34B" w:rsidRDefault="0061634B" w:rsidP="00106318">
      <w:pPr>
        <w:spacing w:after="0" w:line="240" w:lineRule="auto"/>
      </w:pPr>
      <w:r>
        <w:separator/>
      </w:r>
    </w:p>
  </w:footnote>
  <w:footnote w:type="continuationSeparator" w:id="0">
    <w:p w:rsidR="0061634B" w:rsidRDefault="0061634B" w:rsidP="0010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318" w:rsidRDefault="00106318">
    <w:pPr>
      <w:pStyle w:val="Header"/>
      <w:jc w:val="right"/>
    </w:pPr>
    <w:r>
      <w:t xml:space="preserve">HSS 1500   </w:t>
    </w:r>
    <w:sdt>
      <w:sdtPr>
        <w:id w:val="-77656252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106318" w:rsidRDefault="001063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A66D1"/>
    <w:multiLevelType w:val="hybridMultilevel"/>
    <w:tmpl w:val="787CB77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5F442A"/>
    <w:multiLevelType w:val="hybridMultilevel"/>
    <w:tmpl w:val="6F6621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D12B7"/>
    <w:multiLevelType w:val="hybridMultilevel"/>
    <w:tmpl w:val="2EF6EBBC"/>
    <w:lvl w:ilvl="0" w:tplc="F1D03E14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6065C"/>
    <w:multiLevelType w:val="hybridMultilevel"/>
    <w:tmpl w:val="7138D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7B4AEB"/>
    <w:multiLevelType w:val="hybridMultilevel"/>
    <w:tmpl w:val="CA94035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6583A"/>
    <w:multiLevelType w:val="hybridMultilevel"/>
    <w:tmpl w:val="BF62C0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7A7514"/>
    <w:multiLevelType w:val="hybridMultilevel"/>
    <w:tmpl w:val="B5B8FA2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C122EEF"/>
    <w:multiLevelType w:val="hybridMultilevel"/>
    <w:tmpl w:val="A30817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067D9"/>
    <w:multiLevelType w:val="hybridMultilevel"/>
    <w:tmpl w:val="7F2C1F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B529AF"/>
    <w:multiLevelType w:val="hybridMultilevel"/>
    <w:tmpl w:val="C27A74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6F7ECD"/>
    <w:multiLevelType w:val="hybridMultilevel"/>
    <w:tmpl w:val="BF804A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F3B75"/>
    <w:multiLevelType w:val="hybridMultilevel"/>
    <w:tmpl w:val="7E40BEC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4E24EC"/>
    <w:multiLevelType w:val="hybridMultilevel"/>
    <w:tmpl w:val="F0AC99A4"/>
    <w:lvl w:ilvl="0" w:tplc="F1D03E14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E01EB"/>
    <w:multiLevelType w:val="hybridMultilevel"/>
    <w:tmpl w:val="9ED4D9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75529E"/>
    <w:multiLevelType w:val="hybridMultilevel"/>
    <w:tmpl w:val="59CA02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922D59"/>
    <w:multiLevelType w:val="hybridMultilevel"/>
    <w:tmpl w:val="E72898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B90B43"/>
    <w:multiLevelType w:val="hybridMultilevel"/>
    <w:tmpl w:val="AFCA60EE"/>
    <w:lvl w:ilvl="0" w:tplc="3300FA66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218056F"/>
    <w:multiLevelType w:val="hybridMultilevel"/>
    <w:tmpl w:val="2D00A958"/>
    <w:lvl w:ilvl="0" w:tplc="F1D03E14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A36712"/>
    <w:multiLevelType w:val="hybridMultilevel"/>
    <w:tmpl w:val="C66CA51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C474AE"/>
    <w:multiLevelType w:val="hybridMultilevel"/>
    <w:tmpl w:val="11E28B2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04103B"/>
    <w:multiLevelType w:val="hybridMultilevel"/>
    <w:tmpl w:val="9B905BC2"/>
    <w:lvl w:ilvl="0" w:tplc="00C6FB64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11744F7"/>
    <w:multiLevelType w:val="hybridMultilevel"/>
    <w:tmpl w:val="E564F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AB0CA1"/>
    <w:multiLevelType w:val="hybridMultilevel"/>
    <w:tmpl w:val="3D6A73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6F2D70"/>
    <w:multiLevelType w:val="hybridMultilevel"/>
    <w:tmpl w:val="B7B2958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733D4"/>
    <w:multiLevelType w:val="hybridMultilevel"/>
    <w:tmpl w:val="04DA8D5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EE7D40"/>
    <w:multiLevelType w:val="hybridMultilevel"/>
    <w:tmpl w:val="7F7669E8"/>
    <w:lvl w:ilvl="0" w:tplc="F1D03E14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365B2A"/>
    <w:multiLevelType w:val="hybridMultilevel"/>
    <w:tmpl w:val="9538E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534522"/>
    <w:multiLevelType w:val="hybridMultilevel"/>
    <w:tmpl w:val="EB14F9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974C2E"/>
    <w:multiLevelType w:val="hybridMultilevel"/>
    <w:tmpl w:val="9740F1B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380999"/>
    <w:multiLevelType w:val="hybridMultilevel"/>
    <w:tmpl w:val="D58CDC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3C2AC9"/>
    <w:multiLevelType w:val="hybridMultilevel"/>
    <w:tmpl w:val="1A7C738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514B43"/>
    <w:multiLevelType w:val="hybridMultilevel"/>
    <w:tmpl w:val="9FE8199E"/>
    <w:lvl w:ilvl="0" w:tplc="F1D03E14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9623D4"/>
    <w:multiLevelType w:val="hybridMultilevel"/>
    <w:tmpl w:val="668C8F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646E8F"/>
    <w:multiLevelType w:val="hybridMultilevel"/>
    <w:tmpl w:val="765416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F603E3"/>
    <w:multiLevelType w:val="hybridMultilevel"/>
    <w:tmpl w:val="75BE5B9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"/>
  </w:num>
  <w:num w:numId="3">
    <w:abstractNumId w:val="10"/>
  </w:num>
  <w:num w:numId="4">
    <w:abstractNumId w:val="14"/>
  </w:num>
  <w:num w:numId="5">
    <w:abstractNumId w:val="26"/>
  </w:num>
  <w:num w:numId="6">
    <w:abstractNumId w:val="30"/>
  </w:num>
  <w:num w:numId="7">
    <w:abstractNumId w:val="11"/>
  </w:num>
  <w:num w:numId="8">
    <w:abstractNumId w:val="4"/>
  </w:num>
  <w:num w:numId="9">
    <w:abstractNumId w:val="0"/>
  </w:num>
  <w:num w:numId="10">
    <w:abstractNumId w:val="34"/>
  </w:num>
  <w:num w:numId="11">
    <w:abstractNumId w:val="18"/>
  </w:num>
  <w:num w:numId="12">
    <w:abstractNumId w:val="28"/>
  </w:num>
  <w:num w:numId="13">
    <w:abstractNumId w:val="19"/>
  </w:num>
  <w:num w:numId="14">
    <w:abstractNumId w:val="23"/>
  </w:num>
  <w:num w:numId="15">
    <w:abstractNumId w:val="24"/>
  </w:num>
  <w:num w:numId="16">
    <w:abstractNumId w:val="22"/>
  </w:num>
  <w:num w:numId="17">
    <w:abstractNumId w:val="1"/>
  </w:num>
  <w:num w:numId="18">
    <w:abstractNumId w:val="15"/>
  </w:num>
  <w:num w:numId="19">
    <w:abstractNumId w:val="29"/>
  </w:num>
  <w:num w:numId="20">
    <w:abstractNumId w:val="9"/>
  </w:num>
  <w:num w:numId="21">
    <w:abstractNumId w:val="13"/>
  </w:num>
  <w:num w:numId="22">
    <w:abstractNumId w:val="6"/>
  </w:num>
  <w:num w:numId="23">
    <w:abstractNumId w:val="27"/>
  </w:num>
  <w:num w:numId="24">
    <w:abstractNumId w:val="33"/>
  </w:num>
  <w:num w:numId="25">
    <w:abstractNumId w:val="5"/>
  </w:num>
  <w:num w:numId="26">
    <w:abstractNumId w:val="7"/>
  </w:num>
  <w:num w:numId="27">
    <w:abstractNumId w:val="21"/>
  </w:num>
  <w:num w:numId="28">
    <w:abstractNumId w:val="8"/>
  </w:num>
  <w:num w:numId="29">
    <w:abstractNumId w:val="20"/>
  </w:num>
  <w:num w:numId="30">
    <w:abstractNumId w:val="16"/>
  </w:num>
  <w:num w:numId="31">
    <w:abstractNumId w:val="12"/>
  </w:num>
  <w:num w:numId="32">
    <w:abstractNumId w:val="17"/>
  </w:num>
  <w:num w:numId="33">
    <w:abstractNumId w:val="2"/>
  </w:num>
  <w:num w:numId="34">
    <w:abstractNumId w:val="31"/>
  </w:num>
  <w:num w:numId="35">
    <w:abstractNumId w:val="2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99C"/>
    <w:rsid w:val="00106318"/>
    <w:rsid w:val="003C0388"/>
    <w:rsid w:val="0061634B"/>
    <w:rsid w:val="00670805"/>
    <w:rsid w:val="006E7D07"/>
    <w:rsid w:val="00715322"/>
    <w:rsid w:val="00797375"/>
    <w:rsid w:val="007B703C"/>
    <w:rsid w:val="00872D7E"/>
    <w:rsid w:val="008F0B35"/>
    <w:rsid w:val="0091578B"/>
    <w:rsid w:val="00923BCE"/>
    <w:rsid w:val="00AC2C90"/>
    <w:rsid w:val="00BF33F2"/>
    <w:rsid w:val="00D60D61"/>
    <w:rsid w:val="00DA0F4A"/>
    <w:rsid w:val="00E4199C"/>
    <w:rsid w:val="00E60BD5"/>
    <w:rsid w:val="00F5025F"/>
    <w:rsid w:val="00FD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5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7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703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B70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1063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318"/>
  </w:style>
  <w:style w:type="paragraph" w:styleId="Footer">
    <w:name w:val="footer"/>
    <w:basedOn w:val="Normal"/>
    <w:link w:val="FooterChar"/>
    <w:uiPriority w:val="99"/>
    <w:unhideWhenUsed/>
    <w:rsid w:val="001063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5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7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703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B70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1063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318"/>
  </w:style>
  <w:style w:type="paragraph" w:styleId="Footer">
    <w:name w:val="footer"/>
    <w:basedOn w:val="Normal"/>
    <w:link w:val="FooterChar"/>
    <w:uiPriority w:val="99"/>
    <w:unhideWhenUsed/>
    <w:rsid w:val="001063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885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8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98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8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16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46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33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311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376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5024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709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5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267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21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45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76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56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24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27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11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6715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26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23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61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754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55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87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65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386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9156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9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92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821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603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223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76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20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145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6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6326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8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04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86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4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601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59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23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56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05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32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54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461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97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271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26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685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41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37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3414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8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206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16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49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90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72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820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85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49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515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64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170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84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9045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72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0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9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599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090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19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73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77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096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1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9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04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355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28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564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677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286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2919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307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22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773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85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192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3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91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607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15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546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4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42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81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2697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41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40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893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70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4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80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80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214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3449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3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768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204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9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7988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36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191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74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55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714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174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0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578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89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1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77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85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22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355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40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513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61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909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72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789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09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812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6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878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9143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128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421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8802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849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39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69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17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3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368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48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97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010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610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74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7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77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2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107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11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334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70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5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988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4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105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4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990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7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3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9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929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199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29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28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13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99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24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3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90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753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811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77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267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213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18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09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690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734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465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618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708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135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0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28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02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8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447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960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179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903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513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567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84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814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567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61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2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327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81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75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15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20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2018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269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01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568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38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07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62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23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501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956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35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2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7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62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82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98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29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85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8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831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008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78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031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6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612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130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790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55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31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4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109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28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5559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49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30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1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13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269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470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5909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26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3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205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2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487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7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2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916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1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75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47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31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76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62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70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32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21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06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38123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76110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99422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35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2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568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50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97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79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5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747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06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0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82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77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07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20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2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4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542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58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87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16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8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4474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24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yperlink" Target="http://cvirtuel.cochin.univ-paris5.fr/observations/B5-cours/index.htm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12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9</cp:revision>
  <dcterms:created xsi:type="dcterms:W3CDTF">2014-01-20T02:11:00Z</dcterms:created>
  <dcterms:modified xsi:type="dcterms:W3CDTF">2014-01-20T15:57:00Z</dcterms:modified>
</cp:coreProperties>
</file>