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60E" w:rsidRDefault="00FC060E" w:rsidP="00FC060E">
      <w:pPr>
        <w:jc w:val="center"/>
      </w:pPr>
      <w:r>
        <w:t xml:space="preserve">Distribution of </w:t>
      </w:r>
      <w:proofErr w:type="spellStart"/>
      <w:r w:rsidRPr="00FC060E">
        <w:t>Chamaedaphne</w:t>
      </w:r>
      <w:proofErr w:type="spellEnd"/>
      <w:r w:rsidRPr="00FC060E">
        <w:t xml:space="preserve"> </w:t>
      </w:r>
      <w:proofErr w:type="spellStart"/>
      <w:r w:rsidRPr="00FC060E">
        <w:t>Calycultat</w:t>
      </w:r>
      <w:r>
        <w:t>a</w:t>
      </w:r>
      <w:proofErr w:type="spellEnd"/>
      <w:r>
        <w:t xml:space="preserve"> at </w:t>
      </w:r>
      <w:proofErr w:type="spellStart"/>
      <w:r>
        <w:t>Mer</w:t>
      </w:r>
      <w:proofErr w:type="spellEnd"/>
      <w:r>
        <w:t xml:space="preserve"> Bleu – The effect of Partial Drainage</w:t>
      </w:r>
    </w:p>
    <w:p w:rsidR="00FC060E" w:rsidRDefault="00FC060E" w:rsidP="00FC060E">
      <w:pPr>
        <w:jc w:val="center"/>
      </w:pPr>
    </w:p>
    <w:p w:rsidR="00FC060E" w:rsidRDefault="00FC060E" w:rsidP="00FC060E">
      <w:pPr>
        <w:jc w:val="center"/>
      </w:pPr>
    </w:p>
    <w:p w:rsidR="00FC060E" w:rsidRDefault="00FC060E" w:rsidP="00FC060E">
      <w:pPr>
        <w:jc w:val="center"/>
      </w:pPr>
    </w:p>
    <w:p w:rsidR="00FC060E" w:rsidRDefault="00FC060E" w:rsidP="007C18B1">
      <w:pPr>
        <w:spacing w:line="240" w:lineRule="auto"/>
        <w:contextualSpacing/>
        <w:jc w:val="center"/>
      </w:pPr>
      <w:r>
        <w:t xml:space="preserve">By </w:t>
      </w:r>
      <w:r w:rsidR="007C18B1">
        <w:t>Anonymous</w:t>
      </w:r>
    </w:p>
    <w:p w:rsidR="007C18B1" w:rsidRDefault="007C18B1" w:rsidP="007C18B1">
      <w:pPr>
        <w:spacing w:line="240" w:lineRule="auto"/>
        <w:contextualSpacing/>
        <w:jc w:val="center"/>
      </w:pPr>
      <w:r>
        <w:t>111111111</w:t>
      </w:r>
    </w:p>
    <w:p w:rsidR="00FC060E" w:rsidRDefault="00FC060E" w:rsidP="00FC060E">
      <w:pPr>
        <w:spacing w:line="240" w:lineRule="auto"/>
        <w:contextualSpacing/>
        <w:jc w:val="center"/>
      </w:pPr>
    </w:p>
    <w:p w:rsidR="00FC060E" w:rsidRDefault="00FC060E" w:rsidP="00FC060E">
      <w:pPr>
        <w:spacing w:line="240" w:lineRule="auto"/>
        <w:contextualSpacing/>
        <w:jc w:val="center"/>
      </w:pPr>
    </w:p>
    <w:p w:rsidR="00FC060E" w:rsidRDefault="00FC060E" w:rsidP="00FC060E">
      <w:pPr>
        <w:spacing w:line="240" w:lineRule="auto"/>
        <w:contextualSpacing/>
        <w:jc w:val="center"/>
      </w:pPr>
    </w:p>
    <w:p w:rsidR="00FC060E" w:rsidRDefault="00FC060E" w:rsidP="00FC060E">
      <w:pPr>
        <w:spacing w:line="240" w:lineRule="auto"/>
        <w:contextualSpacing/>
        <w:jc w:val="center"/>
      </w:pPr>
    </w:p>
    <w:p w:rsidR="00FC060E" w:rsidRDefault="00FC060E" w:rsidP="00FC060E">
      <w:pPr>
        <w:spacing w:line="240" w:lineRule="auto"/>
        <w:contextualSpacing/>
        <w:jc w:val="center"/>
      </w:pPr>
      <w:r>
        <w:t xml:space="preserve">Bio 1130 Section C1 </w:t>
      </w:r>
    </w:p>
    <w:p w:rsidR="00FC060E" w:rsidRDefault="00FC060E" w:rsidP="00FC060E">
      <w:pPr>
        <w:spacing w:line="240" w:lineRule="auto"/>
        <w:contextualSpacing/>
        <w:jc w:val="center"/>
      </w:pPr>
    </w:p>
    <w:p w:rsidR="00FC060E" w:rsidRDefault="00FC060E" w:rsidP="00FC060E">
      <w:pPr>
        <w:spacing w:line="240" w:lineRule="auto"/>
        <w:contextualSpacing/>
        <w:jc w:val="center"/>
      </w:pPr>
    </w:p>
    <w:p w:rsidR="00FC060E" w:rsidRDefault="00FC060E" w:rsidP="00FC060E">
      <w:pPr>
        <w:spacing w:line="240" w:lineRule="auto"/>
        <w:contextualSpacing/>
        <w:jc w:val="center"/>
      </w:pPr>
    </w:p>
    <w:p w:rsidR="00FC060E" w:rsidRDefault="00FC060E" w:rsidP="00FC060E">
      <w:pPr>
        <w:spacing w:line="240" w:lineRule="auto"/>
        <w:contextualSpacing/>
        <w:jc w:val="center"/>
      </w:pPr>
    </w:p>
    <w:p w:rsidR="00FC060E" w:rsidRDefault="00FC060E" w:rsidP="00FC060E">
      <w:pPr>
        <w:spacing w:line="240" w:lineRule="auto"/>
        <w:contextualSpacing/>
        <w:jc w:val="center"/>
      </w:pPr>
      <w:r>
        <w:t>Demonstrators:</w:t>
      </w:r>
    </w:p>
    <w:p w:rsidR="00FC060E" w:rsidRDefault="00FC060E" w:rsidP="00FC060E">
      <w:pPr>
        <w:spacing w:line="240" w:lineRule="auto"/>
        <w:contextualSpacing/>
        <w:jc w:val="center"/>
      </w:pPr>
      <w:r>
        <w:t xml:space="preserve">Corey Godfrey and </w:t>
      </w:r>
    </w:p>
    <w:p w:rsidR="00FC060E" w:rsidRDefault="00620E00" w:rsidP="00FC060E">
      <w:pPr>
        <w:spacing w:line="240" w:lineRule="auto"/>
        <w:contextualSpacing/>
        <w:jc w:val="center"/>
      </w:pPr>
      <w:proofErr w:type="spellStart"/>
      <w:r>
        <w:t>Anh</w:t>
      </w:r>
      <w:proofErr w:type="spellEnd"/>
      <w:r>
        <w:t xml:space="preserve"> Tran</w:t>
      </w: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r>
        <w:t>September 29, 2014</w:t>
      </w:r>
    </w:p>
    <w:p w:rsidR="00620E00" w:rsidRDefault="00620E00" w:rsidP="00FC060E">
      <w:pPr>
        <w:spacing w:line="240" w:lineRule="auto"/>
        <w:contextualSpacing/>
        <w:jc w:val="center"/>
      </w:pPr>
    </w:p>
    <w:p w:rsidR="00620E00" w:rsidRDefault="00620E00" w:rsidP="00FC060E">
      <w:pPr>
        <w:spacing w:line="240" w:lineRule="auto"/>
        <w:contextualSpacing/>
        <w:jc w:val="center"/>
      </w:pPr>
      <w:r>
        <w:t>Department of Biology</w:t>
      </w:r>
    </w:p>
    <w:p w:rsidR="00620E00" w:rsidRDefault="00620E00" w:rsidP="00FC060E">
      <w:pPr>
        <w:spacing w:line="240" w:lineRule="auto"/>
        <w:contextualSpacing/>
        <w:jc w:val="center"/>
        <w:rPr>
          <w:b/>
        </w:rPr>
      </w:pPr>
    </w:p>
    <w:p w:rsidR="00620E00" w:rsidRPr="00620E00" w:rsidRDefault="00620E00" w:rsidP="00FC060E">
      <w:pPr>
        <w:spacing w:line="240" w:lineRule="auto"/>
        <w:contextualSpacing/>
        <w:jc w:val="center"/>
        <w:rPr>
          <w:b/>
        </w:rPr>
      </w:pPr>
      <w:r>
        <w:rPr>
          <w:b/>
        </w:rPr>
        <w:t>University of Ottawa</w:t>
      </w: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620E00" w:rsidRDefault="00620E00" w:rsidP="00FC060E">
      <w:pPr>
        <w:spacing w:line="240" w:lineRule="auto"/>
        <w:contextualSpacing/>
        <w:jc w:val="center"/>
      </w:pPr>
    </w:p>
    <w:p w:rsidR="00FC060E" w:rsidRDefault="00FC060E" w:rsidP="00FC060E">
      <w:pPr>
        <w:spacing w:line="240" w:lineRule="auto"/>
        <w:contextualSpacing/>
        <w:jc w:val="center"/>
      </w:pPr>
      <w:r>
        <w:br w:type="page"/>
      </w:r>
    </w:p>
    <w:p w:rsidR="00620E00" w:rsidRDefault="00FC060E">
      <w:r w:rsidRPr="00FC060E">
        <w:rPr>
          <w:noProof/>
          <w:lang w:val="en-CA" w:eastAsia="en-CA"/>
        </w:rPr>
        <w:lastRenderedPageBreak/>
        <w:drawing>
          <wp:inline distT="0" distB="0" distL="0" distR="0">
            <wp:extent cx="6400800" cy="53340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620E00" w:rsidRDefault="00620E00">
      <w:r>
        <w:br w:type="page"/>
      </w:r>
    </w:p>
    <w:p w:rsidR="0075416A" w:rsidRDefault="00620E00">
      <w:pPr>
        <w:rPr>
          <w:b/>
        </w:rPr>
      </w:pPr>
      <w:r>
        <w:rPr>
          <w:b/>
        </w:rPr>
        <w:lastRenderedPageBreak/>
        <w:t>Hypothesis</w:t>
      </w:r>
    </w:p>
    <w:p w:rsidR="00620E00" w:rsidRDefault="0039438C">
      <w:r>
        <w:t xml:space="preserve">Since the </w:t>
      </w:r>
      <w:proofErr w:type="spellStart"/>
      <w:r w:rsidR="00254B20" w:rsidRPr="00FC060E">
        <w:t>Chamaedaphne</w:t>
      </w:r>
      <w:proofErr w:type="spellEnd"/>
      <w:r w:rsidR="00254B20" w:rsidRPr="00FC060E">
        <w:t xml:space="preserve"> </w:t>
      </w:r>
      <w:proofErr w:type="spellStart"/>
      <w:r w:rsidR="00254B20" w:rsidRPr="00FC060E">
        <w:t>Calycultat</w:t>
      </w:r>
      <w:r w:rsidR="00254B20">
        <w:t>a</w:t>
      </w:r>
      <w:proofErr w:type="spellEnd"/>
      <w:r>
        <w:t xml:space="preserve"> seems to primarily exist in the bog, it’s tempting to hypothesize that </w:t>
      </w:r>
      <w:r w:rsidR="00254B20">
        <w:t xml:space="preserve">this plant thrives in wet conditions. However, this plant exists in the field- the driest habitat, while it does not exist at all in the marsh- the driest habitat. The primary difference between the water in the marsh and the water in the bog is the acidity, implying that the </w:t>
      </w:r>
      <w:proofErr w:type="spellStart"/>
      <w:r w:rsidR="00254B20" w:rsidRPr="00FC060E">
        <w:t>Chamaedaphne</w:t>
      </w:r>
      <w:proofErr w:type="spellEnd"/>
      <w:r w:rsidR="00254B20" w:rsidRPr="00FC060E">
        <w:t xml:space="preserve"> </w:t>
      </w:r>
      <w:proofErr w:type="spellStart"/>
      <w:r w:rsidR="00254B20" w:rsidRPr="00FC060E">
        <w:t>Calycultat</w:t>
      </w:r>
      <w:r w:rsidR="00254B20">
        <w:t>a</w:t>
      </w:r>
      <w:proofErr w:type="spellEnd"/>
      <w:r w:rsidR="00254B20">
        <w:t xml:space="preserve"> has adapted to living in an acidic environment. However, </w:t>
      </w:r>
      <w:proofErr w:type="spellStart"/>
      <w:r w:rsidR="00254B20" w:rsidRPr="00FC060E">
        <w:t>Chamaedaphne</w:t>
      </w:r>
      <w:proofErr w:type="spellEnd"/>
      <w:r w:rsidR="00254B20" w:rsidRPr="00FC060E">
        <w:t xml:space="preserve"> </w:t>
      </w:r>
      <w:proofErr w:type="spellStart"/>
      <w:r w:rsidR="00254B20" w:rsidRPr="00FC060E">
        <w:t>Calycultat</w:t>
      </w:r>
      <w:r w:rsidR="00254B20">
        <w:t>a</w:t>
      </w:r>
      <w:proofErr w:type="spellEnd"/>
      <w:r w:rsidR="00254B20">
        <w:t xml:space="preserve"> grows better in the bog than the </w:t>
      </w:r>
      <w:proofErr w:type="spellStart"/>
      <w:r w:rsidR="00254B20">
        <w:t>ecotone</w:t>
      </w:r>
      <w:proofErr w:type="spellEnd"/>
      <w:r w:rsidR="00254B20">
        <w:t xml:space="preserve">, meaning that the </w:t>
      </w:r>
      <w:proofErr w:type="spellStart"/>
      <w:r w:rsidR="00254B20">
        <w:t>ecotone</w:t>
      </w:r>
      <w:proofErr w:type="spellEnd"/>
      <w:r w:rsidR="00254B20">
        <w:t xml:space="preserve"> does not offer enough water for </w:t>
      </w:r>
      <w:proofErr w:type="spellStart"/>
      <w:r w:rsidR="00254B20" w:rsidRPr="00FC060E">
        <w:t>Chamaedaphne</w:t>
      </w:r>
      <w:proofErr w:type="spellEnd"/>
      <w:r w:rsidR="00254B20" w:rsidRPr="00FC060E">
        <w:t xml:space="preserve"> </w:t>
      </w:r>
      <w:proofErr w:type="spellStart"/>
      <w:r w:rsidR="00254B20" w:rsidRPr="00FC060E">
        <w:t>Calycultat</w:t>
      </w:r>
      <w:r w:rsidR="00254B20">
        <w:t>a</w:t>
      </w:r>
      <w:proofErr w:type="spellEnd"/>
      <w:r w:rsidR="00254B20">
        <w:t xml:space="preserve"> to thrive. Therefore, I predict that the </w:t>
      </w:r>
      <w:proofErr w:type="spellStart"/>
      <w:r w:rsidR="00254B20" w:rsidRPr="00FC060E">
        <w:t>Chamaedaphne</w:t>
      </w:r>
      <w:proofErr w:type="spellEnd"/>
      <w:r w:rsidR="00254B20" w:rsidRPr="00FC060E">
        <w:t xml:space="preserve"> </w:t>
      </w:r>
      <w:proofErr w:type="spellStart"/>
      <w:r w:rsidR="00254B20" w:rsidRPr="00FC060E">
        <w:t>Calycultat</w:t>
      </w:r>
      <w:r w:rsidR="00254B20">
        <w:t>a</w:t>
      </w:r>
      <w:proofErr w:type="spellEnd"/>
      <w:r w:rsidR="00254B20">
        <w:t xml:space="preserve"> needs an acidic, semi-aquatic habitat in order to survive.</w:t>
      </w:r>
    </w:p>
    <w:p w:rsidR="00254B20" w:rsidRDefault="00254B20">
      <w:pPr>
        <w:rPr>
          <w:b/>
        </w:rPr>
      </w:pPr>
      <w:r>
        <w:rPr>
          <w:b/>
        </w:rPr>
        <w:t>Prediction</w:t>
      </w:r>
    </w:p>
    <w:p w:rsidR="00FA7CA5" w:rsidRPr="00FA7CA5" w:rsidRDefault="00254B20" w:rsidP="00254B20">
      <w:pPr>
        <w:pStyle w:val="ListParagraph"/>
        <w:numPr>
          <w:ilvl w:val="0"/>
          <w:numId w:val="1"/>
        </w:numPr>
        <w:rPr>
          <w:b/>
        </w:rPr>
      </w:pPr>
      <w:r>
        <w:t xml:space="preserve">With a </w:t>
      </w:r>
      <w:r w:rsidR="00907915">
        <w:t xml:space="preserve">fifty percent </w:t>
      </w:r>
      <w:r>
        <w:t>reduction</w:t>
      </w:r>
      <w:r w:rsidR="00907915">
        <w:t xml:space="preserve"> in water flow t</w:t>
      </w:r>
      <w:r w:rsidR="006E58FD">
        <w:t xml:space="preserve">o </w:t>
      </w:r>
      <w:proofErr w:type="spellStart"/>
      <w:r w:rsidR="006E58FD">
        <w:t>Mer</w:t>
      </w:r>
      <w:proofErr w:type="spellEnd"/>
      <w:r w:rsidR="006E58FD">
        <w:t xml:space="preserve"> Bl</w:t>
      </w:r>
      <w:r w:rsidR="00907915">
        <w:t>e</w:t>
      </w:r>
      <w:r w:rsidR="006E58FD">
        <w:t>u</w:t>
      </w:r>
      <w:r w:rsidR="00907915">
        <w:t xml:space="preserve">, the </w:t>
      </w:r>
      <w:proofErr w:type="spellStart"/>
      <w:r w:rsidR="00907915">
        <w:t>ecotone</w:t>
      </w:r>
      <w:proofErr w:type="spellEnd"/>
      <w:r w:rsidR="00907915">
        <w:t xml:space="preserve"> and the bog would become significantly drier. This would make the </w:t>
      </w:r>
      <w:proofErr w:type="spellStart"/>
      <w:r w:rsidR="00907915">
        <w:t>ecotone</w:t>
      </w:r>
      <w:proofErr w:type="spellEnd"/>
      <w:r w:rsidR="00907915">
        <w:t xml:space="preserve"> about as favourable to </w:t>
      </w:r>
      <w:proofErr w:type="spellStart"/>
      <w:r w:rsidR="00907915" w:rsidRPr="00FC060E">
        <w:t>Chamaedaphne</w:t>
      </w:r>
      <w:proofErr w:type="spellEnd"/>
      <w:r w:rsidR="00907915" w:rsidRPr="00FC060E">
        <w:t xml:space="preserve"> </w:t>
      </w:r>
      <w:proofErr w:type="spellStart"/>
      <w:r w:rsidR="00907915" w:rsidRPr="00FC060E">
        <w:t>Calycultat</w:t>
      </w:r>
      <w:r w:rsidR="00907915">
        <w:t>a</w:t>
      </w:r>
      <w:proofErr w:type="spellEnd"/>
      <w:r w:rsidR="00907915">
        <w:t xml:space="preserve"> as the field currently is, and would likely make the bog as favourable </w:t>
      </w:r>
      <w:r w:rsidR="006E58FD">
        <w:t>of a habitat</w:t>
      </w:r>
      <w:r w:rsidR="00907915">
        <w:t xml:space="preserve"> as the </w:t>
      </w:r>
      <w:proofErr w:type="spellStart"/>
      <w:r w:rsidR="00907915">
        <w:t>ecotone</w:t>
      </w:r>
      <w:proofErr w:type="spellEnd"/>
      <w:r w:rsidR="00907915">
        <w:t xml:space="preserve"> currently is. Eventually, due to the inlet stream oxygenating the water less, organic matter wouldn’t thrive at current level, and peat moss would accumulate as it wouldn’t be decomposed by organic matter as much. This would make the marsh </w:t>
      </w:r>
      <w:r w:rsidR="00FA7CA5">
        <w:t xml:space="preserve">more acidic and the perfect environment for </w:t>
      </w:r>
      <w:proofErr w:type="spellStart"/>
      <w:r w:rsidR="00FA7CA5" w:rsidRPr="00FC060E">
        <w:t>Chamaedaphne</w:t>
      </w:r>
      <w:proofErr w:type="spellEnd"/>
      <w:r w:rsidR="00FA7CA5" w:rsidRPr="00FC060E">
        <w:t xml:space="preserve"> </w:t>
      </w:r>
      <w:proofErr w:type="spellStart"/>
      <w:r w:rsidR="00FA7CA5" w:rsidRPr="00FC060E">
        <w:t>Calycultat</w:t>
      </w:r>
      <w:r w:rsidR="00FA7CA5">
        <w:t>a</w:t>
      </w:r>
      <w:proofErr w:type="spellEnd"/>
      <w:r w:rsidR="00FA7CA5">
        <w:t>, partially because the marsh would start to resemble the bog- its current preferred habitat.</w:t>
      </w:r>
    </w:p>
    <w:p w:rsidR="00254B20" w:rsidRPr="00254B20" w:rsidRDefault="00FA7CA5" w:rsidP="00254B20">
      <w:pPr>
        <w:pStyle w:val="ListParagraph"/>
        <w:numPr>
          <w:ilvl w:val="0"/>
          <w:numId w:val="1"/>
        </w:numPr>
        <w:rPr>
          <w:b/>
        </w:rPr>
      </w:pPr>
      <w:r>
        <w:t xml:space="preserve">Since the accumulation of peat moss would likely take much longer to accumulate than it would take to drain the bog and the </w:t>
      </w:r>
      <w:proofErr w:type="spellStart"/>
      <w:r>
        <w:t>ecotone</w:t>
      </w:r>
      <w:proofErr w:type="spellEnd"/>
      <w:r>
        <w:t xml:space="preserve">, there would be an immediate decline in the population of the </w:t>
      </w:r>
      <w:proofErr w:type="spellStart"/>
      <w:r w:rsidRPr="00FC060E">
        <w:t>Chamaedaphne</w:t>
      </w:r>
      <w:proofErr w:type="spellEnd"/>
      <w:r w:rsidRPr="00FC060E">
        <w:t xml:space="preserve"> </w:t>
      </w:r>
      <w:proofErr w:type="spellStart"/>
      <w:r w:rsidRPr="00FC060E">
        <w:t>Calycultat</w:t>
      </w:r>
      <w:r>
        <w:t>a</w:t>
      </w:r>
      <w:proofErr w:type="spellEnd"/>
      <w:r>
        <w:t xml:space="preserve">. However, assuming that this plant did not experience problems with localized bottlenecking or </w:t>
      </w:r>
      <w:r w:rsidR="00DB71C1">
        <w:t>with moving fast enough to its</w:t>
      </w:r>
      <w:r>
        <w:t xml:space="preserve"> new preferred ecosystem, there would be an eventual recovery in the </w:t>
      </w:r>
      <w:proofErr w:type="spellStart"/>
      <w:r w:rsidRPr="00FC060E">
        <w:t>Chamaedaphne</w:t>
      </w:r>
      <w:proofErr w:type="spellEnd"/>
      <w:r w:rsidRPr="00FC060E">
        <w:t xml:space="preserve"> </w:t>
      </w:r>
      <w:proofErr w:type="spellStart"/>
      <w:r w:rsidRPr="00FC060E">
        <w:t>Calycultat</w:t>
      </w:r>
      <w:r>
        <w:t>a</w:t>
      </w:r>
      <w:proofErr w:type="spellEnd"/>
      <w:r>
        <w:t xml:space="preserve"> population. </w:t>
      </w:r>
      <w:r w:rsidR="006E58FD">
        <w:t xml:space="preserve">Since the new preferred habitat would be directly fed by the reduced stream, the water would never become as acidic as the bog currently is. Accordingly, the </w:t>
      </w:r>
      <w:proofErr w:type="spellStart"/>
      <w:r w:rsidR="006E58FD" w:rsidRPr="00FC060E">
        <w:t>Chamaedaphne</w:t>
      </w:r>
      <w:proofErr w:type="spellEnd"/>
      <w:r w:rsidR="006E58FD" w:rsidRPr="00FC060E">
        <w:t xml:space="preserve"> </w:t>
      </w:r>
      <w:proofErr w:type="spellStart"/>
      <w:r w:rsidR="006E58FD" w:rsidRPr="00FC060E">
        <w:t>Calycultat</w:t>
      </w:r>
      <w:r w:rsidR="006E58FD">
        <w:t>a</w:t>
      </w:r>
      <w:proofErr w:type="spellEnd"/>
      <w:r w:rsidR="006E58FD">
        <w:t xml:space="preserve"> would not be as abundant in its new preferred habitat, and it would not be as widespread due to the general drying of the park.</w:t>
      </w:r>
      <w:r w:rsidR="00907915">
        <w:t xml:space="preserve"> </w:t>
      </w:r>
    </w:p>
    <w:sectPr w:rsidR="00254B20" w:rsidRPr="00254B20" w:rsidSect="0075416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84269"/>
    <w:multiLevelType w:val="hybridMultilevel"/>
    <w:tmpl w:val="6C8A439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C060E"/>
    <w:rsid w:val="00254B20"/>
    <w:rsid w:val="0039438C"/>
    <w:rsid w:val="00620E00"/>
    <w:rsid w:val="006E58FD"/>
    <w:rsid w:val="00744D91"/>
    <w:rsid w:val="0075416A"/>
    <w:rsid w:val="007A1BE1"/>
    <w:rsid w:val="007C18B1"/>
    <w:rsid w:val="00806F13"/>
    <w:rsid w:val="00907915"/>
    <w:rsid w:val="00D258C2"/>
    <w:rsid w:val="00DB71C1"/>
    <w:rsid w:val="00FA7CA5"/>
    <w:rsid w:val="00FC060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16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06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060E"/>
    <w:rPr>
      <w:rFonts w:ascii="Tahoma" w:hAnsi="Tahoma" w:cs="Tahoma"/>
      <w:sz w:val="16"/>
      <w:szCs w:val="16"/>
      <w:lang w:val="en-GB"/>
    </w:rPr>
  </w:style>
  <w:style w:type="paragraph" w:styleId="ListParagraph">
    <w:name w:val="List Paragraph"/>
    <w:basedOn w:val="Normal"/>
    <w:uiPriority w:val="34"/>
    <w:qFormat/>
    <w:rsid w:val="00254B20"/>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Viv\Documents\Graph%20Mer%20Ble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autoTitleDeleted val="1"/>
    <c:plotArea>
      <c:layout>
        <c:manualLayout>
          <c:layoutTarget val="inner"/>
          <c:xMode val="edge"/>
          <c:yMode val="edge"/>
          <c:x val="0.14572220472440944"/>
          <c:y val="6.2025701975932337E-2"/>
          <c:w val="0.68922582677165367"/>
          <c:h val="0.57797974545634623"/>
        </c:manualLayout>
      </c:layout>
      <c:barChart>
        <c:barDir val="col"/>
        <c:grouping val="clustered"/>
        <c:ser>
          <c:idx val="0"/>
          <c:order val="0"/>
          <c:tx>
            <c:strRef>
              <c:f>Sheet1!$C$2</c:f>
              <c:strCache>
                <c:ptCount val="1"/>
                <c:pt idx="0">
                  <c:v>Group 1</c:v>
                </c:pt>
              </c:strCache>
            </c:strRef>
          </c:tx>
          <c:cat>
            <c:strRef>
              <c:f>Sheet1!$B$3:$B$7</c:f>
              <c:strCache>
                <c:ptCount val="5"/>
                <c:pt idx="0">
                  <c:v>Field</c:v>
                </c:pt>
                <c:pt idx="1">
                  <c:v>Marsh</c:v>
                </c:pt>
                <c:pt idx="2">
                  <c:v>Bog</c:v>
                </c:pt>
                <c:pt idx="3">
                  <c:v>Ecotone</c:v>
                </c:pt>
                <c:pt idx="4">
                  <c:v>Forest</c:v>
                </c:pt>
              </c:strCache>
            </c:strRef>
          </c:cat>
          <c:val>
            <c:numRef>
              <c:f>Sheet1!$C$3:$C$7</c:f>
              <c:numCache>
                <c:formatCode>General</c:formatCode>
                <c:ptCount val="5"/>
                <c:pt idx="0">
                  <c:v>6.0000000000000026E-2</c:v>
                </c:pt>
                <c:pt idx="1">
                  <c:v>0</c:v>
                </c:pt>
                <c:pt idx="2">
                  <c:v>0.68</c:v>
                </c:pt>
                <c:pt idx="3">
                  <c:v>7.0000000000000021E-2</c:v>
                </c:pt>
                <c:pt idx="4">
                  <c:v>0</c:v>
                </c:pt>
              </c:numCache>
            </c:numRef>
          </c:val>
        </c:ser>
        <c:ser>
          <c:idx val="1"/>
          <c:order val="1"/>
          <c:tx>
            <c:strRef>
              <c:f>Sheet1!$D$2</c:f>
              <c:strCache>
                <c:ptCount val="1"/>
                <c:pt idx="0">
                  <c:v>Group 2</c:v>
                </c:pt>
              </c:strCache>
            </c:strRef>
          </c:tx>
          <c:cat>
            <c:strRef>
              <c:f>Sheet1!$B$3:$B$7</c:f>
              <c:strCache>
                <c:ptCount val="5"/>
                <c:pt idx="0">
                  <c:v>Field</c:v>
                </c:pt>
                <c:pt idx="1">
                  <c:v>Marsh</c:v>
                </c:pt>
                <c:pt idx="2">
                  <c:v>Bog</c:v>
                </c:pt>
                <c:pt idx="3">
                  <c:v>Ecotone</c:v>
                </c:pt>
                <c:pt idx="4">
                  <c:v>Forest</c:v>
                </c:pt>
              </c:strCache>
            </c:strRef>
          </c:cat>
          <c:val>
            <c:numRef>
              <c:f>Sheet1!$D$3:$D$7</c:f>
              <c:numCache>
                <c:formatCode>General</c:formatCode>
                <c:ptCount val="5"/>
                <c:pt idx="0">
                  <c:v>9.0000000000000024E-2</c:v>
                </c:pt>
                <c:pt idx="1">
                  <c:v>0</c:v>
                </c:pt>
                <c:pt idx="2">
                  <c:v>9.0000000000000024E-2</c:v>
                </c:pt>
                <c:pt idx="3">
                  <c:v>3.0000000000000002E-2</c:v>
                </c:pt>
                <c:pt idx="4">
                  <c:v>0</c:v>
                </c:pt>
              </c:numCache>
            </c:numRef>
          </c:val>
        </c:ser>
        <c:ser>
          <c:idx val="2"/>
          <c:order val="2"/>
          <c:tx>
            <c:strRef>
              <c:f>Sheet1!$E$2</c:f>
              <c:strCache>
                <c:ptCount val="1"/>
                <c:pt idx="0">
                  <c:v>Group 3</c:v>
                </c:pt>
              </c:strCache>
            </c:strRef>
          </c:tx>
          <c:cat>
            <c:strRef>
              <c:f>Sheet1!$B$3:$B$7</c:f>
              <c:strCache>
                <c:ptCount val="5"/>
                <c:pt idx="0">
                  <c:v>Field</c:v>
                </c:pt>
                <c:pt idx="1">
                  <c:v>Marsh</c:v>
                </c:pt>
                <c:pt idx="2">
                  <c:v>Bog</c:v>
                </c:pt>
                <c:pt idx="3">
                  <c:v>Ecotone</c:v>
                </c:pt>
                <c:pt idx="4">
                  <c:v>Forest</c:v>
                </c:pt>
              </c:strCache>
            </c:strRef>
          </c:cat>
          <c:val>
            <c:numRef>
              <c:f>Sheet1!$E$3:$E$7</c:f>
              <c:numCache>
                <c:formatCode>General</c:formatCode>
                <c:ptCount val="5"/>
                <c:pt idx="0">
                  <c:v>3.0000000000000002E-2</c:v>
                </c:pt>
                <c:pt idx="1">
                  <c:v>0</c:v>
                </c:pt>
                <c:pt idx="2">
                  <c:v>0.48000000000000015</c:v>
                </c:pt>
                <c:pt idx="3">
                  <c:v>0.12000000000000002</c:v>
                </c:pt>
                <c:pt idx="4">
                  <c:v>3.0000000000000002E-2</c:v>
                </c:pt>
              </c:numCache>
            </c:numRef>
          </c:val>
        </c:ser>
        <c:ser>
          <c:idx val="3"/>
          <c:order val="3"/>
          <c:tx>
            <c:strRef>
              <c:f>Sheet1!$F$2</c:f>
              <c:strCache>
                <c:ptCount val="1"/>
                <c:pt idx="0">
                  <c:v>Group 4</c:v>
                </c:pt>
              </c:strCache>
            </c:strRef>
          </c:tx>
          <c:cat>
            <c:strRef>
              <c:f>Sheet1!$B$3:$B$7</c:f>
              <c:strCache>
                <c:ptCount val="5"/>
                <c:pt idx="0">
                  <c:v>Field</c:v>
                </c:pt>
                <c:pt idx="1">
                  <c:v>Marsh</c:v>
                </c:pt>
                <c:pt idx="2">
                  <c:v>Bog</c:v>
                </c:pt>
                <c:pt idx="3">
                  <c:v>Ecotone</c:v>
                </c:pt>
                <c:pt idx="4">
                  <c:v>Forest</c:v>
                </c:pt>
              </c:strCache>
            </c:strRef>
          </c:cat>
          <c:val>
            <c:numRef>
              <c:f>Sheet1!$F$3:$F$7</c:f>
              <c:numCache>
                <c:formatCode>General</c:formatCode>
                <c:ptCount val="5"/>
                <c:pt idx="0">
                  <c:v>0.14000000000000001</c:v>
                </c:pt>
                <c:pt idx="1">
                  <c:v>0</c:v>
                </c:pt>
                <c:pt idx="2">
                  <c:v>0.43000000000000016</c:v>
                </c:pt>
                <c:pt idx="3">
                  <c:v>0.18000000000000008</c:v>
                </c:pt>
                <c:pt idx="4">
                  <c:v>0</c:v>
                </c:pt>
              </c:numCache>
            </c:numRef>
          </c:val>
        </c:ser>
        <c:gapWidth val="300"/>
        <c:axId val="49273472"/>
        <c:axId val="50007040"/>
      </c:barChart>
      <c:catAx>
        <c:axId val="49273472"/>
        <c:scaling>
          <c:orientation val="minMax"/>
        </c:scaling>
        <c:axPos val="b"/>
        <c:title>
          <c:tx>
            <c:rich>
              <a:bodyPr/>
              <a:lstStyle/>
              <a:p>
                <a:pPr>
                  <a:defRPr b="0"/>
                </a:pPr>
                <a:r>
                  <a:rPr lang="en-CA" b="0"/>
                  <a:t>Station</a:t>
                </a:r>
              </a:p>
            </c:rich>
          </c:tx>
          <c:layout>
            <c:manualLayout>
              <c:xMode val="edge"/>
              <c:yMode val="edge"/>
              <c:x val="0.44988430446194261"/>
              <c:y val="0.72763531917001023"/>
            </c:manualLayout>
          </c:layout>
        </c:title>
        <c:tickLblPos val="nextTo"/>
        <c:crossAx val="50007040"/>
        <c:crossesAt val="0"/>
        <c:auto val="1"/>
        <c:lblAlgn val="ctr"/>
        <c:lblOffset val="100"/>
      </c:catAx>
      <c:valAx>
        <c:axId val="50007040"/>
        <c:scaling>
          <c:orientation val="minMax"/>
        </c:scaling>
        <c:axPos val="l"/>
        <c:title>
          <c:tx>
            <c:rich>
              <a:bodyPr/>
              <a:lstStyle/>
              <a:p>
                <a:pPr>
                  <a:defRPr b="0"/>
                </a:pPr>
                <a:r>
                  <a:rPr lang="en-CA" b="0"/>
                  <a:t>Incidence (Observations /Group Size)</a:t>
                </a:r>
              </a:p>
            </c:rich>
          </c:tx>
        </c:title>
        <c:numFmt formatCode="General" sourceLinked="1"/>
        <c:tickLblPos val="nextTo"/>
        <c:crossAx val="49273472"/>
        <c:crosses val="autoZero"/>
        <c:crossBetween val="between"/>
        <c:majorUnit val="0.2"/>
      </c:valAx>
    </c:plotArea>
    <c:legend>
      <c:legendPos val="r"/>
    </c:legend>
    <c:plotVisOnly val="1"/>
  </c:chart>
  <c:spPr>
    <a:noFill/>
    <a:ln w="0">
      <a:noFill/>
    </a:ln>
  </c:spPr>
  <c:externalData r:id="rId1"/>
  <c:userShapes r:id="rId2"/>
</c:chartSpace>
</file>

<file path=word/drawings/drawing1.xml><?xml version="1.0" encoding="utf-8"?>
<c:userShapes xmlns:c="http://schemas.openxmlformats.org/drawingml/2006/chart">
  <cdr:relSizeAnchor xmlns:cdr="http://schemas.openxmlformats.org/drawingml/2006/chartDrawing">
    <cdr:from>
      <cdr:x>0.85173</cdr:x>
      <cdr:y>0.84103</cdr:y>
    </cdr:from>
    <cdr:to>
      <cdr:x>0.97364</cdr:x>
      <cdr:y>0.91026</cdr:y>
    </cdr:to>
    <cdr:sp macro="" textlink="">
      <cdr:nvSpPr>
        <cdr:cNvPr id="2" name="TextBox 1"/>
        <cdr:cNvSpPr txBox="1"/>
      </cdr:nvSpPr>
      <cdr:spPr>
        <a:xfrm xmlns:a="http://schemas.openxmlformats.org/drawingml/2006/main">
          <a:off x="3939540" y="2499360"/>
          <a:ext cx="563880" cy="2057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CA" sz="1100"/>
        </a:p>
      </cdr:txBody>
    </cdr:sp>
  </cdr:relSizeAnchor>
  <cdr:relSizeAnchor xmlns:cdr="http://schemas.openxmlformats.org/drawingml/2006/chartDrawing">
    <cdr:from>
      <cdr:x>0.3088</cdr:x>
      <cdr:y>0.93043</cdr:y>
    </cdr:from>
    <cdr:to>
      <cdr:x>0.6608</cdr:x>
      <cdr:y>0.99565</cdr:y>
    </cdr:to>
    <cdr:sp macro="" textlink="">
      <cdr:nvSpPr>
        <cdr:cNvPr id="3" name="TextBox 2"/>
        <cdr:cNvSpPr txBox="1"/>
      </cdr:nvSpPr>
      <cdr:spPr>
        <a:xfrm xmlns:a="http://schemas.openxmlformats.org/drawingml/2006/main">
          <a:off x="1470660" y="3261360"/>
          <a:ext cx="1676400"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CA" sz="1100"/>
        </a:p>
      </cdr:txBody>
    </cdr:sp>
  </cdr:relSizeAnchor>
  <cdr:relSizeAnchor xmlns:cdr="http://schemas.openxmlformats.org/drawingml/2006/chartDrawing">
    <cdr:from>
      <cdr:x>0.1584</cdr:x>
      <cdr:y>0.78868</cdr:y>
    </cdr:from>
    <cdr:to>
      <cdr:x>0.8576</cdr:x>
      <cdr:y>0.96792</cdr:y>
    </cdr:to>
    <cdr:sp macro="" textlink="">
      <cdr:nvSpPr>
        <cdr:cNvPr id="4" name="TextBox 3"/>
        <cdr:cNvSpPr txBox="1"/>
      </cdr:nvSpPr>
      <cdr:spPr>
        <a:xfrm xmlns:a="http://schemas.openxmlformats.org/drawingml/2006/main">
          <a:off x="754380" y="3185160"/>
          <a:ext cx="3329940" cy="723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CA" sz="900"/>
            <a:t>Distrubution of Chamaedaphne Calycultata at Mer Bleu by ecozone,</a:t>
          </a:r>
          <a:r>
            <a:rPr lang="en-CA" sz="900" baseline="0"/>
            <a:t> and by observing group. Incidence calculated by dividing frequency of observations by group size. Observations conducted individulally in five by two meter plots.</a:t>
          </a:r>
          <a:endParaRPr lang="en-CA" sz="9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dc:creator>
  <cp:lastModifiedBy>Viv</cp:lastModifiedBy>
  <cp:revision>2</cp:revision>
  <dcterms:created xsi:type="dcterms:W3CDTF">2014-11-18T12:52:00Z</dcterms:created>
  <dcterms:modified xsi:type="dcterms:W3CDTF">2014-11-18T12:52:00Z</dcterms:modified>
</cp:coreProperties>
</file>