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008B9C" w14:textId="77777777" w:rsidR="00D335B7" w:rsidRPr="00F576CE" w:rsidRDefault="00E47D9E" w:rsidP="004B3C57">
      <w:pPr>
        <w:spacing w:line="480" w:lineRule="auto"/>
        <w:ind w:left="-284" w:right="-291"/>
        <w:jc w:val="center"/>
        <w:rPr>
          <w:rFonts w:ascii="Helvetica" w:hAnsi="Helvetica"/>
        </w:rPr>
      </w:pPr>
      <w:bookmarkStart w:id="0" w:name="_GoBack"/>
      <w:r w:rsidRPr="00F576CE">
        <w:rPr>
          <w:rFonts w:ascii="Helvetica" w:hAnsi="Helvetica"/>
        </w:rPr>
        <w:t xml:space="preserve">Essay Assignment </w:t>
      </w:r>
    </w:p>
    <w:p w14:paraId="37F8B9BD" w14:textId="77777777" w:rsidR="00E47D9E" w:rsidRPr="00F576CE" w:rsidRDefault="00E47D9E" w:rsidP="004B3C57">
      <w:pPr>
        <w:spacing w:line="480" w:lineRule="auto"/>
        <w:ind w:left="-284" w:right="-291"/>
        <w:rPr>
          <w:rFonts w:ascii="Helvetica" w:hAnsi="Helvetica" w:cs="Baskerville Semibold"/>
        </w:rPr>
      </w:pPr>
      <w:r w:rsidRPr="00F576CE">
        <w:rPr>
          <w:rFonts w:ascii="Helvetica" w:hAnsi="Helvetica"/>
        </w:rPr>
        <w:tab/>
        <w:t xml:space="preserve">“Law, </w:t>
      </w:r>
      <w:r w:rsidRPr="00F576CE">
        <w:rPr>
          <w:rFonts w:ascii="Helvetica" w:hAnsi="Helvetica" w:cs="Baskerville Semibold"/>
        </w:rPr>
        <w:t>the system of rules that a particular country or community recognizes as regulating the actions of its members and may enforce by the imposition of penalties.”</w:t>
      </w:r>
    </w:p>
    <w:p w14:paraId="5BFA47DF" w14:textId="07C6A81C" w:rsidR="00E47D9E" w:rsidRPr="00F576CE" w:rsidRDefault="00524A54" w:rsidP="004B3C57">
      <w:pPr>
        <w:spacing w:line="480" w:lineRule="auto"/>
        <w:ind w:left="-284" w:right="-291"/>
        <w:rPr>
          <w:rFonts w:ascii="Helvetica" w:hAnsi="Helvetica" w:cs="Baskerville Semibold"/>
        </w:rPr>
      </w:pPr>
      <w:r w:rsidRPr="00F576CE">
        <w:rPr>
          <w:rFonts w:ascii="Helvetica" w:hAnsi="Helvetica" w:cs="Baskerville Semibold"/>
        </w:rPr>
        <w:tab/>
      </w:r>
      <w:r w:rsidR="00A51B43">
        <w:rPr>
          <w:rFonts w:ascii="Helvetica" w:hAnsi="Helvetica" w:cs="Baskerville Semibold"/>
        </w:rPr>
        <w:tab/>
      </w:r>
      <w:r w:rsidRPr="00F576CE">
        <w:rPr>
          <w:rFonts w:ascii="Helvetica" w:hAnsi="Helvetica" w:cs="Baskerville Semibold"/>
        </w:rPr>
        <w:t>That previous definition</w:t>
      </w:r>
      <w:r w:rsidR="00E47D9E" w:rsidRPr="00F576CE">
        <w:rPr>
          <w:rFonts w:ascii="Helvetica" w:hAnsi="Helvetica" w:cs="Baskerville Semibold"/>
        </w:rPr>
        <w:t xml:space="preserve"> summarizes the function of law in general, but, as seen in those two cases, we can </w:t>
      </w:r>
      <w:r w:rsidRPr="00F576CE">
        <w:rPr>
          <w:rFonts w:ascii="Helvetica" w:hAnsi="Helvetica" w:cs="Baskerville Semibold"/>
        </w:rPr>
        <w:t>understand</w:t>
      </w:r>
      <w:r w:rsidR="00E47D9E" w:rsidRPr="00F576CE">
        <w:rPr>
          <w:rFonts w:ascii="Helvetica" w:hAnsi="Helvetica" w:cs="Baskerville Semibold"/>
        </w:rPr>
        <w:t xml:space="preserve"> that it can be applied in multiple ways.</w:t>
      </w:r>
      <w:r w:rsidR="00AE0157" w:rsidRPr="00F576CE">
        <w:rPr>
          <w:rFonts w:ascii="Helvetica" w:hAnsi="Helvetica" w:cs="Baskerville Semibold"/>
        </w:rPr>
        <w:t xml:space="preserve"> Each</w:t>
      </w:r>
      <w:r w:rsidR="00A4749C">
        <w:rPr>
          <w:rFonts w:ascii="Helvetica" w:hAnsi="Helvetica" w:cs="Baskerville Semibold"/>
        </w:rPr>
        <w:t>,</w:t>
      </w:r>
      <w:r w:rsidR="00AE0157" w:rsidRPr="00F576CE">
        <w:rPr>
          <w:rFonts w:ascii="Helvetica" w:hAnsi="Helvetica" w:cs="Baskerville Semibold"/>
        </w:rPr>
        <w:t xml:space="preserve"> with there own way of </w:t>
      </w:r>
      <w:r w:rsidR="00B44D8D" w:rsidRPr="00F576CE">
        <w:rPr>
          <w:rFonts w:ascii="Helvetica" w:hAnsi="Helvetica" w:cs="Baskerville Semibold"/>
        </w:rPr>
        <w:t>ruling</w:t>
      </w:r>
      <w:r w:rsidR="00A4749C">
        <w:rPr>
          <w:rFonts w:ascii="Helvetica" w:hAnsi="Helvetica" w:cs="Baskerville Semibold"/>
        </w:rPr>
        <w:t>,</w:t>
      </w:r>
      <w:r w:rsidR="00AE0157" w:rsidRPr="00F576CE">
        <w:rPr>
          <w:rFonts w:ascii="Helvetica" w:hAnsi="Helvetica" w:cs="Baskerville Semibold"/>
        </w:rPr>
        <w:t xml:space="preserve"> and there own sets of laws that define them. </w:t>
      </w:r>
      <w:r w:rsidR="00B44D8D" w:rsidRPr="00F576CE">
        <w:rPr>
          <w:rFonts w:ascii="Helvetica" w:hAnsi="Helvetica" w:cs="Baskerville Semibold"/>
        </w:rPr>
        <w:t>One is not ne</w:t>
      </w:r>
      <w:r w:rsidR="00A4749C">
        <w:rPr>
          <w:rFonts w:ascii="Helvetica" w:hAnsi="Helvetica" w:cs="Baskerville Semibold"/>
        </w:rPr>
        <w:t>cessarily better than the other</w:t>
      </w:r>
      <w:r w:rsidR="00B44D8D" w:rsidRPr="00F576CE">
        <w:rPr>
          <w:rFonts w:ascii="Helvetica" w:hAnsi="Helvetica" w:cs="Baskerville Semibold"/>
        </w:rPr>
        <w:t xml:space="preserve"> but</w:t>
      </w:r>
      <w:r w:rsidR="00A4749C">
        <w:rPr>
          <w:rFonts w:ascii="Helvetica" w:hAnsi="Helvetica" w:cs="Baskerville Semibold"/>
        </w:rPr>
        <w:t>,</w:t>
      </w:r>
      <w:r w:rsidR="00B44D8D" w:rsidRPr="00F576CE">
        <w:rPr>
          <w:rFonts w:ascii="Helvetica" w:hAnsi="Helvetica" w:cs="Baskerville Semibold"/>
        </w:rPr>
        <w:t xml:space="preserve"> they each have their pros and cons and depending on the case, like we will see further on, being judged in either or</w:t>
      </w:r>
      <w:r w:rsidR="008D7587">
        <w:rPr>
          <w:rFonts w:ascii="Helvetica" w:hAnsi="Helvetica" w:cs="Baskerville Semibold"/>
        </w:rPr>
        <w:t>,</w:t>
      </w:r>
      <w:r w:rsidR="00B44D8D" w:rsidRPr="00F576CE">
        <w:rPr>
          <w:rFonts w:ascii="Helvetica" w:hAnsi="Helvetica" w:cs="Baskerville Semibold"/>
        </w:rPr>
        <w:t xml:space="preserve"> could make a difference in the outcome. </w:t>
      </w:r>
      <w:r w:rsidR="008D7587">
        <w:rPr>
          <w:rFonts w:ascii="Helvetica" w:hAnsi="Helvetica" w:cs="Baskerville Semibold"/>
        </w:rPr>
        <w:t>Is b</w:t>
      </w:r>
      <w:r w:rsidR="00B44D8D" w:rsidRPr="00F576CE">
        <w:rPr>
          <w:rFonts w:ascii="Helvetica" w:hAnsi="Helvetica" w:cs="Baskerville Semibold"/>
        </w:rPr>
        <w:t xml:space="preserve">eing more practical and reactive better or worse than being theoretical and proactive? That is what is going to be demonstrated in the following pages. </w:t>
      </w:r>
    </w:p>
    <w:p w14:paraId="2BA42967" w14:textId="4FE05FA9" w:rsidR="009738E9" w:rsidRPr="00F576CE" w:rsidRDefault="00E47D9E" w:rsidP="004B3C57">
      <w:pPr>
        <w:spacing w:line="480" w:lineRule="auto"/>
        <w:ind w:left="-284" w:right="-291" w:firstLine="1004"/>
        <w:rPr>
          <w:rFonts w:ascii="Helvetica" w:hAnsi="Helvetica" w:cs="Baskerville Semibold"/>
        </w:rPr>
      </w:pPr>
      <w:r w:rsidRPr="00F576CE">
        <w:rPr>
          <w:rFonts w:ascii="Helvetica" w:hAnsi="Helvetica" w:cs="Baskerville Semibold"/>
        </w:rPr>
        <w:t>Common law, being the system</w:t>
      </w:r>
      <w:r w:rsidRPr="00F576CE">
        <w:rPr>
          <w:rFonts w:ascii="Helvetica" w:hAnsi="Helvetica" w:cs="Baskerville Semibold"/>
          <w:color w:val="FF0000"/>
        </w:rPr>
        <w:t xml:space="preserve"> </w:t>
      </w:r>
      <w:r w:rsidR="00524A54" w:rsidRPr="00F576CE">
        <w:rPr>
          <w:rFonts w:ascii="Helvetica" w:hAnsi="Helvetica" w:cs="Baskerville Semibold"/>
        </w:rPr>
        <w:t>used in the</w:t>
      </w:r>
      <w:r w:rsidRPr="00F576CE">
        <w:rPr>
          <w:rFonts w:ascii="Helvetica" w:hAnsi="Helvetica" w:cs="Baskerville Semibold"/>
        </w:rPr>
        <w:t xml:space="preserve"> Kaye v. Robertson case, is applied in The United Kingdom. This system</w:t>
      </w:r>
      <w:r w:rsidR="00381D75" w:rsidRPr="00F576CE">
        <w:rPr>
          <w:rFonts w:ascii="Helvetica" w:hAnsi="Helvetica" w:cs="Baskerville Semibold"/>
        </w:rPr>
        <w:t>,</w:t>
      </w:r>
      <w:r w:rsidRPr="00F576CE">
        <w:rPr>
          <w:rFonts w:ascii="Helvetica" w:hAnsi="Helvetica" w:cs="Baskerville Semibold"/>
        </w:rPr>
        <w:t xml:space="preserve"> being </w:t>
      </w:r>
      <w:r w:rsidR="00381D75" w:rsidRPr="00F576CE">
        <w:rPr>
          <w:rFonts w:ascii="Helvetica" w:hAnsi="Helvetica" w:cs="Baskerville Semibold"/>
        </w:rPr>
        <w:t>one</w:t>
      </w:r>
      <w:r w:rsidR="00580868" w:rsidRPr="00F576CE">
        <w:rPr>
          <w:rFonts w:ascii="Helvetica" w:hAnsi="Helvetica" w:cs="Baskerville Semibold"/>
        </w:rPr>
        <w:t>,</w:t>
      </w:r>
      <w:r w:rsidR="00381D75" w:rsidRPr="00F576CE">
        <w:rPr>
          <w:rFonts w:ascii="Helvetica" w:hAnsi="Helvetica" w:cs="Baskerville Semibold"/>
        </w:rPr>
        <w:t xml:space="preserve"> where the law is </w:t>
      </w:r>
      <w:r w:rsidR="00524A54" w:rsidRPr="00F576CE">
        <w:rPr>
          <w:rFonts w:ascii="Helvetica" w:hAnsi="Helvetica" w:cs="Baskerville Semibold"/>
        </w:rPr>
        <w:t>founded on precedents,</w:t>
      </w:r>
      <w:r w:rsidR="00381D75" w:rsidRPr="00F576CE">
        <w:rPr>
          <w:rFonts w:ascii="Helvetica" w:hAnsi="Helvetica" w:cs="Baskerville Semibold"/>
        </w:rPr>
        <w:t xml:space="preserve"> meaning that all judgments are based </w:t>
      </w:r>
      <w:r w:rsidR="00524A54" w:rsidRPr="00F576CE">
        <w:rPr>
          <w:rFonts w:ascii="Helvetica" w:hAnsi="Helvetica" w:cs="Baskerville Semibold"/>
        </w:rPr>
        <w:t xml:space="preserve">on </w:t>
      </w:r>
      <w:r w:rsidR="00381D75" w:rsidRPr="00F576CE">
        <w:rPr>
          <w:rFonts w:ascii="Helvetica" w:hAnsi="Helvetica" w:cs="Baskerville Semibold"/>
        </w:rPr>
        <w:t xml:space="preserve">decisions from anterior cases. </w:t>
      </w:r>
      <w:r w:rsidR="00524A54" w:rsidRPr="00F576CE">
        <w:rPr>
          <w:rFonts w:ascii="Helvetica" w:hAnsi="Helvetica" w:cs="Baskerville Semibold"/>
        </w:rPr>
        <w:t xml:space="preserve">The law is in the judges’ decision. </w:t>
      </w:r>
      <w:r w:rsidR="00AE0157" w:rsidRPr="00F576CE">
        <w:rPr>
          <w:rFonts w:ascii="Helvetica" w:hAnsi="Helvetica" w:cs="Baskerville Semibold"/>
        </w:rPr>
        <w:t xml:space="preserve">Furthermore, it </w:t>
      </w:r>
      <w:r w:rsidR="00524A54" w:rsidRPr="00F576CE">
        <w:rPr>
          <w:rFonts w:ascii="Helvetica" w:hAnsi="Helvetica" w:cs="Baskerville Semibold"/>
        </w:rPr>
        <w:t xml:space="preserve">is based on facts and those facts determine the law. </w:t>
      </w:r>
      <w:r w:rsidR="00381D75" w:rsidRPr="00F576CE">
        <w:rPr>
          <w:rFonts w:ascii="Helvetica" w:hAnsi="Helvetica" w:cs="Baskerville Semibold"/>
        </w:rPr>
        <w:t xml:space="preserve">That said, no law is actually written and previous rulings are the way to obtain justice. </w:t>
      </w:r>
    </w:p>
    <w:p w14:paraId="32C9FDC1" w14:textId="175560D5" w:rsidR="00AE0157" w:rsidRPr="00F576CE" w:rsidRDefault="00381D75" w:rsidP="004B3C57">
      <w:pPr>
        <w:spacing w:line="480" w:lineRule="auto"/>
        <w:ind w:left="-284" w:right="-291" w:firstLine="1004"/>
        <w:rPr>
          <w:rFonts w:ascii="Helvetica" w:hAnsi="Helvetica" w:cs="Baskerville Semibold"/>
        </w:rPr>
      </w:pPr>
      <w:r w:rsidRPr="00F576CE">
        <w:rPr>
          <w:rFonts w:ascii="Helvetica" w:hAnsi="Helvetica" w:cs="Baskerville Semibold"/>
        </w:rPr>
        <w:t xml:space="preserve">On the other hand, there is Civil Law, which is applied in France, which is used during the </w:t>
      </w:r>
      <w:r w:rsidR="00FC7C2B" w:rsidRPr="00F576CE">
        <w:rPr>
          <w:rFonts w:ascii="Helvetica" w:hAnsi="Helvetica" w:cs="Baskerville Semibold"/>
        </w:rPr>
        <w:t>Mitterrand</w:t>
      </w:r>
      <w:r w:rsidRPr="00F576CE">
        <w:rPr>
          <w:rFonts w:ascii="Helvetica" w:hAnsi="Helvetica" w:cs="Baskerville Semibold"/>
        </w:rPr>
        <w:t xml:space="preserve"> v. Gubler case. </w:t>
      </w:r>
      <w:r w:rsidR="00524A54" w:rsidRPr="00F576CE">
        <w:rPr>
          <w:rFonts w:ascii="Helvetica" w:hAnsi="Helvetica" w:cs="Baskerville Semibold"/>
        </w:rPr>
        <w:t xml:space="preserve">In Civil Law the rules are </w:t>
      </w:r>
      <w:r w:rsidR="00646D7D" w:rsidRPr="00F576CE">
        <w:rPr>
          <w:rFonts w:ascii="Helvetica" w:hAnsi="Helvetica" w:cs="Baskerville Semibold"/>
        </w:rPr>
        <w:t>all put together in a book of laws calle</w:t>
      </w:r>
      <w:r w:rsidR="00A4749C">
        <w:rPr>
          <w:rFonts w:ascii="Helvetica" w:hAnsi="Helvetica" w:cs="Baskerville Semibold"/>
        </w:rPr>
        <w:t>d the Code Civil. The people</w:t>
      </w:r>
      <w:r w:rsidR="00646D7D" w:rsidRPr="00F576CE">
        <w:rPr>
          <w:rFonts w:ascii="Helvetica" w:hAnsi="Helvetica" w:cs="Baskerville Semibold"/>
        </w:rPr>
        <w:t xml:space="preserve"> have </w:t>
      </w:r>
      <w:r w:rsidR="003F5FAD" w:rsidRPr="00F576CE">
        <w:rPr>
          <w:rFonts w:ascii="Helvetica" w:hAnsi="Helvetica" w:cs="Baskerville Semibold"/>
        </w:rPr>
        <w:t>their</w:t>
      </w:r>
      <w:r w:rsidR="00646D7D" w:rsidRPr="00F576CE">
        <w:rPr>
          <w:rFonts w:ascii="Helvetica" w:hAnsi="Helvetica" w:cs="Baskerville Semibold"/>
        </w:rPr>
        <w:t xml:space="preserve"> rights protect</w:t>
      </w:r>
      <w:r w:rsidR="00A4749C">
        <w:rPr>
          <w:rFonts w:ascii="Helvetica" w:hAnsi="Helvetica" w:cs="Baskerville Semibold"/>
        </w:rPr>
        <w:t>ed</w:t>
      </w:r>
      <w:r w:rsidR="00646D7D" w:rsidRPr="00F576CE">
        <w:rPr>
          <w:rFonts w:ascii="Helvetica" w:hAnsi="Helvetica" w:cs="Baskerville Semibold"/>
        </w:rPr>
        <w:t xml:space="preserve"> with rules that are set by legislature</w:t>
      </w:r>
      <w:r w:rsidR="00A4749C">
        <w:rPr>
          <w:rFonts w:ascii="Helvetica" w:hAnsi="Helvetica" w:cs="Baskerville Semibold"/>
        </w:rPr>
        <w:t>,</w:t>
      </w:r>
      <w:r w:rsidR="00646D7D" w:rsidRPr="00F576CE">
        <w:rPr>
          <w:rFonts w:ascii="Helvetica" w:hAnsi="Helvetica" w:cs="Baskerville Semibold"/>
        </w:rPr>
        <w:t xml:space="preserve"> and the judge is there to apply them. In that case</w:t>
      </w:r>
      <w:r w:rsidR="00A4749C">
        <w:rPr>
          <w:rFonts w:ascii="Helvetica" w:hAnsi="Helvetica" w:cs="Baskerville Semibold"/>
        </w:rPr>
        <w:t>,</w:t>
      </w:r>
      <w:r w:rsidR="00646D7D" w:rsidRPr="00F576CE">
        <w:rPr>
          <w:rFonts w:ascii="Helvetica" w:hAnsi="Helvetica" w:cs="Baskerville Semibold"/>
        </w:rPr>
        <w:t xml:space="preserve"> law is </w:t>
      </w:r>
      <w:r w:rsidR="00646D7D" w:rsidRPr="00F576CE">
        <w:rPr>
          <w:rFonts w:ascii="Helvetica" w:hAnsi="Helvetica" w:cs="Baskerville Semibold"/>
        </w:rPr>
        <w:lastRenderedPageBreak/>
        <w:t xml:space="preserve">rigid and must be followed by the letter. However it can be subject to </w:t>
      </w:r>
      <w:r w:rsidR="003F5FAD" w:rsidRPr="00F576CE">
        <w:rPr>
          <w:rFonts w:ascii="Helvetica" w:hAnsi="Helvetica" w:cs="Baskerville Semibold"/>
        </w:rPr>
        <w:t xml:space="preserve">the interpretation of each </w:t>
      </w:r>
      <w:r w:rsidR="005D04A4" w:rsidRPr="00F576CE">
        <w:rPr>
          <w:rFonts w:ascii="Helvetica" w:hAnsi="Helvetica" w:cs="Baskerville Semibold"/>
        </w:rPr>
        <w:t>judge</w:t>
      </w:r>
      <w:r w:rsidR="003F5FAD" w:rsidRPr="00F576CE">
        <w:rPr>
          <w:rFonts w:ascii="Helvetica" w:hAnsi="Helvetica" w:cs="Baskerville Semibold"/>
        </w:rPr>
        <w:t>, because the rules are written in a way that the general sense is clear but leave</w:t>
      </w:r>
      <w:r w:rsidR="00F71ABA" w:rsidRPr="00F576CE">
        <w:rPr>
          <w:rFonts w:ascii="Helvetica" w:hAnsi="Helvetica" w:cs="Baskerville Semibold"/>
        </w:rPr>
        <w:t>s</w:t>
      </w:r>
      <w:r w:rsidR="003F5FAD" w:rsidRPr="00F576CE">
        <w:rPr>
          <w:rFonts w:ascii="Helvetica" w:hAnsi="Helvetica" w:cs="Baskerville Semibold"/>
        </w:rPr>
        <w:t xml:space="preserve"> place for the judges</w:t>
      </w:r>
      <w:r w:rsidR="00F71ABA" w:rsidRPr="00F576CE">
        <w:rPr>
          <w:rFonts w:ascii="Helvetica" w:hAnsi="Helvetica" w:cs="Baskerville Semibold"/>
        </w:rPr>
        <w:t>’</w:t>
      </w:r>
      <w:r w:rsidR="003F5FAD" w:rsidRPr="00F576CE">
        <w:rPr>
          <w:rFonts w:ascii="Helvetica" w:hAnsi="Helvetica" w:cs="Baskerville Semibold"/>
        </w:rPr>
        <w:t xml:space="preserve"> own opinion as well. </w:t>
      </w:r>
    </w:p>
    <w:p w14:paraId="0A18B001" w14:textId="10655A10" w:rsidR="00AE0157" w:rsidRPr="00F576CE" w:rsidRDefault="00AE0157" w:rsidP="004B3C57">
      <w:pPr>
        <w:spacing w:line="480" w:lineRule="auto"/>
        <w:ind w:left="-284" w:right="-291"/>
        <w:rPr>
          <w:rFonts w:ascii="Helvetica" w:hAnsi="Helvetica"/>
        </w:rPr>
      </w:pPr>
      <w:r w:rsidRPr="00F576CE">
        <w:rPr>
          <w:rFonts w:ascii="Helvetica" w:hAnsi="Helvetica"/>
        </w:rPr>
        <w:tab/>
      </w:r>
      <w:r w:rsidR="00B44D8D" w:rsidRPr="00F576CE">
        <w:rPr>
          <w:rFonts w:ascii="Helvetica" w:hAnsi="Helvetica"/>
        </w:rPr>
        <w:tab/>
        <w:t>Kaye v. Robertson, a case in 19</w:t>
      </w:r>
      <w:r w:rsidR="004A4F33" w:rsidRPr="00F576CE">
        <w:rPr>
          <w:rFonts w:ascii="Helvetica" w:hAnsi="Helvetica"/>
        </w:rPr>
        <w:t>90</w:t>
      </w:r>
      <w:r w:rsidR="00B44D8D" w:rsidRPr="00F576CE">
        <w:rPr>
          <w:rFonts w:ascii="Helvetica" w:hAnsi="Helvetica"/>
        </w:rPr>
        <w:t xml:space="preserve"> England, was set to debate if </w:t>
      </w:r>
      <w:r w:rsidR="004A4F33" w:rsidRPr="00F576CE">
        <w:rPr>
          <w:rFonts w:ascii="Helvetica" w:hAnsi="Helvetica"/>
        </w:rPr>
        <w:t xml:space="preserve">Drew Robertson and Sports Newspapers, </w:t>
      </w:r>
      <w:r w:rsidR="00B44D8D" w:rsidRPr="00F576CE">
        <w:rPr>
          <w:rFonts w:ascii="Helvetica" w:hAnsi="Helvetica"/>
        </w:rPr>
        <w:t xml:space="preserve">violated the right to privacy of </w:t>
      </w:r>
      <w:r w:rsidR="004A4F33" w:rsidRPr="00F576CE">
        <w:rPr>
          <w:rFonts w:ascii="Helvetica" w:hAnsi="Helvetica"/>
        </w:rPr>
        <w:t>Gorden Kaye.</w:t>
      </w:r>
      <w:r w:rsidR="00B44D8D" w:rsidRPr="00F576CE">
        <w:rPr>
          <w:rFonts w:ascii="Helvetica" w:hAnsi="Helvetica"/>
        </w:rPr>
        <w:t xml:space="preserve"> In that trial</w:t>
      </w:r>
      <w:r w:rsidR="004A4F33" w:rsidRPr="00F576CE">
        <w:rPr>
          <w:rFonts w:ascii="Helvetica" w:hAnsi="Helvetica"/>
        </w:rPr>
        <w:t>,</w:t>
      </w:r>
      <w:r w:rsidR="00B44D8D" w:rsidRPr="00F576CE">
        <w:rPr>
          <w:rFonts w:ascii="Helvetica" w:hAnsi="Helvetica"/>
        </w:rPr>
        <w:t xml:space="preserve"> </w:t>
      </w:r>
      <w:r w:rsidR="004A4F33" w:rsidRPr="00F576CE">
        <w:rPr>
          <w:rFonts w:ascii="Helvetica" w:hAnsi="Helvetica"/>
        </w:rPr>
        <w:t xml:space="preserve">his “theatrical agent and friend” (Kaye v. Robertson and Another, p63), </w:t>
      </w:r>
      <w:r w:rsidR="00FC7C2B" w:rsidRPr="00F576CE">
        <w:rPr>
          <w:rFonts w:ascii="Helvetica" w:hAnsi="Helvetica"/>
        </w:rPr>
        <w:t>Mr.</w:t>
      </w:r>
      <w:r w:rsidR="004A4F33" w:rsidRPr="00F576CE">
        <w:rPr>
          <w:rFonts w:ascii="Helvetica" w:hAnsi="Helvetica"/>
        </w:rPr>
        <w:t xml:space="preserve"> Peter Froggatt represented </w:t>
      </w:r>
      <w:r w:rsidR="00FC7C2B" w:rsidRPr="00F576CE">
        <w:rPr>
          <w:rFonts w:ascii="Helvetica" w:hAnsi="Helvetica"/>
        </w:rPr>
        <w:t>Mr.</w:t>
      </w:r>
      <w:r w:rsidR="004A4F33" w:rsidRPr="00F576CE">
        <w:rPr>
          <w:rFonts w:ascii="Helvetica" w:hAnsi="Helvetica"/>
        </w:rPr>
        <w:t xml:space="preserve"> Kaye.</w:t>
      </w:r>
    </w:p>
    <w:p w14:paraId="7024D680" w14:textId="284B9448" w:rsidR="00B44D8D" w:rsidRPr="00F576CE" w:rsidRDefault="007017E1" w:rsidP="007017E1">
      <w:pPr>
        <w:spacing w:line="480" w:lineRule="auto"/>
        <w:ind w:left="-284" w:right="-291" w:firstLine="1004"/>
        <w:rPr>
          <w:rFonts w:ascii="Helvetica" w:hAnsi="Helvetica"/>
        </w:rPr>
      </w:pPr>
      <w:r>
        <w:rPr>
          <w:rFonts w:ascii="Helvetica" w:hAnsi="Helvetica"/>
        </w:rPr>
        <w:t xml:space="preserve"> T</w:t>
      </w:r>
      <w:r w:rsidR="00A62088" w:rsidRPr="00F576CE">
        <w:rPr>
          <w:rFonts w:ascii="Helvetica" w:hAnsi="Helvetica"/>
        </w:rPr>
        <w:t xml:space="preserve">he plaintiff, a famous </w:t>
      </w:r>
      <w:r w:rsidR="00F718DC" w:rsidRPr="00F576CE">
        <w:rPr>
          <w:rFonts w:ascii="Helvetica" w:hAnsi="Helvetica"/>
        </w:rPr>
        <w:t>actor, was</w:t>
      </w:r>
      <w:r w:rsidR="00A62088" w:rsidRPr="00F576CE">
        <w:rPr>
          <w:rFonts w:ascii="Helvetica" w:hAnsi="Helvetica"/>
        </w:rPr>
        <w:t xml:space="preserve"> </w:t>
      </w:r>
      <w:r w:rsidR="007B5C02" w:rsidRPr="00F576CE">
        <w:rPr>
          <w:rFonts w:ascii="Helvetica" w:hAnsi="Helvetica"/>
        </w:rPr>
        <w:t>hospitalized</w:t>
      </w:r>
      <w:r w:rsidR="00A62088" w:rsidRPr="00F576CE">
        <w:rPr>
          <w:rFonts w:ascii="Helvetica" w:hAnsi="Helvetica"/>
        </w:rPr>
        <w:t xml:space="preserve"> </w:t>
      </w:r>
      <w:r w:rsidR="00CC20B0" w:rsidRPr="00F576CE">
        <w:rPr>
          <w:rFonts w:ascii="Helvetica" w:hAnsi="Helvetica"/>
        </w:rPr>
        <w:t xml:space="preserve">at Charing Cross hospital after a tragic accident, and his representative, </w:t>
      </w:r>
      <w:r w:rsidR="00FC7C2B" w:rsidRPr="00F576CE">
        <w:rPr>
          <w:rFonts w:ascii="Helvetica" w:hAnsi="Helvetica"/>
        </w:rPr>
        <w:t>Mr.</w:t>
      </w:r>
      <w:r w:rsidR="00CC20B0" w:rsidRPr="00F576CE">
        <w:rPr>
          <w:rFonts w:ascii="Helvetica" w:hAnsi="Helvetica"/>
        </w:rPr>
        <w:t xml:space="preserve"> </w:t>
      </w:r>
      <w:r w:rsidR="005D04A4" w:rsidRPr="00F576CE">
        <w:rPr>
          <w:rFonts w:ascii="Helvetica" w:hAnsi="Helvetica"/>
        </w:rPr>
        <w:t>Froggatt</w:t>
      </w:r>
      <w:r w:rsidR="00C8433D" w:rsidRPr="00F576CE">
        <w:rPr>
          <w:rFonts w:ascii="Helvetica" w:hAnsi="Helvetica"/>
        </w:rPr>
        <w:t xml:space="preserve"> decided, due to the plaintiffs condition, to not allow any visitors come to into the room. </w:t>
      </w:r>
      <w:r w:rsidR="008F166E" w:rsidRPr="00F576CE">
        <w:rPr>
          <w:rFonts w:ascii="Helvetica" w:hAnsi="Helvetica"/>
        </w:rPr>
        <w:t xml:space="preserve">Notices were posted at the entrance of the Wing and at the door of the room. </w:t>
      </w:r>
    </w:p>
    <w:p w14:paraId="6EC06F19" w14:textId="06C9A469" w:rsidR="008F166E" w:rsidRPr="00F576CE" w:rsidRDefault="008F166E" w:rsidP="004B3C57">
      <w:pPr>
        <w:spacing w:line="480" w:lineRule="auto"/>
        <w:ind w:left="-284" w:right="-291" w:firstLine="1004"/>
        <w:rPr>
          <w:rFonts w:ascii="Helvetica" w:hAnsi="Helvetica"/>
        </w:rPr>
      </w:pPr>
      <w:r w:rsidRPr="00F576CE">
        <w:rPr>
          <w:rFonts w:ascii="Helvetica" w:hAnsi="Helvetica"/>
        </w:rPr>
        <w:t xml:space="preserve">However, the Sports Newspapers journalist and photograph still managed to ignore those notices and interview the plaintiff, with the purpose of making the </w:t>
      </w:r>
      <w:r w:rsidR="00516632" w:rsidRPr="00F576CE">
        <w:rPr>
          <w:rFonts w:ascii="Helvetica" w:hAnsi="Helvetica"/>
        </w:rPr>
        <w:t>interview the front</w:t>
      </w:r>
      <w:r w:rsidR="00580868" w:rsidRPr="00F576CE">
        <w:rPr>
          <w:rFonts w:ascii="Helvetica" w:hAnsi="Helvetica"/>
        </w:rPr>
        <w:t xml:space="preserve"> page of the</w:t>
      </w:r>
      <w:r w:rsidR="00516632" w:rsidRPr="00F576CE">
        <w:rPr>
          <w:rFonts w:ascii="Helvetica" w:hAnsi="Helvetica"/>
        </w:rPr>
        <w:t xml:space="preserve"> paper. Considering the notices that were posted</w:t>
      </w:r>
      <w:r w:rsidR="007017E1">
        <w:rPr>
          <w:rFonts w:ascii="Helvetica" w:hAnsi="Helvetica"/>
        </w:rPr>
        <w:t>,</w:t>
      </w:r>
      <w:r w:rsidR="00516632" w:rsidRPr="00F576CE">
        <w:rPr>
          <w:rFonts w:ascii="Helvetica" w:hAnsi="Helvetica"/>
        </w:rPr>
        <w:t xml:space="preserve"> no journalist had access to the story of the plaintiff</w:t>
      </w:r>
      <w:r w:rsidR="00580868" w:rsidRPr="00F576CE">
        <w:rPr>
          <w:rFonts w:ascii="Helvetica" w:hAnsi="Helvetica"/>
        </w:rPr>
        <w:t>,</w:t>
      </w:r>
      <w:r w:rsidR="00516632" w:rsidRPr="00F576CE">
        <w:rPr>
          <w:rFonts w:ascii="Helvetica" w:hAnsi="Helvetica"/>
        </w:rPr>
        <w:t xml:space="preserve"> </w:t>
      </w:r>
      <w:r w:rsidR="002B0DB2" w:rsidRPr="00F576CE">
        <w:rPr>
          <w:rFonts w:ascii="Helvetica" w:hAnsi="Helvetica"/>
        </w:rPr>
        <w:t>that “special interview” was</w:t>
      </w:r>
      <w:r w:rsidR="00580868" w:rsidRPr="00F576CE">
        <w:rPr>
          <w:rFonts w:ascii="Helvetica" w:hAnsi="Helvetica"/>
        </w:rPr>
        <w:t xml:space="preserve"> therefore</w:t>
      </w:r>
      <w:r w:rsidR="007017E1">
        <w:rPr>
          <w:rFonts w:ascii="Helvetica" w:hAnsi="Helvetica"/>
        </w:rPr>
        <w:t>,</w:t>
      </w:r>
      <w:r w:rsidR="002B0DB2" w:rsidRPr="00F576CE">
        <w:rPr>
          <w:rFonts w:ascii="Helvetica" w:hAnsi="Helvetica"/>
        </w:rPr>
        <w:t xml:space="preserve"> exclusive to Sports Newspaper. </w:t>
      </w:r>
      <w:r w:rsidR="00541CED" w:rsidRPr="00F576CE">
        <w:rPr>
          <w:rFonts w:ascii="Helvetica" w:hAnsi="Helvetica"/>
        </w:rPr>
        <w:t xml:space="preserve">In the case, the representative demonstrates </w:t>
      </w:r>
      <w:r w:rsidR="00580868" w:rsidRPr="00F576CE">
        <w:rPr>
          <w:rFonts w:ascii="Helvetica" w:hAnsi="Helvetica"/>
        </w:rPr>
        <w:t>to the judge that the plaintiff</w:t>
      </w:r>
      <w:r w:rsidR="00541CED" w:rsidRPr="00F576CE">
        <w:rPr>
          <w:rFonts w:ascii="Helvetica" w:hAnsi="Helvetica"/>
        </w:rPr>
        <w:t xml:space="preserve"> was not capable to give proper </w:t>
      </w:r>
      <w:r w:rsidR="00580868" w:rsidRPr="00F576CE">
        <w:rPr>
          <w:rFonts w:ascii="Helvetica" w:hAnsi="Helvetica"/>
        </w:rPr>
        <w:t>consentient</w:t>
      </w:r>
      <w:r w:rsidR="00541CED" w:rsidRPr="00F576CE">
        <w:rPr>
          <w:rFonts w:ascii="Helvetica" w:hAnsi="Helvetica"/>
        </w:rPr>
        <w:t xml:space="preserve"> to being interviewed and that the said interview</w:t>
      </w:r>
      <w:r w:rsidR="007017E1">
        <w:rPr>
          <w:rFonts w:ascii="Helvetica" w:hAnsi="Helvetica"/>
        </w:rPr>
        <w:t>,</w:t>
      </w:r>
      <w:r w:rsidR="00541CED" w:rsidRPr="00F576CE">
        <w:rPr>
          <w:rFonts w:ascii="Helvetica" w:hAnsi="Helvetica"/>
        </w:rPr>
        <w:t xml:space="preserve"> was a not accurate and therefore should not be published. Did these journalists breach the right to privacy of the plaintiff? </w:t>
      </w:r>
    </w:p>
    <w:p w14:paraId="55621C66" w14:textId="00B50067" w:rsidR="00541CED" w:rsidRDefault="00541CED" w:rsidP="004B3C57">
      <w:pPr>
        <w:spacing w:line="480" w:lineRule="auto"/>
        <w:ind w:left="-284" w:right="-291"/>
        <w:rPr>
          <w:rFonts w:ascii="Helvetica" w:hAnsi="Helvetica"/>
        </w:rPr>
      </w:pPr>
      <w:r w:rsidRPr="00F576CE">
        <w:rPr>
          <w:rFonts w:ascii="Helvetica" w:hAnsi="Helvetica"/>
        </w:rPr>
        <w:tab/>
      </w:r>
      <w:r w:rsidR="00A51B43">
        <w:rPr>
          <w:rFonts w:ascii="Helvetica" w:hAnsi="Helvetica"/>
        </w:rPr>
        <w:tab/>
      </w:r>
      <w:r w:rsidRPr="00F576CE">
        <w:rPr>
          <w:rFonts w:ascii="Helvetica" w:hAnsi="Helvetica"/>
        </w:rPr>
        <w:t>In England, and under common law, the notion of right to privacy does not exist, “ and according</w:t>
      </w:r>
      <w:r w:rsidR="00580868" w:rsidRPr="00F576CE">
        <w:rPr>
          <w:rFonts w:ascii="Helvetica" w:hAnsi="Helvetica"/>
        </w:rPr>
        <w:t>ly</w:t>
      </w:r>
      <w:r w:rsidR="007017E1">
        <w:rPr>
          <w:rFonts w:ascii="Helvetica" w:hAnsi="Helvetica"/>
        </w:rPr>
        <w:t>,</w:t>
      </w:r>
      <w:r w:rsidR="00580868" w:rsidRPr="00F576CE">
        <w:rPr>
          <w:rFonts w:ascii="Helvetica" w:hAnsi="Helvetica"/>
        </w:rPr>
        <w:t xml:space="preserve"> there is no right of action for breach of a person’s privacy”. (Kaye, p.66) Therefore, the plaintiffs must find another right of action do base their case on, which has been done in that case. </w:t>
      </w:r>
    </w:p>
    <w:p w14:paraId="7DB72557" w14:textId="50380080" w:rsidR="00F576CE" w:rsidRDefault="00F576CE" w:rsidP="004B3C57">
      <w:pPr>
        <w:spacing w:line="480" w:lineRule="auto"/>
        <w:ind w:left="-284" w:right="-291"/>
        <w:rPr>
          <w:rFonts w:ascii="Helvetica" w:hAnsi="Helvetica"/>
        </w:rPr>
      </w:pPr>
      <w:r>
        <w:rPr>
          <w:rFonts w:ascii="Helvetica" w:hAnsi="Helvetica"/>
        </w:rPr>
        <w:t>Malicious falsehood, being one of the rights of actions appropriate</w:t>
      </w:r>
      <w:r w:rsidR="00BC4D71">
        <w:rPr>
          <w:rFonts w:ascii="Helvetica" w:hAnsi="Helvetica"/>
        </w:rPr>
        <w:t>,</w:t>
      </w:r>
      <w:r>
        <w:rPr>
          <w:rFonts w:ascii="Helvetica" w:hAnsi="Helvetica"/>
        </w:rPr>
        <w:t xml:space="preserve"> was used in this case, and the judges found that the proof provided to them by both parties came to prove that there were</w:t>
      </w:r>
      <w:r w:rsidR="007017E1">
        <w:rPr>
          <w:rFonts w:ascii="Helvetica" w:hAnsi="Helvetica"/>
        </w:rPr>
        <w:t xml:space="preserve">, in fact, </w:t>
      </w:r>
      <w:r>
        <w:rPr>
          <w:rFonts w:ascii="Helvetica" w:hAnsi="Helvetica"/>
        </w:rPr>
        <w:t xml:space="preserve">wrongful claims made about the plaintiff. </w:t>
      </w:r>
      <w:r w:rsidR="00FC7C2B">
        <w:rPr>
          <w:rFonts w:ascii="Helvetica" w:hAnsi="Helvetica"/>
        </w:rPr>
        <w:t xml:space="preserve"> Malicious falsehoods being that the defendants report</w:t>
      </w:r>
      <w:r w:rsidR="007017E1">
        <w:rPr>
          <w:rFonts w:ascii="Helvetica" w:hAnsi="Helvetica"/>
        </w:rPr>
        <w:t>ed</w:t>
      </w:r>
      <w:r w:rsidR="00FC7C2B">
        <w:rPr>
          <w:rFonts w:ascii="Helvetica" w:hAnsi="Helvetica"/>
        </w:rPr>
        <w:t xml:space="preserve"> facts that are false</w:t>
      </w:r>
      <w:r w:rsidR="007017E1">
        <w:rPr>
          <w:rFonts w:ascii="Helvetica" w:hAnsi="Helvetica"/>
        </w:rPr>
        <w:t>,</w:t>
      </w:r>
      <w:r w:rsidR="00FC7C2B">
        <w:rPr>
          <w:rFonts w:ascii="Helvetica" w:hAnsi="Helvetica"/>
        </w:rPr>
        <w:t xml:space="preserve"> or that h</w:t>
      </w:r>
      <w:r w:rsidR="007017E1">
        <w:rPr>
          <w:rFonts w:ascii="Helvetica" w:hAnsi="Helvetica"/>
        </w:rPr>
        <w:t>ave a purpose to hurt or wrong</w:t>
      </w:r>
      <w:r w:rsidR="00FC7C2B">
        <w:rPr>
          <w:rFonts w:ascii="Helvetica" w:hAnsi="Helvetica"/>
        </w:rPr>
        <w:t xml:space="preserve"> the plaintiff, which was indeed the case in this trial. The defendants knew that Mr. Kaye was not fit to give consent to an interview</w:t>
      </w:r>
      <w:r w:rsidR="007017E1">
        <w:rPr>
          <w:rFonts w:ascii="Helvetica" w:hAnsi="Helvetica"/>
        </w:rPr>
        <w:t>,</w:t>
      </w:r>
      <w:r w:rsidR="00FC7C2B">
        <w:rPr>
          <w:rFonts w:ascii="Helvetica" w:hAnsi="Helvetica"/>
        </w:rPr>
        <w:t xml:space="preserve"> and took advantage of it for their sake, in which case, according to Lord Justice Glidewell, is a proof of malice.  </w:t>
      </w:r>
    </w:p>
    <w:p w14:paraId="71B0B6DF" w14:textId="2B36C824" w:rsidR="00FC7C2B" w:rsidRDefault="00712EE5" w:rsidP="004B3C57">
      <w:pPr>
        <w:spacing w:line="480" w:lineRule="auto"/>
        <w:ind w:left="-284" w:right="-291" w:firstLine="1004"/>
        <w:rPr>
          <w:rFonts w:ascii="Helvetica" w:hAnsi="Helvetica"/>
        </w:rPr>
      </w:pPr>
      <w:r>
        <w:rPr>
          <w:rFonts w:ascii="Helvetica" w:hAnsi="Helvetica"/>
        </w:rPr>
        <w:t>In Common L</w:t>
      </w:r>
      <w:r w:rsidR="00FC7C2B">
        <w:rPr>
          <w:rFonts w:ascii="Helvetica" w:hAnsi="Helvetica"/>
        </w:rPr>
        <w:t xml:space="preserve">aw, we can see </w:t>
      </w:r>
      <w:r w:rsidR="00770D8B">
        <w:rPr>
          <w:rFonts w:ascii="Helvetica" w:hAnsi="Helvetica"/>
        </w:rPr>
        <w:t>t</w:t>
      </w:r>
      <w:r w:rsidR="009A095F">
        <w:rPr>
          <w:rFonts w:ascii="Helvetica" w:hAnsi="Helvetica"/>
        </w:rPr>
        <w:t>hat</w:t>
      </w:r>
      <w:r w:rsidR="00FC7C2B">
        <w:rPr>
          <w:rFonts w:ascii="Helvetica" w:hAnsi="Helvetica"/>
        </w:rPr>
        <w:t xml:space="preserve"> the judges</w:t>
      </w:r>
      <w:r w:rsidR="009A095F">
        <w:rPr>
          <w:rFonts w:ascii="Helvetica" w:hAnsi="Helvetica"/>
        </w:rPr>
        <w:t xml:space="preserve"> and the plaintiffs,</w:t>
      </w:r>
      <w:r w:rsidR="00FC7C2B">
        <w:rPr>
          <w:rFonts w:ascii="Helvetica" w:hAnsi="Helvetica"/>
        </w:rPr>
        <w:t xml:space="preserve"> must </w:t>
      </w:r>
      <w:r w:rsidR="009A095F">
        <w:rPr>
          <w:rFonts w:ascii="Helvetica" w:hAnsi="Helvetica"/>
        </w:rPr>
        <w:t>find something other than right to privacy, like libel or malicious falsehood, to rule on</w:t>
      </w:r>
      <w:r w:rsidR="00770D8B">
        <w:rPr>
          <w:rFonts w:ascii="Helvetica" w:hAnsi="Helvetica"/>
        </w:rPr>
        <w:t>,</w:t>
      </w:r>
      <w:r w:rsidR="009A095F">
        <w:rPr>
          <w:rFonts w:ascii="Helvetica" w:hAnsi="Helvetica"/>
        </w:rPr>
        <w:t xml:space="preserve"> or make their case, due to the lack of existence of a said precedent. However, the judges find it to be a “ failure of both the common law of England and statute to protect in an effective way the personal privacy of individual citizens.” (Kaye, p.70). If the plaintiff did not find another way to establish the wrong committed, by linking it to another right of action with enough strength and proof, the judge, considering they must rely on previous case, would have no choice but to acquit the defendants. Luckily, in the case of Kaye v. Robertson another right of action was possible but in another situation the hands of the judge would have been tied. This shows that common </w:t>
      </w:r>
      <w:r w:rsidR="0054118D">
        <w:rPr>
          <w:rFonts w:ascii="Helvetica" w:hAnsi="Helvetica"/>
        </w:rPr>
        <w:t>law, even though considered as more practical</w:t>
      </w:r>
      <w:r w:rsidR="00770D8B">
        <w:rPr>
          <w:rFonts w:ascii="Helvetica" w:hAnsi="Helvetica"/>
        </w:rPr>
        <w:t>,</w:t>
      </w:r>
      <w:r w:rsidR="0054118D">
        <w:rPr>
          <w:rFonts w:ascii="Helvetica" w:hAnsi="Helvetica"/>
        </w:rPr>
        <w:t xml:space="preserve"> does not necessarily protect the rights of its citizens as it should</w:t>
      </w:r>
      <w:r w:rsidR="00770D8B">
        <w:rPr>
          <w:rFonts w:ascii="Helvetica" w:hAnsi="Helvetica"/>
        </w:rPr>
        <w:t>,</w:t>
      </w:r>
      <w:r w:rsidR="0054118D">
        <w:rPr>
          <w:rFonts w:ascii="Helvetica" w:hAnsi="Helvetica"/>
        </w:rPr>
        <w:t xml:space="preserve"> and gives a greater lenience to wrongful acts. It may seem, due to the fact that the law is based on precedents, that judges</w:t>
      </w:r>
      <w:r w:rsidR="00770D8B">
        <w:rPr>
          <w:rFonts w:ascii="Helvetica" w:hAnsi="Helvetica"/>
        </w:rPr>
        <w:t xml:space="preserve"> have all the power over what is</w:t>
      </w:r>
      <w:r w:rsidR="0054118D">
        <w:rPr>
          <w:rFonts w:ascii="Helvetica" w:hAnsi="Helvetica"/>
        </w:rPr>
        <w:t xml:space="preserve"> right and wrong, but</w:t>
      </w:r>
      <w:r w:rsidR="00770D8B">
        <w:rPr>
          <w:rFonts w:ascii="Helvetica" w:hAnsi="Helvetica"/>
        </w:rPr>
        <w:t>,</w:t>
      </w:r>
      <w:r w:rsidR="0054118D">
        <w:rPr>
          <w:rFonts w:ascii="Helvetica" w:hAnsi="Helvetica"/>
        </w:rPr>
        <w:t xml:space="preserve"> if action was not already pursued and is present in the</w:t>
      </w:r>
      <w:r w:rsidR="00770D8B">
        <w:rPr>
          <w:rFonts w:ascii="Helvetica" w:hAnsi="Helvetica"/>
        </w:rPr>
        <w:t xml:space="preserve"> archives, well, it does not exi</w:t>
      </w:r>
      <w:r w:rsidR="008D7587">
        <w:rPr>
          <w:rFonts w:ascii="Helvetica" w:hAnsi="Helvetica"/>
        </w:rPr>
        <w:t>s</w:t>
      </w:r>
      <w:r w:rsidR="00770D8B">
        <w:rPr>
          <w:rFonts w:ascii="Helvetica" w:hAnsi="Helvetica"/>
        </w:rPr>
        <w:t xml:space="preserve">t, </w:t>
      </w:r>
      <w:r w:rsidR="0054118D">
        <w:rPr>
          <w:rFonts w:ascii="Helvetica" w:hAnsi="Helvetica"/>
        </w:rPr>
        <w:t xml:space="preserve">and a judge </w:t>
      </w:r>
      <w:r w:rsidR="00C168E3">
        <w:rPr>
          <w:rFonts w:ascii="Helvetica" w:hAnsi="Helvetica"/>
        </w:rPr>
        <w:t>could not</w:t>
      </w:r>
      <w:r w:rsidR="0054118D">
        <w:rPr>
          <w:rFonts w:ascii="Helvetica" w:hAnsi="Helvetica"/>
        </w:rPr>
        <w:t xml:space="preserve"> </w:t>
      </w:r>
      <w:r w:rsidR="00C168E3">
        <w:rPr>
          <w:rFonts w:ascii="Helvetica" w:hAnsi="Helvetica"/>
        </w:rPr>
        <w:t>ordain</w:t>
      </w:r>
      <w:r w:rsidR="0054118D">
        <w:rPr>
          <w:rFonts w:ascii="Helvetica" w:hAnsi="Helvetica"/>
        </w:rPr>
        <w:t xml:space="preserve"> on something with no final ruling.  </w:t>
      </w:r>
      <w:r w:rsidR="007E7190">
        <w:rPr>
          <w:rFonts w:ascii="Helvetica" w:hAnsi="Helvetica"/>
        </w:rPr>
        <w:t>We can see that the privacy of Mr. Kaye was respected</w:t>
      </w:r>
      <w:r w:rsidR="00770D8B">
        <w:rPr>
          <w:rFonts w:ascii="Helvetica" w:hAnsi="Helvetica"/>
        </w:rPr>
        <w:t xml:space="preserve">, </w:t>
      </w:r>
      <w:r w:rsidR="007E7190">
        <w:rPr>
          <w:rFonts w:ascii="Helvetica" w:hAnsi="Helvetica"/>
        </w:rPr>
        <w:t>not naturally</w:t>
      </w:r>
      <w:r w:rsidR="00770D8B">
        <w:rPr>
          <w:rFonts w:ascii="Helvetica" w:hAnsi="Helvetica"/>
        </w:rPr>
        <w:t>,</w:t>
      </w:r>
      <w:r w:rsidR="007E7190">
        <w:rPr>
          <w:rFonts w:ascii="Helvetica" w:hAnsi="Helvetica"/>
        </w:rPr>
        <w:t xml:space="preserve"> because no legislation provided that safety</w:t>
      </w:r>
      <w:r w:rsidR="00770D8B">
        <w:rPr>
          <w:rFonts w:ascii="Helvetica" w:hAnsi="Helvetica"/>
        </w:rPr>
        <w:t>,</w:t>
      </w:r>
      <w:r w:rsidR="007E7190">
        <w:rPr>
          <w:rFonts w:ascii="Helvetica" w:hAnsi="Helvetica"/>
        </w:rPr>
        <w:t xml:space="preserve"> but due to the ability of the counselors to provide a link between rights of actions</w:t>
      </w:r>
      <w:r w:rsidR="00770D8B">
        <w:rPr>
          <w:rFonts w:ascii="Helvetica" w:hAnsi="Helvetica"/>
        </w:rPr>
        <w:t xml:space="preserve">, </w:t>
      </w:r>
      <w:r w:rsidR="007E7190">
        <w:rPr>
          <w:rFonts w:ascii="Helvetica" w:hAnsi="Helvetica"/>
        </w:rPr>
        <w:t xml:space="preserve">that were already established. </w:t>
      </w:r>
      <w:r w:rsidR="00E72EB5">
        <w:rPr>
          <w:rFonts w:ascii="Helvetica" w:hAnsi="Helvetica"/>
        </w:rPr>
        <w:t xml:space="preserve">Nevertheless, </w:t>
      </w:r>
      <w:r w:rsidR="00A86F6F">
        <w:rPr>
          <w:rFonts w:ascii="Helvetica" w:hAnsi="Helvetica"/>
        </w:rPr>
        <w:t>“the common law judge is the</w:t>
      </w:r>
      <w:r w:rsidR="0052487B">
        <w:rPr>
          <w:rFonts w:ascii="Helvetica" w:hAnsi="Helvetica"/>
        </w:rPr>
        <w:t xml:space="preserve"> oracle of the law</w:t>
      </w:r>
      <w:r w:rsidR="00A86F6F">
        <w:rPr>
          <w:rFonts w:ascii="Helvetica" w:hAnsi="Helvetica"/>
        </w:rPr>
        <w:t xml:space="preserve">” </w:t>
      </w:r>
      <w:r w:rsidR="0052487B">
        <w:rPr>
          <w:rFonts w:ascii="Helvetica" w:hAnsi="Helvetica"/>
        </w:rPr>
        <w:t>(Stein</w:t>
      </w:r>
      <w:r w:rsidR="007D4847">
        <w:rPr>
          <w:rFonts w:ascii="Helvetica" w:hAnsi="Helvetica"/>
        </w:rPr>
        <w:t>, P, “Roman Law, Common Law, and Civil Law”</w:t>
      </w:r>
      <w:r w:rsidR="00A86F6F">
        <w:rPr>
          <w:rFonts w:ascii="Helvetica" w:hAnsi="Helvetica"/>
        </w:rPr>
        <w:t>, p.1596).</w:t>
      </w:r>
    </w:p>
    <w:p w14:paraId="6F0840DF" w14:textId="2EC5037E" w:rsidR="007E7190" w:rsidRDefault="007E7190" w:rsidP="004B3C57">
      <w:pPr>
        <w:spacing w:line="480" w:lineRule="auto"/>
        <w:ind w:left="-284" w:right="-291" w:firstLine="1004"/>
        <w:rPr>
          <w:rFonts w:ascii="Helvetica" w:hAnsi="Helvetica"/>
        </w:rPr>
      </w:pPr>
      <w:r>
        <w:rPr>
          <w:rFonts w:ascii="Helvetica" w:hAnsi="Helvetica"/>
        </w:rPr>
        <w:t>Furthermore, we can see that there is not much place, in this trial, for the judge to really apply principles</w:t>
      </w:r>
      <w:r w:rsidR="00770D8B">
        <w:rPr>
          <w:rFonts w:ascii="Helvetica" w:hAnsi="Helvetica"/>
        </w:rPr>
        <w:t>,</w:t>
      </w:r>
      <w:r>
        <w:rPr>
          <w:rFonts w:ascii="Helvetica" w:hAnsi="Helvetica"/>
        </w:rPr>
        <w:t xml:space="preserve"> because they have to rely on the facts brought before them. Which, we will see, is not the case in France, where the principles, and laws do come before the facts. </w:t>
      </w:r>
    </w:p>
    <w:p w14:paraId="7075F06A" w14:textId="4612E8D3" w:rsidR="00294E4C" w:rsidRDefault="00294E4C" w:rsidP="004B3C57">
      <w:pPr>
        <w:spacing w:line="480" w:lineRule="auto"/>
        <w:ind w:left="-284" w:right="-291"/>
        <w:rPr>
          <w:rFonts w:ascii="Helvetica" w:hAnsi="Helvetica"/>
        </w:rPr>
      </w:pPr>
      <w:r>
        <w:rPr>
          <w:rFonts w:ascii="Helvetica" w:hAnsi="Helvetica"/>
        </w:rPr>
        <w:tab/>
      </w:r>
      <w:r w:rsidR="00A51B43">
        <w:rPr>
          <w:rFonts w:ascii="Helvetica" w:hAnsi="Helvetica"/>
        </w:rPr>
        <w:tab/>
      </w:r>
      <w:r>
        <w:rPr>
          <w:rFonts w:ascii="Helvetica" w:hAnsi="Helvetica"/>
        </w:rPr>
        <w:t>Across the sea from En</w:t>
      </w:r>
      <w:r w:rsidR="00712EE5">
        <w:rPr>
          <w:rFonts w:ascii="Helvetica" w:hAnsi="Helvetica"/>
        </w:rPr>
        <w:t>g</w:t>
      </w:r>
      <w:r>
        <w:rPr>
          <w:rFonts w:ascii="Helvetica" w:hAnsi="Helvetica"/>
        </w:rPr>
        <w:t>land, we find France, of the Mitterrand v. Gubler case</w:t>
      </w:r>
      <w:r w:rsidR="00712EE5">
        <w:rPr>
          <w:rFonts w:ascii="Helvetica" w:hAnsi="Helvetica"/>
        </w:rPr>
        <w:t xml:space="preserve"> and dictated by Civil Law</w:t>
      </w:r>
      <w:r>
        <w:rPr>
          <w:rFonts w:ascii="Helvetica" w:hAnsi="Helvetica"/>
        </w:rPr>
        <w:t>. In that case, the Mitterrand family</w:t>
      </w:r>
      <w:r w:rsidR="00706A75">
        <w:rPr>
          <w:rFonts w:ascii="Helvetica" w:hAnsi="Helvetica"/>
        </w:rPr>
        <w:t>, but especially Mme. Mitterrand, is pressing charges against Mr. Gubler, the treating physician of the deceased 21</w:t>
      </w:r>
      <w:r w:rsidR="00706A75" w:rsidRPr="00706A75">
        <w:rPr>
          <w:rFonts w:ascii="Helvetica" w:hAnsi="Helvetica"/>
          <w:vertAlign w:val="superscript"/>
        </w:rPr>
        <w:t>st</w:t>
      </w:r>
      <w:r w:rsidR="00706A75">
        <w:rPr>
          <w:rFonts w:ascii="Helvetica" w:hAnsi="Helvetica"/>
        </w:rPr>
        <w:t xml:space="preserve"> President </w:t>
      </w:r>
      <w:r w:rsidR="00AA3388">
        <w:rPr>
          <w:rFonts w:ascii="Helvetica" w:hAnsi="Helvetica"/>
        </w:rPr>
        <w:t>of France, Francois Mitterrand. The purpose of this t</w:t>
      </w:r>
      <w:r w:rsidR="00770D8B">
        <w:rPr>
          <w:rFonts w:ascii="Helvetica" w:hAnsi="Helvetica"/>
        </w:rPr>
        <w:t>rial is to try to determine wh</w:t>
      </w:r>
      <w:r w:rsidR="00AA3388">
        <w:rPr>
          <w:rFonts w:ascii="Helvetica" w:hAnsi="Helvetica"/>
        </w:rPr>
        <w:t>ether Mr. Gubler</w:t>
      </w:r>
      <w:r w:rsidR="00770D8B">
        <w:rPr>
          <w:rFonts w:ascii="Helvetica" w:hAnsi="Helvetica"/>
        </w:rPr>
        <w:t>,</w:t>
      </w:r>
      <w:r w:rsidR="00AA3388">
        <w:rPr>
          <w:rFonts w:ascii="Helvetica" w:hAnsi="Helvetica"/>
        </w:rPr>
        <w:t xml:space="preserve"> in his book</w:t>
      </w:r>
      <w:r w:rsidR="00770D8B">
        <w:rPr>
          <w:rFonts w:ascii="Helvetica" w:hAnsi="Helvetica"/>
        </w:rPr>
        <w:t>,</w:t>
      </w:r>
      <w:r w:rsidR="00AA3388">
        <w:rPr>
          <w:rFonts w:ascii="Helvetica" w:hAnsi="Helvetica"/>
        </w:rPr>
        <w:t xml:space="preserve"> violated the right to privacy of the Mitterrand family including Mr. Mitterrand</w:t>
      </w:r>
      <w:r w:rsidR="00770D8B">
        <w:rPr>
          <w:rFonts w:ascii="Helvetica" w:hAnsi="Helvetica"/>
        </w:rPr>
        <w:t>,</w:t>
      </w:r>
      <w:r w:rsidR="00AA3388">
        <w:rPr>
          <w:rFonts w:ascii="Helvetica" w:hAnsi="Helvetica"/>
        </w:rPr>
        <w:t xml:space="preserve"> and this by breaching his medical confidentiality. </w:t>
      </w:r>
      <w:r w:rsidR="00130EA6">
        <w:rPr>
          <w:rFonts w:ascii="Helvetica" w:hAnsi="Helvetica"/>
        </w:rPr>
        <w:t>Violation of medical confidentiality in France is considered a penal offence (Mitterrand, footnote</w:t>
      </w:r>
      <w:r w:rsidR="001012AB">
        <w:rPr>
          <w:rFonts w:ascii="Helvetica" w:hAnsi="Helvetica"/>
        </w:rPr>
        <w:t>5, p.281</w:t>
      </w:r>
      <w:r w:rsidR="00130EA6">
        <w:rPr>
          <w:rFonts w:ascii="Helvetica" w:hAnsi="Helvetica"/>
        </w:rPr>
        <w:t xml:space="preserve">) and is already a breach of someone’s privacy, but the treating physician also wrote a book, entitled “Le Grand Secret” about the life of Francois Mitterrand, his big secret being that he had prostate cancer and his family. </w:t>
      </w:r>
      <w:r w:rsidR="001012AB">
        <w:rPr>
          <w:rFonts w:ascii="Helvetica" w:hAnsi="Helvetica"/>
        </w:rPr>
        <w:t xml:space="preserve"> </w:t>
      </w:r>
    </w:p>
    <w:p w14:paraId="739975F9" w14:textId="7CCF7A28" w:rsidR="00A75819" w:rsidRDefault="001012AB" w:rsidP="004B3C57">
      <w:pPr>
        <w:spacing w:line="480" w:lineRule="auto"/>
        <w:ind w:left="-284" w:right="-291" w:firstLine="1004"/>
        <w:rPr>
          <w:rFonts w:ascii="Helvetica" w:hAnsi="Helvetica"/>
        </w:rPr>
      </w:pPr>
      <w:r>
        <w:rPr>
          <w:rFonts w:ascii="Helvetica" w:hAnsi="Helvetica"/>
        </w:rPr>
        <w:t>Under, Civil Law, the right of privacy is an important factor, and “ every person</w:t>
      </w:r>
      <w:r w:rsidR="00770D8B">
        <w:rPr>
          <w:rFonts w:ascii="Helvetica" w:hAnsi="Helvetica"/>
        </w:rPr>
        <w:t>,</w:t>
      </w:r>
      <w:r>
        <w:rPr>
          <w:rFonts w:ascii="Helvetica" w:hAnsi="Helvetica"/>
        </w:rPr>
        <w:t xml:space="preserve"> regardless of rank, birth, fortune or current or future functions has the right to the respect of his private life, the power </w:t>
      </w:r>
      <w:r w:rsidR="00FB0417">
        <w:rPr>
          <w:rFonts w:ascii="Helvetica" w:hAnsi="Helvetica"/>
        </w:rPr>
        <w:t>open to everyone to prevent any form of divulgation of that private life belongs to the living.” (Mitterrand</w:t>
      </w:r>
      <w:r w:rsidR="004F4EFF">
        <w:rPr>
          <w:rFonts w:ascii="Helvetica" w:hAnsi="Helvetica"/>
        </w:rPr>
        <w:t>, p.370</w:t>
      </w:r>
      <w:r w:rsidR="00FB0417">
        <w:rPr>
          <w:rFonts w:ascii="Helvetica" w:hAnsi="Helvetica"/>
        </w:rPr>
        <w:t>). Therefore, Mme. Mitterrand could not have stopped the distribution of the book regarding the breach of privacy of her late husband</w:t>
      </w:r>
      <w:r w:rsidR="00770D8B">
        <w:rPr>
          <w:rFonts w:ascii="Helvetica" w:hAnsi="Helvetica"/>
        </w:rPr>
        <w:t>,</w:t>
      </w:r>
      <w:r w:rsidR="00FB0417">
        <w:rPr>
          <w:rFonts w:ascii="Helvetica" w:hAnsi="Helvetica"/>
        </w:rPr>
        <w:t xml:space="preserve"> but</w:t>
      </w:r>
      <w:r w:rsidR="00770D8B">
        <w:rPr>
          <w:rFonts w:ascii="Helvetica" w:hAnsi="Helvetica"/>
        </w:rPr>
        <w:t xml:space="preserve"> </w:t>
      </w:r>
      <w:r w:rsidR="00FB0417">
        <w:rPr>
          <w:rFonts w:ascii="Helvetica" w:hAnsi="Helvetica"/>
        </w:rPr>
        <w:t xml:space="preserve">she could do it regarding the passages of the book regarding her and her family members. </w:t>
      </w:r>
      <w:r w:rsidR="00770D8B">
        <w:rPr>
          <w:rFonts w:ascii="Helvetica" w:hAnsi="Helvetica"/>
        </w:rPr>
        <w:t xml:space="preserve"> </w:t>
      </w:r>
    </w:p>
    <w:p w14:paraId="12A707A7" w14:textId="67B9F787" w:rsidR="004F4EFF" w:rsidRDefault="004F4EFF" w:rsidP="004B3C57">
      <w:pPr>
        <w:spacing w:line="480" w:lineRule="auto"/>
        <w:ind w:left="-284" w:right="-291" w:firstLine="1004"/>
        <w:rPr>
          <w:rFonts w:ascii="Helvetica" w:hAnsi="Helvetica"/>
        </w:rPr>
      </w:pPr>
      <w:r>
        <w:rPr>
          <w:rFonts w:ascii="Helvetica" w:hAnsi="Helvetica"/>
        </w:rPr>
        <w:t>That previous statement</w:t>
      </w:r>
      <w:r w:rsidR="00770D8B">
        <w:rPr>
          <w:rFonts w:ascii="Helvetica" w:hAnsi="Helvetica"/>
        </w:rPr>
        <w:t>,</w:t>
      </w:r>
      <w:r>
        <w:rPr>
          <w:rFonts w:ascii="Helvetica" w:hAnsi="Helvetica"/>
        </w:rPr>
        <w:t xml:space="preserve"> concerning the importance of right of </w:t>
      </w:r>
      <w:r w:rsidR="007E7190">
        <w:rPr>
          <w:rFonts w:ascii="Helvetica" w:hAnsi="Helvetica"/>
        </w:rPr>
        <w:t>privacy</w:t>
      </w:r>
      <w:r w:rsidR="00770D8B">
        <w:rPr>
          <w:rFonts w:ascii="Helvetica" w:hAnsi="Helvetica"/>
        </w:rPr>
        <w:t>,</w:t>
      </w:r>
      <w:r>
        <w:rPr>
          <w:rFonts w:ascii="Helvetica" w:hAnsi="Helvetica"/>
        </w:rPr>
        <w:t xml:space="preserve"> shows the position of France and Civil Law regarding that issue. We can see that Mme. Mitterrand did win her case</w:t>
      </w:r>
      <w:r w:rsidR="008D7587">
        <w:rPr>
          <w:rFonts w:ascii="Helvetica" w:hAnsi="Helvetica"/>
        </w:rPr>
        <w:t>,</w:t>
      </w:r>
      <w:r>
        <w:rPr>
          <w:rFonts w:ascii="Helvetica" w:hAnsi="Helvetica"/>
        </w:rPr>
        <w:t xml:space="preserve"> and got compensation for the wrongs done to her and her family with the publishing of the book. However, she did not get the book out of the shelves</w:t>
      </w:r>
      <w:r w:rsidR="008D7587">
        <w:rPr>
          <w:rFonts w:ascii="Helvetica" w:hAnsi="Helvetica"/>
        </w:rPr>
        <w:t>,</w:t>
      </w:r>
      <w:r>
        <w:rPr>
          <w:rFonts w:ascii="Helvetica" w:hAnsi="Helvetica"/>
        </w:rPr>
        <w:t xml:space="preserve"> because that breached the freedom of speech of the author. We can therefore see</w:t>
      </w:r>
      <w:r w:rsidR="008D7587">
        <w:rPr>
          <w:rFonts w:ascii="Helvetica" w:hAnsi="Helvetica"/>
        </w:rPr>
        <w:t>,</w:t>
      </w:r>
      <w:r>
        <w:rPr>
          <w:rFonts w:ascii="Helvetica" w:hAnsi="Helvetica"/>
        </w:rPr>
        <w:t xml:space="preserve"> that the judges do follow by the letter what is written in the Civil Code and that the rights of </w:t>
      </w:r>
      <w:r w:rsidR="007E7190">
        <w:rPr>
          <w:rFonts w:ascii="Helvetica" w:hAnsi="Helvetica"/>
        </w:rPr>
        <w:t xml:space="preserve">the individuals are truly respected. </w:t>
      </w:r>
    </w:p>
    <w:p w14:paraId="3E69B91B" w14:textId="030F86F8" w:rsidR="004B3C57" w:rsidRDefault="004B3C57" w:rsidP="004B3C57">
      <w:pPr>
        <w:spacing w:line="480" w:lineRule="auto"/>
        <w:ind w:left="-284" w:right="-291" w:firstLine="1004"/>
        <w:rPr>
          <w:rFonts w:ascii="Helvetica" w:hAnsi="Helvetica"/>
        </w:rPr>
      </w:pPr>
      <w:r>
        <w:rPr>
          <w:rFonts w:ascii="Helvetica" w:hAnsi="Helvetica"/>
        </w:rPr>
        <w:t>In Civil Law, the law comes first and the facts second, which makes the law just</w:t>
      </w:r>
      <w:r w:rsidR="008D7587">
        <w:rPr>
          <w:rFonts w:ascii="Helvetica" w:hAnsi="Helvetica"/>
        </w:rPr>
        <w:t>,</w:t>
      </w:r>
      <w:r>
        <w:rPr>
          <w:rFonts w:ascii="Helvetica" w:hAnsi="Helvetica"/>
        </w:rPr>
        <w:t xml:space="preserve"> and the same for all. Nevertheless, </w:t>
      </w:r>
      <w:r w:rsidR="00B52714">
        <w:rPr>
          <w:rFonts w:ascii="Helvetica" w:hAnsi="Helvetica"/>
        </w:rPr>
        <w:t xml:space="preserve">the judges each have their own way of interpreting it, making each case and ruling unique. </w:t>
      </w:r>
      <w:r w:rsidR="00E72EB5">
        <w:rPr>
          <w:rFonts w:ascii="Helvetica" w:hAnsi="Helvetica"/>
        </w:rPr>
        <w:t>We can say that the judge really has the freedom to deliberate</w:t>
      </w:r>
      <w:r w:rsidR="008D7587">
        <w:rPr>
          <w:rFonts w:ascii="Helvetica" w:hAnsi="Helvetica"/>
        </w:rPr>
        <w:t>, if a sentence is</w:t>
      </w:r>
      <w:r w:rsidR="00E72EB5">
        <w:rPr>
          <w:rFonts w:ascii="Helvetica" w:hAnsi="Helvetica"/>
        </w:rPr>
        <w:t xml:space="preserve"> to be given</w:t>
      </w:r>
      <w:r w:rsidR="008D7587">
        <w:rPr>
          <w:rFonts w:ascii="Helvetica" w:hAnsi="Helvetica"/>
        </w:rPr>
        <w:t>,</w:t>
      </w:r>
      <w:r w:rsidR="00E72EB5">
        <w:rPr>
          <w:rFonts w:ascii="Helvetica" w:hAnsi="Helvetica"/>
        </w:rPr>
        <w:t xml:space="preserve"> and to what extent. Like stated in Peter G Stein’s “Roman Law, Common Law and Civil Law” rules can be subjected to various kinds of interpretation</w:t>
      </w:r>
      <w:r w:rsidR="008D7587">
        <w:rPr>
          <w:rFonts w:ascii="Helvetica" w:hAnsi="Helvetica"/>
        </w:rPr>
        <w:t>,</w:t>
      </w:r>
      <w:r w:rsidR="00E72EB5">
        <w:rPr>
          <w:rFonts w:ascii="Helvetica" w:hAnsi="Helvetica"/>
        </w:rPr>
        <w:t xml:space="preserve"> but the rules themselves remain unchanged until they are modified by subsequent express enactment. </w:t>
      </w:r>
      <w:r w:rsidR="0052487B">
        <w:rPr>
          <w:rFonts w:ascii="Helvetica" w:hAnsi="Helvetica"/>
        </w:rPr>
        <w:t>(Stein p.</w:t>
      </w:r>
      <w:r w:rsidR="00351B17">
        <w:rPr>
          <w:rFonts w:ascii="Helvetica" w:hAnsi="Helvetica"/>
        </w:rPr>
        <w:t>1600)</w:t>
      </w:r>
    </w:p>
    <w:p w14:paraId="0B9C1933" w14:textId="7AD02229" w:rsidR="00E41BE0" w:rsidRDefault="00351B17" w:rsidP="00E41BE0">
      <w:pPr>
        <w:spacing w:line="480" w:lineRule="auto"/>
        <w:ind w:left="-284" w:right="-291" w:firstLine="1004"/>
        <w:rPr>
          <w:rFonts w:ascii="Helvetica" w:hAnsi="Helvetica"/>
        </w:rPr>
      </w:pPr>
      <w:r>
        <w:rPr>
          <w:rFonts w:ascii="Helvetica" w:hAnsi="Helvetica"/>
        </w:rPr>
        <w:t xml:space="preserve">Consequently, we can see that according to the setting of the case the ruling will change and thus in more than one way. If it is set in a country such as France, like in the Mitterrand case, </w:t>
      </w:r>
      <w:r w:rsidR="008148AD">
        <w:rPr>
          <w:rFonts w:ascii="Helvetica" w:hAnsi="Helvetica"/>
        </w:rPr>
        <w:t xml:space="preserve">the judges’ ruling will be more ridged and based on their own way of seeing the laws applicable to the case.  However, if the setting is based in England or English Canada, like the case of Mr. Kaye, the judges have more freedom to decide in the case but are still under the constraint of the previous decisions of their fellow judges. We have seen that under the Civil Law, even though rules are formally written it is the judge that has the final word and, in my opinion it is the system that allows freedom for the judges and rights to the individuals. All throughout the judgment of the Mitterrand case the judge seemed in control of the situation giving the sentence that he believed was just in the circumstances given, this with the guideline provided to him by the Civil Code. On the opposite, in the Kaye case, the judge seemed constraint to find a way to make the decisions he truly wanted to make due to the lack of precedents, and ruled on the case based on other rights of action. </w:t>
      </w:r>
      <w:r w:rsidR="00E41BE0">
        <w:rPr>
          <w:rFonts w:ascii="Helvetica" w:hAnsi="Helvetica"/>
        </w:rPr>
        <w:t xml:space="preserve"> </w:t>
      </w:r>
    </w:p>
    <w:p w14:paraId="1DBB712A" w14:textId="56F5CC9D" w:rsidR="00E41BE0" w:rsidRDefault="00E41BE0" w:rsidP="00E000D6">
      <w:pPr>
        <w:spacing w:line="480" w:lineRule="auto"/>
        <w:ind w:left="-284" w:right="-291" w:firstLine="1004"/>
        <w:rPr>
          <w:rFonts w:ascii="Helvetica" w:hAnsi="Helvetica"/>
        </w:rPr>
      </w:pPr>
      <w:r>
        <w:rPr>
          <w:rFonts w:ascii="Helvetica" w:hAnsi="Helvetica"/>
        </w:rPr>
        <w:t>“ It cannot be denied, therefore, that while the job of judges is to resolve disputes, in doing so they inevitably alter the law and pronounce on the fundamental values our society holds dear.” (McLachin B, “ The Supreme Court and The Public Interest”, p.135)</w:t>
      </w:r>
    </w:p>
    <w:bookmarkEnd w:id="0"/>
    <w:p w14:paraId="5E8CFA93" w14:textId="0B07BC57" w:rsidR="004E0ADC" w:rsidRPr="00E47D9E" w:rsidRDefault="0054118D" w:rsidP="008A0A8E">
      <w:pPr>
        <w:spacing w:line="480" w:lineRule="auto"/>
        <w:ind w:left="-284" w:right="-291"/>
        <w:rPr>
          <w:rFonts w:ascii="Helvetica" w:hAnsi="Helvetica"/>
        </w:rPr>
      </w:pPr>
      <w:r>
        <w:rPr>
          <w:rFonts w:ascii="Helvetica" w:hAnsi="Helvetica"/>
        </w:rPr>
        <w:tab/>
      </w:r>
    </w:p>
    <w:sectPr w:rsidR="004E0ADC" w:rsidRPr="00E47D9E" w:rsidSect="00E55D81">
      <w:headerReference w:type="even" r:id="rId9"/>
      <w:headerReference w:type="default" r:id="rId10"/>
      <w:footerReference w:type="even" r:id="rId11"/>
      <w:footerReference w:type="default" r:id="rId12"/>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953070" w14:textId="77777777" w:rsidR="008148AD" w:rsidRDefault="008148AD" w:rsidP="00E47D9E">
      <w:pPr>
        <w:spacing w:after="0"/>
      </w:pPr>
      <w:r>
        <w:separator/>
      </w:r>
    </w:p>
  </w:endnote>
  <w:endnote w:type="continuationSeparator" w:id="0">
    <w:p w14:paraId="177D7FF5" w14:textId="77777777" w:rsidR="008148AD" w:rsidRDefault="008148AD" w:rsidP="00E47D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Baskerville Semibold">
    <w:panose1 w:val="02020702070400020203"/>
    <w:charset w:val="00"/>
    <w:family w:val="auto"/>
    <w:pitch w:val="variable"/>
    <w:sig w:usb0="80000067" w:usb1="0000004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E96BA" w14:textId="77777777" w:rsidR="008148AD" w:rsidRDefault="008148AD" w:rsidP="00E47D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793F6C" w14:textId="77777777" w:rsidR="008148AD" w:rsidRDefault="008148AD" w:rsidP="00E47D9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4956E" w14:textId="77777777" w:rsidR="008148AD" w:rsidRDefault="008148AD" w:rsidP="00E47D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220D9">
      <w:rPr>
        <w:rStyle w:val="PageNumber"/>
        <w:noProof/>
      </w:rPr>
      <w:t>1</w:t>
    </w:r>
    <w:r>
      <w:rPr>
        <w:rStyle w:val="PageNumber"/>
      </w:rPr>
      <w:fldChar w:fldCharType="end"/>
    </w:r>
  </w:p>
  <w:p w14:paraId="42D59200" w14:textId="77777777" w:rsidR="008148AD" w:rsidRDefault="008148AD" w:rsidP="00E47D9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45D8EC" w14:textId="77777777" w:rsidR="008148AD" w:rsidRDefault="008148AD" w:rsidP="00E47D9E">
      <w:pPr>
        <w:spacing w:after="0"/>
      </w:pPr>
      <w:r>
        <w:separator/>
      </w:r>
    </w:p>
  </w:footnote>
  <w:footnote w:type="continuationSeparator" w:id="0">
    <w:p w14:paraId="622DF6F0" w14:textId="77777777" w:rsidR="008148AD" w:rsidRDefault="008148AD" w:rsidP="00E47D9E">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rPr>
      <w:alias w:val="Title"/>
      <w:id w:val="77547040"/>
      <w:placeholder>
        <w:docPart w:val="C72AD06A14B72D4596774DFA0F22BFCF"/>
      </w:placeholder>
      <w:dataBinding w:prefixMappings="xmlns:ns0='http://schemas.openxmlformats.org/package/2006/metadata/core-properties' xmlns:ns1='http://purl.org/dc/elements/1.1/'" w:xpath="/ns0:coreProperties[1]/ns1:title[1]" w:storeItemID="{6C3C8BC8-F283-45AE-878A-BAB7291924A1}"/>
      <w:text/>
    </w:sdtPr>
    <w:sdtEndPr/>
    <w:sdtContent>
      <w:p w14:paraId="2B98F3AB" w14:textId="77777777" w:rsidR="008148AD" w:rsidRPr="005E04E9" w:rsidRDefault="008148AD">
        <w:pPr>
          <w:pStyle w:val="Header"/>
          <w:pBdr>
            <w:between w:val="single" w:sz="4" w:space="1" w:color="4F81BD" w:themeColor="accent1"/>
          </w:pBdr>
          <w:spacing w:line="276" w:lineRule="auto"/>
          <w:jc w:val="center"/>
          <w:rPr>
            <w:rFonts w:ascii="Cambria" w:hAnsi="Cambria"/>
          </w:rPr>
        </w:pPr>
        <w:r>
          <w:rPr>
            <w:rFonts w:ascii="Cambria" w:hAnsi="Cambria"/>
          </w:rPr>
          <w:t>Jacqueline Dinar, 1234870</w:t>
        </w:r>
      </w:p>
    </w:sdtContent>
  </w:sdt>
  <w:sdt>
    <w:sdtPr>
      <w:rPr>
        <w:rFonts w:ascii="Cambria" w:hAnsi="Cambria"/>
      </w:rPr>
      <w:alias w:val="Date"/>
      <w:id w:val="77547044"/>
      <w:placeholder>
        <w:docPart w:val="A56C2716ADD5CE4983468309AE193712"/>
      </w:placeholder>
      <w:dataBinding w:prefixMappings="xmlns:ns0='http://schemas.microsoft.com/office/2006/coverPageProps'" w:xpath="/ns0:CoverPageProperties[1]/ns0:PublishDate[1]" w:storeItemID="{55AF091B-3C7A-41E3-B477-F2FDAA23CFDA}"/>
      <w:date w:fullDate="2011-11-14T00:00:00Z">
        <w:dateFormat w:val="MMMM d, yyyy"/>
        <w:lid w:val="en-US"/>
        <w:storeMappedDataAs w:val="dateTime"/>
        <w:calendar w:val="gregorian"/>
      </w:date>
    </w:sdtPr>
    <w:sdtEndPr/>
    <w:sdtContent>
      <w:p w14:paraId="25C8A4A4" w14:textId="77777777" w:rsidR="008148AD" w:rsidRPr="005E04E9" w:rsidRDefault="008148AD">
        <w:pPr>
          <w:pStyle w:val="Header"/>
          <w:pBdr>
            <w:between w:val="single" w:sz="4" w:space="1" w:color="4F81BD" w:themeColor="accent1"/>
          </w:pBdr>
          <w:spacing w:line="276" w:lineRule="auto"/>
          <w:jc w:val="center"/>
          <w:rPr>
            <w:rFonts w:ascii="Cambria" w:hAnsi="Cambria"/>
          </w:rPr>
        </w:pPr>
        <w:r>
          <w:rPr>
            <w:rFonts w:ascii="Cambria" w:hAnsi="Cambria"/>
          </w:rPr>
          <w:t>November 14, 2011</w:t>
        </w:r>
      </w:p>
    </w:sdtContent>
  </w:sdt>
  <w:p w14:paraId="1D60DFED" w14:textId="77777777" w:rsidR="008148AD" w:rsidRDefault="008148A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w:hAnsi="Cambria"/>
        <w:vertAlign w:val="superscript"/>
      </w:rPr>
      <w:alias w:val="Date"/>
      <w:id w:val="359092679"/>
      <w:dataBinding w:prefixMappings="xmlns:ns0='http://schemas.microsoft.com/office/2006/coverPageProps'" w:xpath="/ns0:CoverPageProperties[1]/ns0:PublishDate[1]" w:storeItemID="{55AF091B-3C7A-41E3-B477-F2FDAA23CFDA}"/>
      <w:date w:fullDate="2011-11-14T00:00:00Z">
        <w:dateFormat w:val="MMMM d, yyyy"/>
        <w:lid w:val="en-US"/>
        <w:storeMappedDataAs w:val="dateTime"/>
        <w:calendar w:val="gregorian"/>
      </w:date>
    </w:sdtPr>
    <w:sdtEndPr/>
    <w:sdtContent>
      <w:p w14:paraId="1F1ED00E" w14:textId="77777777" w:rsidR="008148AD" w:rsidRPr="005E04E9" w:rsidRDefault="008148AD">
        <w:pPr>
          <w:pStyle w:val="Header"/>
          <w:pBdr>
            <w:between w:val="single" w:sz="4" w:space="1" w:color="4F81BD" w:themeColor="accent1"/>
          </w:pBdr>
          <w:spacing w:line="276" w:lineRule="auto"/>
          <w:jc w:val="center"/>
          <w:rPr>
            <w:rFonts w:ascii="Cambria" w:hAnsi="Cambria"/>
          </w:rPr>
        </w:pPr>
        <w:r>
          <w:rPr>
            <w:rFonts w:ascii="Cambria" w:hAnsi="Cambria"/>
            <w:vertAlign w:val="superscript"/>
          </w:rPr>
          <w:t>November 14, 2011</w:t>
        </w:r>
      </w:p>
    </w:sdtContent>
  </w:sdt>
  <w:p w14:paraId="7C20761C" w14:textId="77777777" w:rsidR="008148AD" w:rsidRDefault="008148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D9E"/>
    <w:rsid w:val="00047520"/>
    <w:rsid w:val="001012AB"/>
    <w:rsid w:val="001220D9"/>
    <w:rsid w:val="00130EA6"/>
    <w:rsid w:val="00294E4C"/>
    <w:rsid w:val="002B0DB2"/>
    <w:rsid w:val="00351B17"/>
    <w:rsid w:val="00381D75"/>
    <w:rsid w:val="003F5FAD"/>
    <w:rsid w:val="00402217"/>
    <w:rsid w:val="004A4F33"/>
    <w:rsid w:val="004B3C57"/>
    <w:rsid w:val="004E0ADC"/>
    <w:rsid w:val="004F4EFF"/>
    <w:rsid w:val="00516632"/>
    <w:rsid w:val="0052487B"/>
    <w:rsid w:val="00524A54"/>
    <w:rsid w:val="0054118D"/>
    <w:rsid w:val="00541CED"/>
    <w:rsid w:val="00580868"/>
    <w:rsid w:val="005D04A4"/>
    <w:rsid w:val="005D776B"/>
    <w:rsid w:val="0060692D"/>
    <w:rsid w:val="00646D7D"/>
    <w:rsid w:val="007017E1"/>
    <w:rsid w:val="00706A75"/>
    <w:rsid w:val="00712EE5"/>
    <w:rsid w:val="00770D8B"/>
    <w:rsid w:val="007B5C02"/>
    <w:rsid w:val="007C0543"/>
    <w:rsid w:val="007D4847"/>
    <w:rsid w:val="007E7190"/>
    <w:rsid w:val="008148AD"/>
    <w:rsid w:val="008941E7"/>
    <w:rsid w:val="008A0A8E"/>
    <w:rsid w:val="008D7587"/>
    <w:rsid w:val="008F166E"/>
    <w:rsid w:val="009738E9"/>
    <w:rsid w:val="009A095F"/>
    <w:rsid w:val="00A4749C"/>
    <w:rsid w:val="00A51B43"/>
    <w:rsid w:val="00A62088"/>
    <w:rsid w:val="00A75819"/>
    <w:rsid w:val="00A86F6F"/>
    <w:rsid w:val="00AA3388"/>
    <w:rsid w:val="00AE0157"/>
    <w:rsid w:val="00B44D8D"/>
    <w:rsid w:val="00B52714"/>
    <w:rsid w:val="00BC4D71"/>
    <w:rsid w:val="00C01E81"/>
    <w:rsid w:val="00C168E3"/>
    <w:rsid w:val="00C8433D"/>
    <w:rsid w:val="00CC20B0"/>
    <w:rsid w:val="00D05DE0"/>
    <w:rsid w:val="00D335B7"/>
    <w:rsid w:val="00D516AE"/>
    <w:rsid w:val="00E000D6"/>
    <w:rsid w:val="00E41BE0"/>
    <w:rsid w:val="00E47D9E"/>
    <w:rsid w:val="00E55D81"/>
    <w:rsid w:val="00E6054E"/>
    <w:rsid w:val="00E72EB5"/>
    <w:rsid w:val="00F27527"/>
    <w:rsid w:val="00F576CE"/>
    <w:rsid w:val="00F718DC"/>
    <w:rsid w:val="00F71ABA"/>
    <w:rsid w:val="00FB0417"/>
    <w:rsid w:val="00FC7C2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30C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D9E"/>
    <w:pPr>
      <w:tabs>
        <w:tab w:val="center" w:pos="4320"/>
        <w:tab w:val="right" w:pos="8640"/>
      </w:tabs>
      <w:spacing w:after="0"/>
    </w:pPr>
  </w:style>
  <w:style w:type="character" w:customStyle="1" w:styleId="HeaderChar">
    <w:name w:val="Header Char"/>
    <w:basedOn w:val="DefaultParagraphFont"/>
    <w:link w:val="Header"/>
    <w:uiPriority w:val="99"/>
    <w:rsid w:val="00E47D9E"/>
  </w:style>
  <w:style w:type="paragraph" w:styleId="Footer">
    <w:name w:val="footer"/>
    <w:basedOn w:val="Normal"/>
    <w:link w:val="FooterChar"/>
    <w:uiPriority w:val="99"/>
    <w:unhideWhenUsed/>
    <w:rsid w:val="00E47D9E"/>
    <w:pPr>
      <w:tabs>
        <w:tab w:val="center" w:pos="4320"/>
        <w:tab w:val="right" w:pos="8640"/>
      </w:tabs>
      <w:spacing w:after="0"/>
    </w:pPr>
  </w:style>
  <w:style w:type="character" w:customStyle="1" w:styleId="FooterChar">
    <w:name w:val="Footer Char"/>
    <w:basedOn w:val="DefaultParagraphFont"/>
    <w:link w:val="Footer"/>
    <w:uiPriority w:val="99"/>
    <w:rsid w:val="00E47D9E"/>
  </w:style>
  <w:style w:type="character" w:styleId="PageNumber">
    <w:name w:val="page number"/>
    <w:basedOn w:val="DefaultParagraphFont"/>
    <w:uiPriority w:val="99"/>
    <w:semiHidden/>
    <w:unhideWhenUsed/>
    <w:rsid w:val="00E47D9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D9E"/>
    <w:pPr>
      <w:tabs>
        <w:tab w:val="center" w:pos="4320"/>
        <w:tab w:val="right" w:pos="8640"/>
      </w:tabs>
      <w:spacing w:after="0"/>
    </w:pPr>
  </w:style>
  <w:style w:type="character" w:customStyle="1" w:styleId="HeaderChar">
    <w:name w:val="Header Char"/>
    <w:basedOn w:val="DefaultParagraphFont"/>
    <w:link w:val="Header"/>
    <w:uiPriority w:val="99"/>
    <w:rsid w:val="00E47D9E"/>
  </w:style>
  <w:style w:type="paragraph" w:styleId="Footer">
    <w:name w:val="footer"/>
    <w:basedOn w:val="Normal"/>
    <w:link w:val="FooterChar"/>
    <w:uiPriority w:val="99"/>
    <w:unhideWhenUsed/>
    <w:rsid w:val="00E47D9E"/>
    <w:pPr>
      <w:tabs>
        <w:tab w:val="center" w:pos="4320"/>
        <w:tab w:val="right" w:pos="8640"/>
      </w:tabs>
      <w:spacing w:after="0"/>
    </w:pPr>
  </w:style>
  <w:style w:type="character" w:customStyle="1" w:styleId="FooterChar">
    <w:name w:val="Footer Char"/>
    <w:basedOn w:val="DefaultParagraphFont"/>
    <w:link w:val="Footer"/>
    <w:uiPriority w:val="99"/>
    <w:rsid w:val="00E47D9E"/>
  </w:style>
  <w:style w:type="character" w:styleId="PageNumber">
    <w:name w:val="page number"/>
    <w:basedOn w:val="DefaultParagraphFont"/>
    <w:uiPriority w:val="99"/>
    <w:semiHidden/>
    <w:unhideWhenUsed/>
    <w:rsid w:val="00E47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72AD06A14B72D4596774DFA0F22BFCF"/>
        <w:category>
          <w:name w:val="General"/>
          <w:gallery w:val="placeholder"/>
        </w:category>
        <w:types>
          <w:type w:val="bbPlcHdr"/>
        </w:types>
        <w:behaviors>
          <w:behavior w:val="content"/>
        </w:behaviors>
        <w:guid w:val="{D4D3DC52-4B79-954F-B644-4933C44D1AE9}"/>
      </w:docPartPr>
      <w:docPartBody>
        <w:p w:rsidR="00E468D0" w:rsidRDefault="00E468D0" w:rsidP="00E468D0">
          <w:pPr>
            <w:pStyle w:val="C72AD06A14B72D4596774DFA0F22BFCF"/>
          </w:pPr>
          <w:r>
            <w:t>[Type the document title]</w:t>
          </w:r>
        </w:p>
      </w:docPartBody>
    </w:docPart>
    <w:docPart>
      <w:docPartPr>
        <w:name w:val="A56C2716ADD5CE4983468309AE193712"/>
        <w:category>
          <w:name w:val="General"/>
          <w:gallery w:val="placeholder"/>
        </w:category>
        <w:types>
          <w:type w:val="bbPlcHdr"/>
        </w:types>
        <w:behaviors>
          <w:behavior w:val="content"/>
        </w:behaviors>
        <w:guid w:val="{5CFBA47F-53E2-A446-9DA5-DB89EA49E3EC}"/>
      </w:docPartPr>
      <w:docPartBody>
        <w:p w:rsidR="00E468D0" w:rsidRDefault="00E468D0" w:rsidP="00E468D0">
          <w:pPr>
            <w:pStyle w:val="A56C2716ADD5CE4983468309AE193712"/>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Baskerville Semibold">
    <w:panose1 w:val="02020702070400020203"/>
    <w:charset w:val="00"/>
    <w:family w:val="auto"/>
    <w:pitch w:val="variable"/>
    <w:sig w:usb0="80000067" w:usb1="0000004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8D0"/>
    <w:rsid w:val="00871DD1"/>
    <w:rsid w:val="00E468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2AD06A14B72D4596774DFA0F22BFCF">
    <w:name w:val="C72AD06A14B72D4596774DFA0F22BFCF"/>
    <w:rsid w:val="00E468D0"/>
  </w:style>
  <w:style w:type="paragraph" w:customStyle="1" w:styleId="A56C2716ADD5CE4983468309AE193712">
    <w:name w:val="A56C2716ADD5CE4983468309AE193712"/>
    <w:rsid w:val="00E468D0"/>
  </w:style>
  <w:style w:type="paragraph" w:customStyle="1" w:styleId="53D1C979C33F3B4C91E25320BEEB0486">
    <w:name w:val="53D1C979C33F3B4C91E25320BEEB0486"/>
    <w:rsid w:val="00E468D0"/>
  </w:style>
  <w:style w:type="paragraph" w:customStyle="1" w:styleId="CCAC310CB61DFD40AB011DA969C15662">
    <w:name w:val="CCAC310CB61DFD40AB011DA969C15662"/>
    <w:rsid w:val="00E468D0"/>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2AD06A14B72D4596774DFA0F22BFCF">
    <w:name w:val="C72AD06A14B72D4596774DFA0F22BFCF"/>
    <w:rsid w:val="00E468D0"/>
  </w:style>
  <w:style w:type="paragraph" w:customStyle="1" w:styleId="A56C2716ADD5CE4983468309AE193712">
    <w:name w:val="A56C2716ADD5CE4983468309AE193712"/>
    <w:rsid w:val="00E468D0"/>
  </w:style>
  <w:style w:type="paragraph" w:customStyle="1" w:styleId="53D1C979C33F3B4C91E25320BEEB0486">
    <w:name w:val="53D1C979C33F3B4C91E25320BEEB0486"/>
    <w:rsid w:val="00E468D0"/>
  </w:style>
  <w:style w:type="paragraph" w:customStyle="1" w:styleId="CCAC310CB61DFD40AB011DA969C15662">
    <w:name w:val="CCAC310CB61DFD40AB011DA969C15662"/>
    <w:rsid w:val="00E468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2011-11-14T00:00:00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332D75-DD00-6643-B8A3-0354EFC56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1468</Words>
  <Characters>8374</Characters>
  <Application>Microsoft Macintosh Word</Application>
  <DocSecurity>0</DocSecurity>
  <Lines>69</Lines>
  <Paragraphs>19</Paragraphs>
  <ScaleCrop>false</ScaleCrop>
  <Company/>
  <LinksUpToDate>false</LinksUpToDate>
  <CharactersWithSpaces>9823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Jacqueline Dinar, 1234870</dc:title>
  <dc:subject/>
  <dc:creator>Regina Philangie</dc:creator>
  <cp:keywords/>
  <dc:description/>
  <cp:lastModifiedBy>Regina Philangie</cp:lastModifiedBy>
  <cp:revision>2</cp:revision>
  <dcterms:created xsi:type="dcterms:W3CDTF">2014-11-12T14:57:00Z</dcterms:created>
  <dcterms:modified xsi:type="dcterms:W3CDTF">2014-11-12T14:57:00Z</dcterms:modified>
</cp:coreProperties>
</file>