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B17" w:rsidRDefault="00315B17" w:rsidP="00315B17">
      <w:pPr>
        <w:rPr>
          <w:sz w:val="22"/>
          <w:szCs w:val="22"/>
        </w:rPr>
      </w:pPr>
      <w:bookmarkStart w:id="0" w:name="_GoBack"/>
      <w:bookmarkEnd w:id="0"/>
    </w:p>
    <w:tbl>
      <w:tblPr>
        <w:tblW w:w="5000" w:type="pct"/>
        <w:tblCellSpacing w:w="0" w:type="dxa"/>
        <w:tblLook w:val="04A0" w:firstRow="1" w:lastRow="0" w:firstColumn="1" w:lastColumn="0" w:noHBand="0" w:noVBand="1"/>
      </w:tblPr>
      <w:tblGrid>
        <w:gridCol w:w="294"/>
        <w:gridCol w:w="9156"/>
      </w:tblGrid>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t>1.</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94"/>
              <w:gridCol w:w="8049"/>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Distinguish between a covalent bond and a non-covalent interaction. </w:t>
                  </w:r>
                </w:p>
              </w:tc>
            </w:tr>
            <w:tr w:rsidR="00315B17">
              <w:trPr>
                <w:tblCellSpacing w:w="0" w:type="dxa"/>
              </w:trPr>
              <w:tc>
                <w:tcPr>
                  <w:tcW w:w="500" w:type="pct"/>
                  <w:hideMark/>
                </w:tcPr>
                <w:p w:rsidR="00315B17" w:rsidRDefault="00315B17">
                  <w:pPr>
                    <w:rPr>
                      <w:rFonts w:ascii="Verdana" w:hAnsi="Verdana"/>
                      <w:color w:val="000000"/>
                      <w:sz w:val="19"/>
                      <w:szCs w:val="19"/>
                    </w:rPr>
                  </w:pPr>
                  <w:r>
                    <w:rPr>
                      <w:rFonts w:ascii="Verdana" w:hAnsi="Verdana"/>
                      <w:color w:val="000000"/>
                      <w:sz w:val="19"/>
                      <w:szCs w:val="19"/>
                    </w:rPr>
                    <w:t>Sample Correct 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t xml:space="preserve">- In a covalent bond, a pair of electrons is shared between two atoms. - Non-covalent interactions do not involve the sharing of electrons. These are weaker interactions than covalent bonds. They are based on the attraction of an electronegative atom for a hydrogen atom (hydrogen bond), transient attraction of dipoles of opposite charge (van der Waals interaction), the attraction of ions of opposite charge (ionic bond) or the tendency of hydrophobic molecules to be excluded by water (hydrophobic interaction).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t>2.</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2"/>
              <w:gridCol w:w="7741"/>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Distinguish between G-actin and a G protein. </w:t>
                  </w:r>
                </w:p>
              </w:tc>
            </w:tr>
            <w:tr w:rsidR="00315B17">
              <w:trPr>
                <w:tblCellSpacing w:w="0" w:type="dxa"/>
              </w:trPr>
              <w:tc>
                <w:tcPr>
                  <w:tcW w:w="0" w:type="auto"/>
                  <w:gridSpan w:val="2"/>
                  <w:vAlign w:val="center"/>
                </w:tcPr>
                <w:p w:rsidR="00315B17" w:rsidRDefault="00315B17">
                  <w:pPr>
                    <w:rPr>
                      <w:rFonts w:ascii="Verdana" w:hAnsi="Verdana"/>
                      <w:color w:val="000000"/>
                      <w:sz w:val="19"/>
                      <w:szCs w:val="19"/>
                    </w:rPr>
                  </w:pPr>
                </w:p>
              </w:tc>
            </w:tr>
            <w:tr w:rsidR="00315B17" w:rsidTr="00315B17">
              <w:trPr>
                <w:tblCellSpacing w:w="0" w:type="dxa"/>
              </w:trPr>
              <w:tc>
                <w:tcPr>
                  <w:tcW w:w="672" w:type="pct"/>
                  <w:hideMark/>
                </w:tcPr>
                <w:p w:rsidR="00315B17" w:rsidRDefault="00315B17">
                  <w:pPr>
                    <w:rPr>
                      <w:rFonts w:ascii="Verdana" w:hAnsi="Verdana"/>
                      <w:color w:val="000000"/>
                      <w:sz w:val="19"/>
                      <w:szCs w:val="19"/>
                    </w:rPr>
                  </w:pPr>
                  <w:r>
                    <w:rPr>
                      <w:rFonts w:ascii="Verdana" w:hAnsi="Verdana"/>
                      <w:color w:val="000000"/>
                      <w:sz w:val="19"/>
                      <w:szCs w:val="19"/>
                    </w:rPr>
                    <w:t>Sample Correct 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t xml:space="preserve">- G-actin is a globular monomeric protein that, when ATP is bound to it, polymerizes to form F-actin (filamentous actin) and microfilaments. - A G protein is a </w:t>
                  </w:r>
                  <w:proofErr w:type="spellStart"/>
                  <w:r>
                    <w:rPr>
                      <w:rFonts w:ascii="Verdana" w:hAnsi="Verdana"/>
                      <w:color w:val="000000"/>
                      <w:sz w:val="19"/>
                      <w:szCs w:val="19"/>
                    </w:rPr>
                    <w:t>heterotrimeric</w:t>
                  </w:r>
                  <w:proofErr w:type="spellEnd"/>
                  <w:r>
                    <w:rPr>
                      <w:rFonts w:ascii="Verdana" w:hAnsi="Verdana"/>
                      <w:color w:val="000000"/>
                      <w:sz w:val="19"/>
                      <w:szCs w:val="19"/>
                    </w:rPr>
                    <w:t xml:space="preserve"> protein that is activated when the G protein-coupled receptor that links to it is activated by its ligand. When activated, the G protein binds </w:t>
                  </w:r>
                  <w:proofErr w:type="spellStart"/>
                  <w:r>
                    <w:rPr>
                      <w:rFonts w:ascii="Verdana" w:hAnsi="Verdana"/>
                      <w:color w:val="000000"/>
                      <w:sz w:val="19"/>
                      <w:szCs w:val="19"/>
                    </w:rPr>
                    <w:t>GTP</w:t>
                  </w:r>
                  <w:proofErr w:type="spellEnd"/>
                  <w:r>
                    <w:rPr>
                      <w:rFonts w:ascii="Verdana" w:hAnsi="Verdana"/>
                      <w:color w:val="000000"/>
                      <w:sz w:val="19"/>
                      <w:szCs w:val="19"/>
                    </w:rPr>
                    <w:t xml:space="preserve"> and splits into two units (an alpha unit and a beta-gamma unit), each of which can activate cellular </w:t>
                  </w:r>
                  <w:proofErr w:type="spellStart"/>
                  <w:r>
                    <w:rPr>
                      <w:rFonts w:ascii="Verdana" w:hAnsi="Verdana"/>
                      <w:color w:val="000000"/>
                      <w:sz w:val="19"/>
                      <w:szCs w:val="19"/>
                    </w:rPr>
                    <w:t>signalling</w:t>
                  </w:r>
                  <w:proofErr w:type="spellEnd"/>
                  <w:r>
                    <w:rPr>
                      <w:rFonts w:ascii="Verdana" w:hAnsi="Verdana"/>
                      <w:color w:val="000000"/>
                      <w:sz w:val="19"/>
                      <w:szCs w:val="19"/>
                    </w:rPr>
                    <w:t xml:space="preserve"> pathways </w:t>
                  </w:r>
                </w:p>
              </w:tc>
            </w:tr>
            <w:tr w:rsidR="00315B17">
              <w:trPr>
                <w:tblCellSpacing w:w="0" w:type="dxa"/>
              </w:trPr>
              <w:tc>
                <w:tcPr>
                  <w:tcW w:w="0" w:type="auto"/>
                  <w:gridSpan w:val="2"/>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t>3.</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2"/>
              <w:gridCol w:w="7741"/>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What is a ligand-binding domain and why is it significant? </w:t>
                  </w:r>
                </w:p>
              </w:tc>
            </w:tr>
            <w:tr w:rsidR="00315B17">
              <w:trPr>
                <w:tblCellSpacing w:w="0" w:type="dxa"/>
              </w:trPr>
              <w:tc>
                <w:tcPr>
                  <w:tcW w:w="0" w:type="auto"/>
                  <w:gridSpan w:val="2"/>
                  <w:vAlign w:val="center"/>
                </w:tcPr>
                <w:p w:rsidR="00315B17" w:rsidRDefault="00315B17">
                  <w:pPr>
                    <w:rPr>
                      <w:rFonts w:ascii="Verdana" w:hAnsi="Verdana"/>
                      <w:color w:val="000000"/>
                      <w:sz w:val="19"/>
                      <w:szCs w:val="19"/>
                    </w:rPr>
                  </w:pPr>
                </w:p>
              </w:tc>
            </w:tr>
            <w:tr w:rsidR="00315B17" w:rsidTr="00315B17">
              <w:trPr>
                <w:tblCellSpacing w:w="0" w:type="dxa"/>
              </w:trPr>
              <w:tc>
                <w:tcPr>
                  <w:tcW w:w="672" w:type="pct"/>
                  <w:hideMark/>
                </w:tcPr>
                <w:p w:rsidR="00315B17" w:rsidRDefault="00315B17">
                  <w:pPr>
                    <w:rPr>
                      <w:rFonts w:ascii="Verdana" w:hAnsi="Verdana"/>
                      <w:color w:val="000000"/>
                      <w:sz w:val="19"/>
                      <w:szCs w:val="19"/>
                    </w:rPr>
                  </w:pPr>
                  <w:r>
                    <w:rPr>
                      <w:rFonts w:ascii="Verdana" w:hAnsi="Verdana"/>
                      <w:color w:val="000000"/>
                      <w:sz w:val="19"/>
                      <w:szCs w:val="19"/>
                    </w:rPr>
                    <w:t>Sample Correct 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t xml:space="preserve">- A ligand-binding domain is the part of a receptor to which its particular </w:t>
                  </w:r>
                  <w:proofErr w:type="spellStart"/>
                  <w:r>
                    <w:rPr>
                      <w:rFonts w:ascii="Verdana" w:hAnsi="Verdana"/>
                      <w:color w:val="000000"/>
                      <w:sz w:val="19"/>
                      <w:szCs w:val="19"/>
                    </w:rPr>
                    <w:t>signalling</w:t>
                  </w:r>
                  <w:proofErr w:type="spellEnd"/>
                  <w:r>
                    <w:rPr>
                      <w:rFonts w:ascii="Verdana" w:hAnsi="Verdana"/>
                      <w:color w:val="000000"/>
                      <w:sz w:val="19"/>
                      <w:szCs w:val="19"/>
                    </w:rPr>
                    <w:t xml:space="preserve"> molecule (the ligand) binds to activate the receptor; there is a specific fit between the receptor and its ligand. - It is significant as the mechanism through which a receptor is activated by a </w:t>
                  </w:r>
                  <w:proofErr w:type="spellStart"/>
                  <w:r>
                    <w:rPr>
                      <w:rFonts w:ascii="Verdana" w:hAnsi="Verdana"/>
                      <w:color w:val="000000"/>
                      <w:sz w:val="19"/>
                      <w:szCs w:val="19"/>
                    </w:rPr>
                    <w:t>signalling</w:t>
                  </w:r>
                  <w:proofErr w:type="spellEnd"/>
                  <w:r>
                    <w:rPr>
                      <w:rFonts w:ascii="Verdana" w:hAnsi="Verdana"/>
                      <w:color w:val="000000"/>
                      <w:sz w:val="19"/>
                      <w:szCs w:val="19"/>
                    </w:rPr>
                    <w:t xml:space="preserve"> molecule in a very specific fashion. </w:t>
                  </w:r>
                </w:p>
              </w:tc>
            </w:tr>
            <w:tr w:rsidR="00315B17">
              <w:trPr>
                <w:tblCellSpacing w:w="0" w:type="dxa"/>
              </w:trPr>
              <w:tc>
                <w:tcPr>
                  <w:tcW w:w="0" w:type="auto"/>
                  <w:gridSpan w:val="2"/>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t>4.</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2"/>
              <w:gridCol w:w="7741"/>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What is </w:t>
                  </w:r>
                  <w:proofErr w:type="spellStart"/>
                  <w:r w:rsidRPr="00315B17">
                    <w:rPr>
                      <w:rFonts w:ascii="Verdana" w:hAnsi="Verdana"/>
                      <w:b/>
                      <w:color w:val="000000"/>
                      <w:sz w:val="19"/>
                      <w:szCs w:val="19"/>
                    </w:rPr>
                    <w:t>homeoviscous</w:t>
                  </w:r>
                  <w:proofErr w:type="spellEnd"/>
                  <w:r w:rsidRPr="00315B17">
                    <w:rPr>
                      <w:rFonts w:ascii="Verdana" w:hAnsi="Verdana"/>
                      <w:b/>
                      <w:color w:val="000000"/>
                      <w:sz w:val="19"/>
                      <w:szCs w:val="19"/>
                    </w:rPr>
                    <w:t xml:space="preserve"> adaptation and why is it significant? </w:t>
                  </w:r>
                </w:p>
              </w:tc>
            </w:tr>
            <w:tr w:rsidR="00315B17">
              <w:trPr>
                <w:tblCellSpacing w:w="0" w:type="dxa"/>
              </w:trPr>
              <w:tc>
                <w:tcPr>
                  <w:tcW w:w="0" w:type="auto"/>
                  <w:gridSpan w:val="2"/>
                  <w:vAlign w:val="center"/>
                </w:tcPr>
                <w:p w:rsidR="00315B17" w:rsidRDefault="00315B17">
                  <w:pPr>
                    <w:rPr>
                      <w:rFonts w:ascii="Verdana" w:hAnsi="Verdana"/>
                      <w:color w:val="000000"/>
                      <w:sz w:val="19"/>
                      <w:szCs w:val="19"/>
                    </w:rPr>
                  </w:pPr>
                </w:p>
              </w:tc>
            </w:tr>
            <w:tr w:rsidR="00315B17" w:rsidTr="00315B17">
              <w:trPr>
                <w:tblCellSpacing w:w="0" w:type="dxa"/>
              </w:trPr>
              <w:tc>
                <w:tcPr>
                  <w:tcW w:w="672" w:type="pct"/>
                  <w:hideMark/>
                </w:tcPr>
                <w:p w:rsidR="00315B17" w:rsidRDefault="00315B17">
                  <w:pPr>
                    <w:rPr>
                      <w:rFonts w:ascii="Verdana" w:hAnsi="Verdana"/>
                      <w:color w:val="000000"/>
                      <w:sz w:val="19"/>
                      <w:szCs w:val="19"/>
                    </w:rPr>
                  </w:pPr>
                  <w:r>
                    <w:rPr>
                      <w:rFonts w:ascii="Verdana" w:hAnsi="Verdana"/>
                      <w:color w:val="000000"/>
                      <w:sz w:val="19"/>
                      <w:szCs w:val="19"/>
                    </w:rPr>
                    <w:t>Sample Correct 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t xml:space="preserve">- </w:t>
                  </w:r>
                  <w:proofErr w:type="spellStart"/>
                  <w:r>
                    <w:rPr>
                      <w:rFonts w:ascii="Verdana" w:hAnsi="Verdana"/>
                      <w:color w:val="000000"/>
                      <w:sz w:val="19"/>
                      <w:szCs w:val="19"/>
                    </w:rPr>
                    <w:t>Homeoviscous</w:t>
                  </w:r>
                  <w:proofErr w:type="spellEnd"/>
                  <w:r>
                    <w:rPr>
                      <w:rFonts w:ascii="Verdana" w:hAnsi="Verdana"/>
                      <w:color w:val="000000"/>
                      <w:sz w:val="19"/>
                      <w:szCs w:val="19"/>
                    </w:rPr>
                    <w:t xml:space="preserve"> adaptation refers to the adjustment of membrane phospholipid composition by an organism so as to maintain constant membrane fluidity in the face of changes in environmental temperature. - It is significant in accounting for how organisms maintain membrane fluidity as temperature changes, and in accounting for the changes in membrane phospholipid composition that occur with changes in temperature. </w:t>
                  </w:r>
                </w:p>
              </w:tc>
            </w:tr>
            <w:tr w:rsidR="00315B17">
              <w:trPr>
                <w:tblCellSpacing w:w="0" w:type="dxa"/>
              </w:trPr>
              <w:tc>
                <w:tcPr>
                  <w:tcW w:w="0" w:type="auto"/>
                  <w:gridSpan w:val="2"/>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t>5.</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2"/>
              <w:gridCol w:w="7741"/>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Contrast and compare the basic structure of prokaryotic and eukaryotic cells, using your analysis to explain why prokaryotic cells are typically 10 times smaller than eukaryotic cells in their largest linear dimension. </w:t>
                  </w:r>
                </w:p>
              </w:tc>
            </w:tr>
            <w:tr w:rsidR="00315B17">
              <w:trPr>
                <w:tblCellSpacing w:w="0" w:type="dxa"/>
              </w:trPr>
              <w:tc>
                <w:tcPr>
                  <w:tcW w:w="0" w:type="auto"/>
                  <w:gridSpan w:val="2"/>
                  <w:vAlign w:val="center"/>
                </w:tcPr>
                <w:p w:rsidR="00315B17" w:rsidRDefault="00315B17">
                  <w:pPr>
                    <w:rPr>
                      <w:rFonts w:ascii="Verdana" w:hAnsi="Verdana"/>
                      <w:color w:val="000000"/>
                      <w:sz w:val="19"/>
                      <w:szCs w:val="19"/>
                    </w:rPr>
                  </w:pPr>
                </w:p>
              </w:tc>
            </w:tr>
            <w:tr w:rsidR="00315B17" w:rsidTr="00315B17">
              <w:trPr>
                <w:tblCellSpacing w:w="0" w:type="dxa"/>
              </w:trPr>
              <w:tc>
                <w:tcPr>
                  <w:tcW w:w="672" w:type="pct"/>
                  <w:hideMark/>
                </w:tcPr>
                <w:p w:rsidR="00315B17" w:rsidRDefault="00315B17">
                  <w:pPr>
                    <w:rPr>
                      <w:rFonts w:ascii="Verdana" w:hAnsi="Verdana"/>
                      <w:color w:val="000000"/>
                      <w:sz w:val="19"/>
                      <w:szCs w:val="19"/>
                    </w:rPr>
                  </w:pPr>
                  <w:r>
                    <w:rPr>
                      <w:rFonts w:ascii="Verdana" w:hAnsi="Verdana"/>
                      <w:color w:val="000000"/>
                      <w:sz w:val="19"/>
                      <w:szCs w:val="19"/>
                    </w:rPr>
                    <w:t xml:space="preserve">Sample Correct </w:t>
                  </w:r>
                  <w:r>
                    <w:rPr>
                      <w:rFonts w:ascii="Verdana" w:hAnsi="Verdana"/>
                      <w:color w:val="000000"/>
                      <w:sz w:val="19"/>
                      <w:szCs w:val="19"/>
                    </w:rPr>
                    <w:lastRenderedPageBreak/>
                    <w:t>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lastRenderedPageBreak/>
                    <w:t xml:space="preserve">6 marks - Prokaryotic cells lack membrane-bound organelles, whereas eukaryotic cells may include a number of different membrane-bound organelles </w:t>
                  </w:r>
                  <w:r>
                    <w:rPr>
                      <w:rFonts w:ascii="Verdana" w:hAnsi="Verdana"/>
                      <w:color w:val="000000"/>
                      <w:sz w:val="19"/>
                      <w:szCs w:val="19"/>
                    </w:rPr>
                    <w:lastRenderedPageBreak/>
                    <w:t>such as mitochondria, chloroplasts, Golgi complex, ER, vesicles or vacuoles. (1) - The presence of membrane-bound organelles in eukaryotic cells compartmentalizes the cytoplasm. This reduces the number of molecules that are required to achieve the adequate concentration for biochemical reactions to occur. (1) - The cell may not be able to synthesize sufficient molecules to achieve the adequate concentration for biochemical reactions to occur as cell size increases. The presence of membrane-bound organelles in eukaryotic cells allows them to overcome this limitation, which exists in prokaryotic cells. (1) - Prokaryotic cells lack a cytoskeleton, whereas eukaryotic cells may include microfilaments, microtubules and intermediate filaments. (1) - The presence of microtubules and microfilaments in eukaryotic cells, together with the existence of motor proteins, allows molecules, vesicles and organelles to be moved around the cell rather than relying on diffusion. (1) - Diffusion over long distances may not be sufficiently rapid to keep up with the requirements of the cell. The presence of cytoskeletal transport systems in eukaryotic cells allows them to overcome this limitation, which exists in prokaryotic cells. (1) - Eukaryotic cells possess a membrane-bound nucleus in which the genetic material (DNA) is organized into discrete chromosomes together with protein. By contrast, although prokaryotic cells also possess genetic material that is DNA, it is organized into a single, circular chromosome that lacks protein and constitutes the nucleoid, a region of the cell that is not bounded by a membrane. (1) - Both prokaryotic and eukaryotic cells possess ribosomes for protein synthesis; those of prokaryotic cells are smaller and simpler than those of eukaryotic cells. OR Both prokaryotic and eukaryotic cells may possess a cell wall; the composition of the cell wall differs. (1) (Note - total marks to a maximum of 6)</w:t>
                  </w:r>
                </w:p>
              </w:tc>
            </w:tr>
            <w:tr w:rsidR="00315B17">
              <w:trPr>
                <w:tblCellSpacing w:w="0" w:type="dxa"/>
              </w:trPr>
              <w:tc>
                <w:tcPr>
                  <w:tcW w:w="0" w:type="auto"/>
                  <w:gridSpan w:val="2"/>
                  <w:vAlign w:val="center"/>
                  <w:hideMark/>
                </w:tcPr>
                <w:p w:rsidR="00315B17" w:rsidRDefault="00315B17">
                  <w:pPr>
                    <w:rPr>
                      <w:rFonts w:ascii="Verdana" w:hAnsi="Verdana"/>
                      <w:color w:val="000000"/>
                      <w:sz w:val="19"/>
                      <w:szCs w:val="19"/>
                    </w:rPr>
                  </w:pPr>
                  <w:r>
                    <w:rPr>
                      <w:rFonts w:ascii="Verdana" w:hAnsi="Verdana"/>
                      <w:color w:val="000000"/>
                      <w:sz w:val="19"/>
                      <w:szCs w:val="19"/>
                    </w:rPr>
                    <w:lastRenderedPageBreak/>
                    <w:t>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lastRenderedPageBreak/>
              <w:t>6.</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2"/>
              <w:gridCol w:w="7741"/>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Contrast and compare the structure and function of keratin and collagen. </w:t>
                  </w:r>
                </w:p>
              </w:tc>
            </w:tr>
            <w:tr w:rsidR="00315B17">
              <w:trPr>
                <w:tblCellSpacing w:w="0" w:type="dxa"/>
              </w:trPr>
              <w:tc>
                <w:tcPr>
                  <w:tcW w:w="0" w:type="auto"/>
                  <w:gridSpan w:val="2"/>
                  <w:vAlign w:val="center"/>
                </w:tcPr>
                <w:p w:rsidR="00315B17" w:rsidRDefault="00315B17">
                  <w:pPr>
                    <w:rPr>
                      <w:rFonts w:ascii="Verdana" w:hAnsi="Verdana"/>
                      <w:color w:val="000000"/>
                      <w:sz w:val="19"/>
                      <w:szCs w:val="19"/>
                    </w:rPr>
                  </w:pPr>
                </w:p>
              </w:tc>
            </w:tr>
            <w:tr w:rsidR="00315B17" w:rsidTr="00315B17">
              <w:trPr>
                <w:tblCellSpacing w:w="0" w:type="dxa"/>
              </w:trPr>
              <w:tc>
                <w:tcPr>
                  <w:tcW w:w="672" w:type="pct"/>
                  <w:hideMark/>
                </w:tcPr>
                <w:p w:rsidR="00315B17" w:rsidRDefault="00315B17">
                  <w:pPr>
                    <w:rPr>
                      <w:rFonts w:ascii="Verdana" w:hAnsi="Verdana"/>
                      <w:color w:val="000000"/>
                      <w:sz w:val="19"/>
                      <w:szCs w:val="19"/>
                    </w:rPr>
                  </w:pPr>
                  <w:r>
                    <w:rPr>
                      <w:rFonts w:ascii="Verdana" w:hAnsi="Verdana"/>
                      <w:color w:val="000000"/>
                      <w:sz w:val="19"/>
                      <w:szCs w:val="19"/>
                    </w:rPr>
                    <w:t>Sample Correct 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t xml:space="preserve">4 marks - Both keratin and collagen are fibrous proteins (although keratin does have globular domains at each end of the fibrous alpha-helix region) that are synthesized by animal cells and play structural roles. (1) - Whereas keratin is found in intermediate filaments (and so is an intracellular protein), collagen forms into collagen </w:t>
                  </w:r>
                  <w:proofErr w:type="spellStart"/>
                  <w:r>
                    <w:rPr>
                      <w:rFonts w:ascii="Verdana" w:hAnsi="Verdana"/>
                      <w:color w:val="000000"/>
                      <w:sz w:val="19"/>
                      <w:szCs w:val="19"/>
                    </w:rPr>
                    <w:t>microfibrils</w:t>
                  </w:r>
                  <w:proofErr w:type="spellEnd"/>
                  <w:r>
                    <w:rPr>
                      <w:rFonts w:ascii="Verdana" w:hAnsi="Verdana"/>
                      <w:color w:val="000000"/>
                      <w:sz w:val="19"/>
                      <w:szCs w:val="19"/>
                    </w:rPr>
                    <w:t xml:space="preserve"> in the extracellular matrix. (1) - The building block of intermediate filaments is a </w:t>
                  </w:r>
                  <w:proofErr w:type="spellStart"/>
                  <w:r>
                    <w:rPr>
                      <w:rFonts w:ascii="Verdana" w:hAnsi="Verdana"/>
                      <w:color w:val="000000"/>
                      <w:sz w:val="19"/>
                      <w:szCs w:val="19"/>
                    </w:rPr>
                    <w:t>protofilament</w:t>
                  </w:r>
                  <w:proofErr w:type="spellEnd"/>
                  <w:r>
                    <w:rPr>
                      <w:rFonts w:ascii="Verdana" w:hAnsi="Verdana"/>
                      <w:color w:val="000000"/>
                      <w:sz w:val="19"/>
                      <w:szCs w:val="19"/>
                    </w:rPr>
                    <w:t xml:space="preserve"> consisting of two keratin coiled-coil dimers (i.e. a tetramer) (1). By contrast, the building block of collagen </w:t>
                  </w:r>
                  <w:proofErr w:type="spellStart"/>
                  <w:r>
                    <w:rPr>
                      <w:rFonts w:ascii="Verdana" w:hAnsi="Verdana"/>
                      <w:color w:val="000000"/>
                      <w:sz w:val="19"/>
                      <w:szCs w:val="19"/>
                    </w:rPr>
                    <w:t>microfibrils</w:t>
                  </w:r>
                  <w:proofErr w:type="spellEnd"/>
                  <w:r>
                    <w:rPr>
                      <w:rFonts w:ascii="Verdana" w:hAnsi="Verdana"/>
                      <w:color w:val="000000"/>
                      <w:sz w:val="19"/>
                      <w:szCs w:val="19"/>
                    </w:rPr>
                    <w:t xml:space="preserve"> is a triple helix of collagen proteins (a </w:t>
                  </w:r>
                  <w:proofErr w:type="spellStart"/>
                  <w:r>
                    <w:rPr>
                      <w:rFonts w:ascii="Verdana" w:hAnsi="Verdana"/>
                      <w:color w:val="000000"/>
                      <w:sz w:val="19"/>
                      <w:szCs w:val="19"/>
                    </w:rPr>
                    <w:t>trimer</w:t>
                  </w:r>
                  <w:proofErr w:type="spellEnd"/>
                  <w:r>
                    <w:rPr>
                      <w:rFonts w:ascii="Verdana" w:hAnsi="Verdana"/>
                      <w:color w:val="000000"/>
                      <w:sz w:val="19"/>
                      <w:szCs w:val="19"/>
                    </w:rPr>
                    <w:t xml:space="preserve">). (1) </w:t>
                  </w:r>
                </w:p>
              </w:tc>
            </w:tr>
            <w:tr w:rsidR="00315B17">
              <w:trPr>
                <w:tblCellSpacing w:w="0" w:type="dxa"/>
              </w:trPr>
              <w:tc>
                <w:tcPr>
                  <w:tcW w:w="0" w:type="auto"/>
                  <w:gridSpan w:val="2"/>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t>7.</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2"/>
              <w:gridCol w:w="7741"/>
            </w:tblGrid>
            <w:tr w:rsidR="00315B17">
              <w:trPr>
                <w:tblCellSpacing w:w="0" w:type="dxa"/>
              </w:trPr>
              <w:tc>
                <w:tcPr>
                  <w:tcW w:w="0" w:type="auto"/>
                  <w:gridSpan w:val="2"/>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 xml:space="preserve">You hypothesize that the growth of the axon of a neuron during development relies on the cytoskeleton. Design an experiment to test this hypothesis, briefly describing the experimental approach that would be taken, the rationale for this experimental approach, and the expected results. </w:t>
                  </w:r>
                </w:p>
              </w:tc>
            </w:tr>
            <w:tr w:rsidR="00315B17">
              <w:trPr>
                <w:tblCellSpacing w:w="0" w:type="dxa"/>
              </w:trPr>
              <w:tc>
                <w:tcPr>
                  <w:tcW w:w="0" w:type="auto"/>
                  <w:gridSpan w:val="2"/>
                  <w:vAlign w:val="center"/>
                </w:tcPr>
                <w:p w:rsidR="00315B17" w:rsidRDefault="00315B17">
                  <w:pPr>
                    <w:rPr>
                      <w:rFonts w:ascii="Verdana" w:hAnsi="Verdana"/>
                      <w:color w:val="000000"/>
                      <w:sz w:val="19"/>
                      <w:szCs w:val="19"/>
                    </w:rPr>
                  </w:pPr>
                </w:p>
              </w:tc>
            </w:tr>
            <w:tr w:rsidR="00315B17" w:rsidTr="00315B17">
              <w:trPr>
                <w:tblCellSpacing w:w="0" w:type="dxa"/>
              </w:trPr>
              <w:tc>
                <w:tcPr>
                  <w:tcW w:w="672" w:type="pct"/>
                  <w:hideMark/>
                </w:tcPr>
                <w:p w:rsidR="00315B17" w:rsidRDefault="00315B17">
                  <w:pPr>
                    <w:rPr>
                      <w:rFonts w:ascii="Verdana" w:hAnsi="Verdana"/>
                      <w:color w:val="000000"/>
                      <w:sz w:val="19"/>
                      <w:szCs w:val="19"/>
                    </w:rPr>
                  </w:pPr>
                  <w:r>
                    <w:rPr>
                      <w:rFonts w:ascii="Verdana" w:hAnsi="Verdana"/>
                      <w:color w:val="000000"/>
                      <w:sz w:val="19"/>
                      <w:szCs w:val="19"/>
                    </w:rPr>
                    <w:t>Sample Correct Answer</w:t>
                  </w:r>
                </w:p>
              </w:tc>
              <w:tc>
                <w:tcPr>
                  <w:tcW w:w="0" w:type="auto"/>
                  <w:hideMark/>
                </w:tcPr>
                <w:p w:rsidR="00315B17" w:rsidRDefault="00315B17">
                  <w:pPr>
                    <w:rPr>
                      <w:rFonts w:ascii="Verdana" w:hAnsi="Verdana"/>
                      <w:color w:val="000000"/>
                      <w:sz w:val="19"/>
                      <w:szCs w:val="19"/>
                    </w:rPr>
                  </w:pPr>
                  <w:r>
                    <w:rPr>
                      <w:rFonts w:ascii="Verdana" w:hAnsi="Verdana"/>
                      <w:color w:val="000000"/>
                      <w:sz w:val="19"/>
                      <w:szCs w:val="19"/>
                    </w:rPr>
                    <w:t xml:space="preserve">3 marks - To determine whether the growth of the axon of a neuron during development relies on the cytoskeleton, one could inhibit microfilament polymerization using </w:t>
                  </w:r>
                  <w:proofErr w:type="spellStart"/>
                  <w:r>
                    <w:rPr>
                      <w:rFonts w:ascii="Verdana" w:hAnsi="Verdana"/>
                      <w:color w:val="000000"/>
                      <w:sz w:val="19"/>
                      <w:szCs w:val="19"/>
                    </w:rPr>
                    <w:t>cytochalasin</w:t>
                  </w:r>
                  <w:proofErr w:type="spellEnd"/>
                  <w:r>
                    <w:rPr>
                      <w:rFonts w:ascii="Verdana" w:hAnsi="Verdana"/>
                      <w:color w:val="000000"/>
                      <w:sz w:val="19"/>
                      <w:szCs w:val="19"/>
                    </w:rPr>
                    <w:t xml:space="preserve"> OR one could stabilize microfilaments using </w:t>
                  </w:r>
                  <w:proofErr w:type="spellStart"/>
                  <w:r>
                    <w:rPr>
                      <w:rFonts w:ascii="Verdana" w:hAnsi="Verdana"/>
                      <w:color w:val="000000"/>
                      <w:sz w:val="19"/>
                      <w:szCs w:val="19"/>
                    </w:rPr>
                    <w:t>phalloidin</w:t>
                  </w:r>
                  <w:proofErr w:type="spellEnd"/>
                  <w:r>
                    <w:rPr>
                      <w:rFonts w:ascii="Verdana" w:hAnsi="Verdana"/>
                      <w:color w:val="000000"/>
                      <w:sz w:val="19"/>
                      <w:szCs w:val="19"/>
                    </w:rPr>
                    <w:t xml:space="preserve">. (1) - The rationale for this approach is that growth of the axon would rely on microfilament polymerization to create a cytoplasmic extension (a </w:t>
                  </w:r>
                  <w:proofErr w:type="spellStart"/>
                  <w:r>
                    <w:rPr>
                      <w:rFonts w:ascii="Verdana" w:hAnsi="Verdana"/>
                      <w:color w:val="000000"/>
                      <w:sz w:val="19"/>
                      <w:szCs w:val="19"/>
                    </w:rPr>
                    <w:t>lamellipodium</w:t>
                  </w:r>
                  <w:proofErr w:type="spellEnd"/>
                  <w:r>
                    <w:rPr>
                      <w:rFonts w:ascii="Verdana" w:hAnsi="Verdana"/>
                      <w:color w:val="000000"/>
                      <w:sz w:val="19"/>
                      <w:szCs w:val="19"/>
                    </w:rPr>
                    <w:t xml:space="preserve"> or </w:t>
                  </w:r>
                  <w:proofErr w:type="spellStart"/>
                  <w:r>
                    <w:rPr>
                      <w:rFonts w:ascii="Verdana" w:hAnsi="Verdana"/>
                      <w:color w:val="000000"/>
                      <w:sz w:val="19"/>
                      <w:szCs w:val="19"/>
                    </w:rPr>
                    <w:t>filapodium</w:t>
                  </w:r>
                  <w:proofErr w:type="spellEnd"/>
                  <w:r>
                    <w:rPr>
                      <w:rFonts w:ascii="Verdana" w:hAnsi="Verdana"/>
                      <w:color w:val="000000"/>
                      <w:sz w:val="19"/>
                      <w:szCs w:val="19"/>
                    </w:rPr>
                    <w:t xml:space="preserve">) in the direction the axon is to grow. In this </w:t>
                  </w:r>
                  <w:r>
                    <w:rPr>
                      <w:rFonts w:ascii="Verdana" w:hAnsi="Verdana"/>
                      <w:color w:val="000000"/>
                      <w:sz w:val="19"/>
                      <w:szCs w:val="19"/>
                    </w:rPr>
                    <w:lastRenderedPageBreak/>
                    <w:t xml:space="preserve">mechanism, addition of ATP-G-actin monomers to the plus end of a microfilament lengthens the microfilament, creating a cytoplasmic extension. At the same time, ADP-G-actin monomers dissociate from the minus end of the microfilament and can be recycled to the plus end to maintain the growth/extension of the cytoplasm. (1) - Thus, we would predict that if axon growth relies on microfilament polymerization, axon growth would be inhibited by inhibiting the dynamic activity of microfilaments. This could be done by inhibiting microfilament polymerization with </w:t>
                  </w:r>
                  <w:proofErr w:type="spellStart"/>
                  <w:r>
                    <w:rPr>
                      <w:rFonts w:ascii="Verdana" w:hAnsi="Verdana"/>
                      <w:color w:val="000000"/>
                      <w:sz w:val="19"/>
                      <w:szCs w:val="19"/>
                    </w:rPr>
                    <w:t>cytochalasin</w:t>
                  </w:r>
                  <w:proofErr w:type="spellEnd"/>
                  <w:r>
                    <w:rPr>
                      <w:rFonts w:ascii="Verdana" w:hAnsi="Verdana"/>
                      <w:color w:val="000000"/>
                      <w:sz w:val="19"/>
                      <w:szCs w:val="19"/>
                    </w:rPr>
                    <w:t xml:space="preserve">. (1) OR This could be done by stabilizing microfilament arrays with </w:t>
                  </w:r>
                  <w:proofErr w:type="spellStart"/>
                  <w:r>
                    <w:rPr>
                      <w:rFonts w:ascii="Verdana" w:hAnsi="Verdana"/>
                      <w:color w:val="000000"/>
                      <w:sz w:val="19"/>
                      <w:szCs w:val="19"/>
                    </w:rPr>
                    <w:t>phalloidin</w:t>
                  </w:r>
                  <w:proofErr w:type="spellEnd"/>
                  <w:r>
                    <w:rPr>
                      <w:rFonts w:ascii="Verdana" w:hAnsi="Verdana"/>
                      <w:color w:val="000000"/>
                      <w:sz w:val="19"/>
                      <w:szCs w:val="19"/>
                    </w:rPr>
                    <w:t xml:space="preserve">. (1) </w:t>
                  </w:r>
                </w:p>
              </w:tc>
            </w:tr>
            <w:tr w:rsidR="00315B17">
              <w:trPr>
                <w:tblCellSpacing w:w="0" w:type="dxa"/>
              </w:trPr>
              <w:tc>
                <w:tcPr>
                  <w:tcW w:w="0" w:type="auto"/>
                  <w:gridSpan w:val="2"/>
                  <w:vAlign w:val="center"/>
                  <w:hideMark/>
                </w:tcPr>
                <w:p w:rsidR="00315B17" w:rsidRDefault="00315B17">
                  <w:pPr>
                    <w:rPr>
                      <w:rFonts w:ascii="Verdana" w:hAnsi="Verdana"/>
                      <w:color w:val="000000"/>
                      <w:sz w:val="19"/>
                      <w:szCs w:val="19"/>
                    </w:rPr>
                  </w:pPr>
                  <w:r>
                    <w:rPr>
                      <w:rFonts w:ascii="Verdana" w:hAnsi="Verdana"/>
                      <w:color w:val="000000"/>
                      <w:sz w:val="19"/>
                      <w:szCs w:val="19"/>
                    </w:rPr>
                    <w:lastRenderedPageBreak/>
                    <w:t> </w:t>
                  </w:r>
                </w:p>
              </w:tc>
            </w:tr>
          </w:tbl>
          <w:p w:rsidR="00315B17" w:rsidRDefault="00315B17">
            <w:pPr>
              <w:rPr>
                <w:rFonts w:ascii="Verdana" w:hAnsi="Verdana"/>
                <w:color w:val="000000"/>
                <w:sz w:val="19"/>
                <w:szCs w:val="19"/>
              </w:rPr>
            </w:pPr>
          </w:p>
        </w:tc>
      </w:tr>
      <w:tr w:rsidR="00315B17" w:rsidTr="00315B17">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hideMark/>
          </w:tcPr>
          <w:p w:rsidR="00315B17" w:rsidRDefault="00315B17">
            <w:pPr>
              <w:outlineLvl w:val="2"/>
              <w:rPr>
                <w:rFonts w:ascii="Verdana" w:hAnsi="Verdana"/>
                <w:b/>
                <w:bCs/>
                <w:color w:val="000000"/>
                <w:sz w:val="19"/>
                <w:szCs w:val="19"/>
              </w:rPr>
            </w:pPr>
            <w:r>
              <w:rPr>
                <w:rFonts w:ascii="Verdana" w:hAnsi="Verdana"/>
                <w:b/>
                <w:bCs/>
                <w:color w:val="000000"/>
                <w:sz w:val="19"/>
                <w:szCs w:val="19"/>
              </w:rPr>
              <w:lastRenderedPageBreak/>
              <w:t>8.</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315B17" w:rsidRDefault="00315B17">
            <w:pPr>
              <w:rPr>
                <w:rFonts w:ascii="Verdana" w:hAnsi="Verdana"/>
                <w:color w:val="000000"/>
                <w:sz w:val="19"/>
                <w:szCs w:val="19"/>
              </w:rPr>
            </w:pPr>
          </w:p>
        </w:tc>
      </w:tr>
      <w:tr w:rsidR="00315B17" w:rsidTr="00315B17">
        <w:trPr>
          <w:tblCellSpacing w:w="0" w:type="dxa"/>
        </w:trPr>
        <w:tc>
          <w:tcPr>
            <w:tcW w:w="0" w:type="auto"/>
            <w:tcMar>
              <w:top w:w="15" w:type="dxa"/>
              <w:left w:w="15" w:type="dxa"/>
              <w:bottom w:w="15" w:type="dxa"/>
              <w:right w:w="15" w:type="dxa"/>
            </w:tcMar>
            <w:vAlign w:val="center"/>
            <w:hideMark/>
          </w:tcPr>
          <w:p w:rsidR="00315B17" w:rsidRDefault="00315B17">
            <w:pPr>
              <w:rPr>
                <w:rFonts w:ascii="Verdana" w:hAnsi="Verdana"/>
                <w:color w:val="000000"/>
                <w:sz w:val="19"/>
                <w:szCs w:val="19"/>
              </w:rPr>
            </w:pPr>
            <w:r>
              <w:rPr>
                <w:rFonts w:ascii="Verdana" w:hAnsi="Verdana"/>
                <w:color w:val="000000"/>
                <w:sz w:val="19"/>
                <w:szCs w:val="19"/>
              </w:rPr>
              <w:t> </w:t>
            </w:r>
          </w:p>
        </w:tc>
        <w:tc>
          <w:tcPr>
            <w:tcW w:w="0" w:type="auto"/>
            <w:tcMar>
              <w:top w:w="15" w:type="dxa"/>
              <w:left w:w="15" w:type="dxa"/>
              <w:bottom w:w="15" w:type="dxa"/>
              <w:right w:w="15" w:type="dxa"/>
            </w:tcMar>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943"/>
            </w:tblGrid>
            <w:tr w:rsidR="00315B17">
              <w:trPr>
                <w:tblCellSpacing w:w="0" w:type="dxa"/>
              </w:trPr>
              <w:tc>
                <w:tcPr>
                  <w:tcW w:w="0" w:type="auto"/>
                  <w:hideMark/>
                </w:tcPr>
                <w:p w:rsidR="00315B17" w:rsidRPr="00315B17" w:rsidRDefault="00315B17">
                  <w:pPr>
                    <w:rPr>
                      <w:rFonts w:ascii="Verdana" w:hAnsi="Verdana"/>
                      <w:b/>
                      <w:color w:val="000000"/>
                      <w:sz w:val="19"/>
                      <w:szCs w:val="19"/>
                    </w:rPr>
                  </w:pPr>
                  <w:r w:rsidRPr="00315B17">
                    <w:rPr>
                      <w:rFonts w:ascii="Verdana" w:hAnsi="Verdana"/>
                      <w:b/>
                      <w:color w:val="000000"/>
                      <w:sz w:val="19"/>
                      <w:szCs w:val="19"/>
                    </w:rPr>
                    <w:t>For a bonus mark that, in the spirit of socialism will be applied to the entire class if even one person is successful, identify the fish species of the roadside attractions of the following locations (all of which have been featured on the “Announcements” slides!).</w:t>
                  </w:r>
                  <w:r w:rsidRPr="00315B17">
                    <w:rPr>
                      <w:rFonts w:ascii="Verdana" w:hAnsi="Verdana"/>
                      <w:b/>
                      <w:color w:val="000000"/>
                      <w:sz w:val="19"/>
                      <w:szCs w:val="19"/>
                    </w:rPr>
                    <w:br/>
                  </w:r>
                  <w:r w:rsidRPr="00315B17">
                    <w:rPr>
                      <w:rFonts w:ascii="Verdana" w:hAnsi="Verdana"/>
                      <w:b/>
                      <w:color w:val="000000"/>
                      <w:sz w:val="19"/>
                      <w:szCs w:val="19"/>
                    </w:rPr>
                    <w:br/>
                    <w:t xml:space="preserve">a. </w:t>
                  </w:r>
                  <w:proofErr w:type="spellStart"/>
                  <w:r w:rsidRPr="00315B17">
                    <w:rPr>
                      <w:rFonts w:ascii="Verdana" w:hAnsi="Verdana"/>
                      <w:b/>
                      <w:color w:val="000000"/>
                      <w:sz w:val="19"/>
                      <w:szCs w:val="19"/>
                    </w:rPr>
                    <w:t>Gananoque</w:t>
                  </w:r>
                  <w:proofErr w:type="spellEnd"/>
                  <w:r w:rsidRPr="00315B17">
                    <w:rPr>
                      <w:rFonts w:ascii="Verdana" w:hAnsi="Verdana"/>
                      <w:b/>
                      <w:color w:val="000000"/>
                      <w:sz w:val="19"/>
                      <w:szCs w:val="19"/>
                    </w:rPr>
                    <w:t>, Ontario - 1.-----</w:t>
                  </w:r>
                  <w:r w:rsidRPr="00315B17">
                    <w:rPr>
                      <w:rFonts w:ascii="Verdana" w:hAnsi="Verdana"/>
                      <w:b/>
                      <w:color w:val="000000"/>
                      <w:sz w:val="19"/>
                      <w:szCs w:val="19"/>
                    </w:rPr>
                    <w:br/>
                    <w:t>b. Selkirk, Manitoba - 2.-----</w:t>
                  </w:r>
                  <w:r w:rsidRPr="00315B17">
                    <w:rPr>
                      <w:rFonts w:ascii="Verdana" w:hAnsi="Verdana"/>
                      <w:b/>
                      <w:color w:val="000000"/>
                      <w:sz w:val="19"/>
                      <w:szCs w:val="19"/>
                    </w:rPr>
                    <w:br/>
                    <w:t xml:space="preserve">c. Sault </w:t>
                  </w:r>
                  <w:proofErr w:type="spellStart"/>
                  <w:r w:rsidRPr="00315B17">
                    <w:rPr>
                      <w:rFonts w:ascii="Verdana" w:hAnsi="Verdana"/>
                      <w:b/>
                      <w:color w:val="000000"/>
                      <w:sz w:val="19"/>
                      <w:szCs w:val="19"/>
                    </w:rPr>
                    <w:t>Ste</w:t>
                  </w:r>
                  <w:proofErr w:type="spellEnd"/>
                  <w:r w:rsidRPr="00315B17">
                    <w:rPr>
                      <w:rFonts w:ascii="Verdana" w:hAnsi="Verdana"/>
                      <w:b/>
                      <w:color w:val="000000"/>
                      <w:sz w:val="19"/>
                      <w:szCs w:val="19"/>
                    </w:rPr>
                    <w:t xml:space="preserve"> Marie, Ontario - 3.-----</w:t>
                  </w:r>
                  <w:r w:rsidRPr="00315B17">
                    <w:rPr>
                      <w:rFonts w:ascii="Verdana" w:hAnsi="Verdana"/>
                      <w:b/>
                      <w:color w:val="000000"/>
                      <w:sz w:val="19"/>
                      <w:szCs w:val="19"/>
                    </w:rPr>
                    <w:br/>
                    <w:t xml:space="preserve">d. </w:t>
                  </w:r>
                  <w:proofErr w:type="spellStart"/>
                  <w:r w:rsidRPr="00315B17">
                    <w:rPr>
                      <w:rFonts w:ascii="Verdana" w:hAnsi="Verdana"/>
                      <w:b/>
                      <w:color w:val="000000"/>
                      <w:sz w:val="19"/>
                      <w:szCs w:val="19"/>
                    </w:rPr>
                    <w:t>Campbellton</w:t>
                  </w:r>
                  <w:proofErr w:type="spellEnd"/>
                  <w:r w:rsidRPr="00315B17">
                    <w:rPr>
                      <w:rFonts w:ascii="Verdana" w:hAnsi="Verdana"/>
                      <w:b/>
                      <w:color w:val="000000"/>
                      <w:sz w:val="19"/>
                      <w:szCs w:val="19"/>
                    </w:rPr>
                    <w:t>, New Brunswick - 4.-----</w:t>
                  </w:r>
                  <w:r w:rsidRPr="00315B17">
                    <w:rPr>
                      <w:rFonts w:ascii="Verdana" w:hAnsi="Verdana"/>
                      <w:b/>
                      <w:color w:val="000000"/>
                      <w:sz w:val="19"/>
                      <w:szCs w:val="19"/>
                    </w:rPr>
                    <w:br/>
                    <w:t>e. Dominion City, Manitoba - 5.-----</w:t>
                  </w:r>
                  <w:r w:rsidRPr="00315B17">
                    <w:rPr>
                      <w:rFonts w:ascii="Verdana" w:hAnsi="Verdana"/>
                      <w:b/>
                      <w:color w:val="000000"/>
                      <w:sz w:val="19"/>
                      <w:szCs w:val="19"/>
                    </w:rPr>
                    <w:br/>
                    <w:t xml:space="preserve">f. </w:t>
                  </w:r>
                  <w:proofErr w:type="spellStart"/>
                  <w:r w:rsidRPr="00315B17">
                    <w:rPr>
                      <w:rFonts w:ascii="Verdana" w:hAnsi="Verdana"/>
                      <w:b/>
                      <w:color w:val="000000"/>
                      <w:sz w:val="19"/>
                      <w:szCs w:val="19"/>
                    </w:rPr>
                    <w:t>Upsala</w:t>
                  </w:r>
                  <w:proofErr w:type="spellEnd"/>
                  <w:r w:rsidRPr="00315B17">
                    <w:rPr>
                      <w:rFonts w:ascii="Verdana" w:hAnsi="Verdana"/>
                      <w:b/>
                      <w:color w:val="000000"/>
                      <w:sz w:val="19"/>
                      <w:szCs w:val="19"/>
                    </w:rPr>
                    <w:t>, Ontario - 6.-----</w:t>
                  </w:r>
                  <w:r w:rsidRPr="00315B17">
                    <w:rPr>
                      <w:rFonts w:ascii="Verdana" w:hAnsi="Verdana"/>
                      <w:b/>
                      <w:color w:val="000000"/>
                      <w:sz w:val="19"/>
                      <w:szCs w:val="19"/>
                    </w:rPr>
                    <w:br/>
                    <w:t>g. Westport, Ontario - 7.-----</w:t>
                  </w:r>
                  <w:r w:rsidRPr="00315B17">
                    <w:rPr>
                      <w:rFonts w:ascii="Verdana" w:hAnsi="Verdana"/>
                      <w:b/>
                      <w:color w:val="000000"/>
                      <w:sz w:val="19"/>
                      <w:szCs w:val="19"/>
                    </w:rPr>
                    <w:br/>
                    <w:t xml:space="preserve">h. </w:t>
                  </w:r>
                  <w:proofErr w:type="spellStart"/>
                  <w:r w:rsidRPr="00315B17">
                    <w:rPr>
                      <w:rFonts w:ascii="Verdana" w:hAnsi="Verdana"/>
                      <w:b/>
                      <w:color w:val="000000"/>
                      <w:sz w:val="19"/>
                      <w:szCs w:val="19"/>
                    </w:rPr>
                    <w:t>Kenora</w:t>
                  </w:r>
                  <w:proofErr w:type="spellEnd"/>
                  <w:r w:rsidRPr="00315B17">
                    <w:rPr>
                      <w:rFonts w:ascii="Verdana" w:hAnsi="Verdana"/>
                      <w:b/>
                      <w:color w:val="000000"/>
                      <w:sz w:val="19"/>
                      <w:szCs w:val="19"/>
                    </w:rPr>
                    <w:t xml:space="preserve">, Ontario - 8.----- </w:t>
                  </w:r>
                </w:p>
              </w:tc>
            </w:tr>
            <w:tr w:rsidR="00315B17">
              <w:trPr>
                <w:tblCellSpacing w:w="0" w:type="dxa"/>
              </w:trPr>
              <w:tc>
                <w:tcPr>
                  <w:tcW w:w="0" w:type="auto"/>
                  <w:vAlign w:val="center"/>
                </w:tcPr>
                <w:p w:rsidR="00315B17" w:rsidRDefault="00315B17">
                  <w:pPr>
                    <w:rPr>
                      <w:rFonts w:ascii="Verdana" w:hAnsi="Verdana"/>
                      <w:color w:val="000000"/>
                      <w:sz w:val="19"/>
                      <w:szCs w:val="19"/>
                    </w:rPr>
                  </w:pPr>
                </w:p>
              </w:tc>
            </w:tr>
            <w:tr w:rsidR="00315B17">
              <w:trPr>
                <w:tblCellSpacing w:w="0" w:type="dxa"/>
              </w:trPr>
              <w:tc>
                <w:tcPr>
                  <w:tcW w:w="0" w:type="auto"/>
                  <w:hideMark/>
                </w:tcPr>
                <w:tbl>
                  <w:tblPr>
                    <w:tblW w:w="3238" w:type="pct"/>
                    <w:tblBorders>
                      <w:top w:val="single" w:sz="6" w:space="0" w:color="999999"/>
                      <w:left w:val="single" w:sz="6" w:space="0" w:color="999999"/>
                      <w:bottom w:val="single" w:sz="6" w:space="0" w:color="999999"/>
                      <w:right w:val="single" w:sz="6" w:space="0" w:color="999999"/>
                    </w:tblBorders>
                    <w:shd w:val="clear" w:color="auto" w:fill="FFFFFF"/>
                    <w:tblLook w:val="04A0" w:firstRow="1" w:lastRow="0" w:firstColumn="1" w:lastColumn="0" w:noHBand="0" w:noVBand="1"/>
                  </w:tblPr>
                  <w:tblGrid>
                    <w:gridCol w:w="347"/>
                    <w:gridCol w:w="5376"/>
                  </w:tblGrid>
                  <w:tr w:rsidR="00315B17" w:rsidTr="00315B17">
                    <w:trPr>
                      <w:tblHeader/>
                    </w:trPr>
                    <w:tc>
                      <w:tcPr>
                        <w:tcW w:w="303" w:type="pct"/>
                        <w:tcBorders>
                          <w:top w:val="single" w:sz="6" w:space="0" w:color="999999"/>
                          <w:left w:val="single" w:sz="6" w:space="0" w:color="999999"/>
                          <w:bottom w:val="nil"/>
                          <w:right w:val="nil"/>
                        </w:tcBorders>
                        <w:shd w:val="clear" w:color="auto" w:fill="CAD7EE"/>
                        <w:tcMar>
                          <w:top w:w="45" w:type="dxa"/>
                          <w:left w:w="45" w:type="dxa"/>
                          <w:bottom w:w="45" w:type="dxa"/>
                          <w:right w:w="45" w:type="dxa"/>
                        </w:tcMar>
                        <w:hideMark/>
                      </w:tcPr>
                      <w:p w:rsidR="00315B17" w:rsidRDefault="00315B17">
                        <w:pPr>
                          <w:spacing w:before="90"/>
                          <w:rPr>
                            <w:rFonts w:ascii="Verdana" w:hAnsi="Verdana"/>
                            <w:b/>
                            <w:bCs/>
                            <w:color w:val="394859"/>
                            <w:sz w:val="19"/>
                            <w:szCs w:val="19"/>
                          </w:rPr>
                        </w:pPr>
                        <w:r>
                          <w:rPr>
                            <w:rFonts w:ascii="Verdana" w:hAnsi="Verdana"/>
                            <w:b/>
                            <w:bCs/>
                            <w:color w:val="394859"/>
                            <w:sz w:val="19"/>
                            <w:szCs w:val="19"/>
                          </w:rPr>
                          <w:t> </w:t>
                        </w:r>
                      </w:p>
                    </w:tc>
                    <w:tc>
                      <w:tcPr>
                        <w:tcW w:w="4697" w:type="pct"/>
                        <w:tcBorders>
                          <w:top w:val="single" w:sz="6" w:space="0" w:color="999999"/>
                          <w:left w:val="nil"/>
                          <w:bottom w:val="nil"/>
                          <w:right w:val="single" w:sz="6" w:space="0" w:color="999999"/>
                        </w:tcBorders>
                        <w:shd w:val="clear" w:color="auto" w:fill="CAD7EE"/>
                        <w:tcMar>
                          <w:top w:w="45" w:type="dxa"/>
                          <w:left w:w="45" w:type="dxa"/>
                          <w:bottom w:w="45" w:type="dxa"/>
                          <w:right w:w="45" w:type="dxa"/>
                        </w:tcMar>
                        <w:hideMark/>
                      </w:tcPr>
                      <w:p w:rsidR="00315B17" w:rsidRDefault="00315B17">
                        <w:pPr>
                          <w:spacing w:before="90"/>
                          <w:rPr>
                            <w:rFonts w:ascii="Verdana" w:hAnsi="Verdana"/>
                            <w:b/>
                            <w:bCs/>
                            <w:color w:val="394859"/>
                            <w:sz w:val="19"/>
                            <w:szCs w:val="19"/>
                          </w:rPr>
                        </w:pPr>
                        <w:r>
                          <w:rPr>
                            <w:rFonts w:ascii="Verdana" w:hAnsi="Verdana"/>
                            <w:b/>
                            <w:bCs/>
                            <w:color w:val="394859"/>
                            <w:sz w:val="19"/>
                            <w:szCs w:val="19"/>
                          </w:rPr>
                          <w:t>Correct Answer</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1. 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proofErr w:type="spellStart"/>
                        <w:r>
                          <w:rPr>
                            <w:rFonts w:ascii="Verdana" w:hAnsi="Verdana"/>
                            <w:b/>
                            <w:bCs/>
                            <w:color w:val="000000"/>
                            <w:sz w:val="19"/>
                            <w:szCs w:val="19"/>
                          </w:rPr>
                          <w:t>muskie</w:t>
                        </w:r>
                        <w:proofErr w:type="spellEnd"/>
                        <w:r>
                          <w:rPr>
                            <w:rFonts w:ascii="Verdana" w:hAnsi="Verdana"/>
                            <w:color w:val="000000"/>
                            <w:sz w:val="19"/>
                            <w:szCs w:val="19"/>
                          </w:rPr>
                          <w:t xml:space="preserve"> (5%)</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2. 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r>
                          <w:rPr>
                            <w:rFonts w:ascii="Verdana" w:hAnsi="Verdana"/>
                            <w:b/>
                            <w:bCs/>
                            <w:color w:val="000000"/>
                            <w:sz w:val="19"/>
                            <w:szCs w:val="19"/>
                          </w:rPr>
                          <w:t>catfish</w:t>
                        </w:r>
                        <w:r>
                          <w:rPr>
                            <w:rFonts w:ascii="Verdana" w:hAnsi="Verdana"/>
                            <w:color w:val="000000"/>
                            <w:sz w:val="19"/>
                            <w:szCs w:val="19"/>
                          </w:rPr>
                          <w:t xml:space="preserve"> (20%)</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3. 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r>
                          <w:rPr>
                            <w:rFonts w:ascii="Verdana" w:hAnsi="Verdana"/>
                            <w:b/>
                            <w:bCs/>
                            <w:color w:val="000000"/>
                            <w:sz w:val="19"/>
                            <w:szCs w:val="19"/>
                          </w:rPr>
                          <w:t>trout</w:t>
                        </w:r>
                        <w:r>
                          <w:rPr>
                            <w:rFonts w:ascii="Verdana" w:hAnsi="Verdana"/>
                            <w:color w:val="000000"/>
                            <w:sz w:val="19"/>
                            <w:szCs w:val="19"/>
                          </w:rPr>
                          <w:t xml:space="preserve"> (10%)</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4. 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r>
                          <w:rPr>
                            <w:rFonts w:ascii="Verdana" w:hAnsi="Verdana"/>
                            <w:b/>
                            <w:bCs/>
                            <w:color w:val="000000"/>
                            <w:sz w:val="19"/>
                            <w:szCs w:val="19"/>
                          </w:rPr>
                          <w:t>salmon</w:t>
                        </w:r>
                        <w:r>
                          <w:rPr>
                            <w:rFonts w:ascii="Verdana" w:hAnsi="Verdana"/>
                            <w:color w:val="000000"/>
                            <w:sz w:val="19"/>
                            <w:szCs w:val="19"/>
                          </w:rPr>
                          <w:t xml:space="preserve"> (10%)</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5. 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r>
                          <w:rPr>
                            <w:rFonts w:ascii="Verdana" w:hAnsi="Verdana"/>
                            <w:b/>
                            <w:bCs/>
                            <w:color w:val="000000"/>
                            <w:sz w:val="19"/>
                            <w:szCs w:val="19"/>
                          </w:rPr>
                          <w:t>sturgeon</w:t>
                        </w:r>
                        <w:r>
                          <w:rPr>
                            <w:rFonts w:ascii="Verdana" w:hAnsi="Verdana"/>
                            <w:color w:val="000000"/>
                            <w:sz w:val="19"/>
                            <w:szCs w:val="19"/>
                          </w:rPr>
                          <w:t xml:space="preserve"> (20%)</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6. 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r>
                          <w:rPr>
                            <w:rFonts w:ascii="Verdana" w:hAnsi="Verdana"/>
                            <w:b/>
                            <w:bCs/>
                            <w:color w:val="000000"/>
                            <w:sz w:val="19"/>
                            <w:szCs w:val="19"/>
                          </w:rPr>
                          <w:t>walleye</w:t>
                        </w:r>
                        <w:r>
                          <w:rPr>
                            <w:rFonts w:ascii="Verdana" w:hAnsi="Verdana"/>
                            <w:color w:val="000000"/>
                            <w:sz w:val="19"/>
                            <w:szCs w:val="19"/>
                          </w:rPr>
                          <w:t xml:space="preserve"> (20%)</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7. 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r>
                          <w:rPr>
                            <w:rFonts w:ascii="Verdana" w:hAnsi="Verdana"/>
                            <w:b/>
                            <w:bCs/>
                            <w:color w:val="000000"/>
                            <w:sz w:val="19"/>
                            <w:szCs w:val="19"/>
                          </w:rPr>
                          <w:t>trout</w:t>
                        </w:r>
                        <w:r>
                          <w:rPr>
                            <w:rFonts w:ascii="Verdana" w:hAnsi="Verdana"/>
                            <w:color w:val="000000"/>
                            <w:sz w:val="19"/>
                            <w:szCs w:val="19"/>
                          </w:rPr>
                          <w:t xml:space="preserve"> (10%)</w:t>
                        </w:r>
                      </w:p>
                    </w:tc>
                  </w:tr>
                  <w:tr w:rsidR="00315B17" w:rsidTr="00315B17">
                    <w:tc>
                      <w:tcPr>
                        <w:tcW w:w="0" w:type="auto"/>
                        <w:tcBorders>
                          <w:top w:val="nil"/>
                          <w:left w:val="single" w:sz="6" w:space="0" w:color="999999"/>
                          <w:bottom w:val="single" w:sz="6" w:space="0" w:color="BDBDBD"/>
                          <w:right w:val="nil"/>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8. </w:t>
                        </w:r>
                      </w:p>
                    </w:tc>
                    <w:tc>
                      <w:tcPr>
                        <w:tcW w:w="0" w:type="auto"/>
                        <w:tcBorders>
                          <w:top w:val="nil"/>
                          <w:left w:val="nil"/>
                          <w:bottom w:val="single" w:sz="6" w:space="0" w:color="BDBDBD"/>
                          <w:right w:val="single" w:sz="6" w:space="0" w:color="999999"/>
                        </w:tcBorders>
                        <w:shd w:val="clear" w:color="auto" w:fill="FFFFFF"/>
                        <w:tcMar>
                          <w:top w:w="45" w:type="dxa"/>
                          <w:left w:w="45" w:type="dxa"/>
                          <w:bottom w:w="45" w:type="dxa"/>
                          <w:right w:w="45" w:type="dxa"/>
                        </w:tcMar>
                        <w:hideMark/>
                      </w:tcPr>
                      <w:p w:rsidR="00315B17" w:rsidRDefault="00315B17">
                        <w:pPr>
                          <w:spacing w:before="90"/>
                          <w:rPr>
                            <w:rFonts w:ascii="Verdana" w:hAnsi="Verdana"/>
                            <w:color w:val="000000"/>
                            <w:sz w:val="19"/>
                            <w:szCs w:val="19"/>
                          </w:rPr>
                        </w:pPr>
                        <w:r>
                          <w:rPr>
                            <w:rFonts w:ascii="Verdana" w:hAnsi="Verdana"/>
                            <w:color w:val="000000"/>
                            <w:sz w:val="19"/>
                            <w:szCs w:val="19"/>
                          </w:rPr>
                          <w:t xml:space="preserve">Equals </w:t>
                        </w:r>
                        <w:proofErr w:type="spellStart"/>
                        <w:r>
                          <w:rPr>
                            <w:rFonts w:ascii="Verdana" w:hAnsi="Verdana"/>
                            <w:b/>
                            <w:bCs/>
                            <w:color w:val="000000"/>
                            <w:sz w:val="19"/>
                            <w:szCs w:val="19"/>
                          </w:rPr>
                          <w:t>muskie</w:t>
                        </w:r>
                        <w:proofErr w:type="spellEnd"/>
                        <w:r>
                          <w:rPr>
                            <w:rFonts w:ascii="Verdana" w:hAnsi="Verdana"/>
                            <w:color w:val="000000"/>
                            <w:sz w:val="19"/>
                            <w:szCs w:val="19"/>
                          </w:rPr>
                          <w:t xml:space="preserve"> (5%)</w:t>
                        </w:r>
                      </w:p>
                    </w:tc>
                  </w:tr>
                </w:tbl>
                <w:p w:rsidR="00315B17" w:rsidRDefault="00315B17">
                  <w:pPr>
                    <w:rPr>
                      <w:rFonts w:ascii="Verdana" w:hAnsi="Verdana"/>
                      <w:color w:val="000000"/>
                      <w:sz w:val="19"/>
                      <w:szCs w:val="19"/>
                    </w:rPr>
                  </w:pPr>
                </w:p>
              </w:tc>
            </w:tr>
          </w:tbl>
          <w:p w:rsidR="00315B17" w:rsidRDefault="00315B17">
            <w:pPr>
              <w:rPr>
                <w:rFonts w:ascii="Verdana" w:hAnsi="Verdana"/>
                <w:color w:val="000000"/>
                <w:sz w:val="19"/>
                <w:szCs w:val="19"/>
              </w:rPr>
            </w:pPr>
          </w:p>
        </w:tc>
      </w:tr>
    </w:tbl>
    <w:p w:rsidR="00315B17" w:rsidRDefault="009418BC" w:rsidP="00315B17">
      <w:pPr>
        <w:rPr>
          <w:sz w:val="22"/>
          <w:szCs w:val="22"/>
        </w:rPr>
      </w:pPr>
      <w:r>
        <w:rPr>
          <w:sz w:val="22"/>
          <w:szCs w:val="22"/>
        </w:rPr>
        <w:t xml:space="preserve"> </w:t>
      </w:r>
    </w:p>
    <w:sectPr w:rsidR="00315B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B17"/>
    <w:rsid w:val="001C5BFD"/>
    <w:rsid w:val="00315B17"/>
    <w:rsid w:val="009418BC"/>
    <w:rsid w:val="00A214F8"/>
    <w:rsid w:val="00A85143"/>
    <w:rsid w:val="00B331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B17"/>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B17"/>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7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1102</Words>
  <Characters>6282</Characters>
  <Application>Microsoft Office Word</Application>
  <DocSecurity>0</DocSecurity>
  <Lines>52</Lines>
  <Paragraphs>14</Paragraphs>
  <ScaleCrop>false</ScaleCrop>
  <Company/>
  <LinksUpToDate>false</LinksUpToDate>
  <CharactersWithSpaces>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2012-03-10T22:59:00Z</dcterms:created>
  <dcterms:modified xsi:type="dcterms:W3CDTF">2012-03-10T23:01:00Z</dcterms:modified>
</cp:coreProperties>
</file>