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30AC" w:rsidRPr="005030AC" w:rsidRDefault="005030AC" w:rsidP="005030AC">
      <w:pPr>
        <w:jc w:val="both"/>
        <w:rPr>
          <w:rFonts w:ascii="Times New Roman" w:hAnsi="Times New Roman"/>
          <w:sz w:val="24"/>
          <w:szCs w:val="24"/>
        </w:rPr>
      </w:pPr>
      <w:bookmarkStart w:id="0" w:name="_GoBack"/>
      <w:bookmarkEnd w:id="0"/>
      <w:r w:rsidRPr="005030AC">
        <w:rPr>
          <w:rFonts w:ascii="Times New Roman" w:hAnsi="Times New Roman"/>
          <w:b/>
          <w:i/>
          <w:sz w:val="24"/>
          <w:szCs w:val="24"/>
        </w:rPr>
        <w:t>Solution to Case 2 — Time-Lice Books Ltd.</w:t>
      </w:r>
    </w:p>
    <w:p w:rsidR="005030AC" w:rsidRPr="005030AC" w:rsidRDefault="005030AC" w:rsidP="005030AC">
      <w:pPr>
        <w:tabs>
          <w:tab w:val="left" w:pos="440"/>
        </w:tabs>
        <w:ind w:left="440" w:hanging="440"/>
        <w:jc w:val="both"/>
        <w:rPr>
          <w:rFonts w:ascii="Times New Roman" w:hAnsi="Times New Roman"/>
          <w:sz w:val="24"/>
          <w:szCs w:val="24"/>
        </w:rPr>
      </w:pPr>
      <w:r w:rsidRPr="005030AC">
        <w:rPr>
          <w:rFonts w:ascii="Times New Roman" w:hAnsi="Times New Roman"/>
          <w:i/>
          <w:sz w:val="24"/>
          <w:szCs w:val="24"/>
        </w:rPr>
        <w:t>Overview</w:t>
      </w:r>
    </w:p>
    <w:p w:rsidR="005030AC" w:rsidRPr="005030AC" w:rsidRDefault="005030AC" w:rsidP="005030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5030AC">
        <w:rPr>
          <w:rFonts w:ascii="Times New Roman" w:hAnsi="Times New Roman"/>
          <w:sz w:val="24"/>
          <w:szCs w:val="24"/>
        </w:rPr>
        <w:t xml:space="preserve">The general objective of this case is to give students practice in applying their professional judgment to recommend an accounting policy for revenue and expense recognition. Students must identify the reporting objectives for the company, and must apply qualitative criteria in deciding what the most appropriate policy is. </w:t>
      </w:r>
    </w:p>
    <w:p w:rsidR="005030AC" w:rsidRPr="005030AC" w:rsidRDefault="005030AC" w:rsidP="005030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5030AC">
        <w:rPr>
          <w:rFonts w:ascii="Times New Roman" w:hAnsi="Times New Roman"/>
          <w:i/>
          <w:sz w:val="24"/>
          <w:szCs w:val="24"/>
        </w:rPr>
        <w:t>Reporting objectives</w:t>
      </w:r>
    </w:p>
    <w:p w:rsidR="005030AC" w:rsidRPr="005030AC" w:rsidRDefault="005030AC" w:rsidP="005030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rPr>
          <w:rFonts w:ascii="Times New Roman" w:hAnsi="Times New Roman"/>
          <w:sz w:val="24"/>
          <w:szCs w:val="24"/>
        </w:rPr>
      </w:pPr>
      <w:r w:rsidRPr="005030AC">
        <w:rPr>
          <w:rFonts w:ascii="Times New Roman" w:hAnsi="Times New Roman"/>
          <w:sz w:val="24"/>
          <w:szCs w:val="24"/>
        </w:rPr>
        <w:t>1.</w:t>
      </w:r>
      <w:r w:rsidRPr="005030AC">
        <w:rPr>
          <w:rFonts w:ascii="Times New Roman" w:hAnsi="Times New Roman"/>
          <w:sz w:val="24"/>
          <w:szCs w:val="24"/>
        </w:rPr>
        <w:tab/>
        <w:t xml:space="preserve">Minimum disclosure and compliance with securities acts: The company is a public company; its shares are widely traded and are listed on the Toronto Stock Exchange. Therefore, a clean audit opinion is important. This reporting objective will cause the adoption of accounting policies that result in accounting numbers that are reliable and verifiable. </w:t>
      </w:r>
    </w:p>
    <w:p w:rsidR="005030AC" w:rsidRPr="005030AC" w:rsidRDefault="005030AC" w:rsidP="005030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rPr>
          <w:rFonts w:ascii="Times New Roman" w:hAnsi="Times New Roman"/>
          <w:sz w:val="24"/>
          <w:szCs w:val="24"/>
        </w:rPr>
      </w:pPr>
      <w:r w:rsidRPr="005030AC">
        <w:rPr>
          <w:rFonts w:ascii="Times New Roman" w:hAnsi="Times New Roman"/>
          <w:sz w:val="24"/>
          <w:szCs w:val="24"/>
        </w:rPr>
        <w:t>2.</w:t>
      </w:r>
      <w:r w:rsidRPr="005030AC">
        <w:rPr>
          <w:rFonts w:ascii="Times New Roman" w:hAnsi="Times New Roman"/>
          <w:sz w:val="24"/>
          <w:szCs w:val="24"/>
        </w:rPr>
        <w:tab/>
        <w:t xml:space="preserve">Cash flow prediction: The heirs of the founder own 30% of the common shares and are likely to be concerned about the dividend flow. The heirs are not actively involved in the company and retain a professional financial advisor, who may be presumed to be sophisticated. Since 30% is no doubt the largest single block of stock, the heirs probably have a substantial say in who is on the Board. Thus the needs of the heirs must be given consideration in developing accounting policies. </w:t>
      </w:r>
    </w:p>
    <w:p w:rsidR="005030AC" w:rsidRPr="005030AC" w:rsidRDefault="005030AC" w:rsidP="005030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rPr>
          <w:rFonts w:ascii="Times New Roman" w:hAnsi="Times New Roman"/>
          <w:sz w:val="24"/>
          <w:szCs w:val="24"/>
        </w:rPr>
      </w:pPr>
      <w:r w:rsidRPr="005030AC">
        <w:rPr>
          <w:rFonts w:ascii="Times New Roman" w:hAnsi="Times New Roman"/>
          <w:sz w:val="24"/>
          <w:szCs w:val="24"/>
        </w:rPr>
        <w:t>3.</w:t>
      </w:r>
      <w:r w:rsidRPr="005030AC">
        <w:rPr>
          <w:rFonts w:ascii="Times New Roman" w:hAnsi="Times New Roman"/>
          <w:sz w:val="24"/>
          <w:szCs w:val="24"/>
        </w:rPr>
        <w:tab/>
        <w:t xml:space="preserve">Performance evaluation: Similarly, the heirs’ analyst will be evaluating the performance of the management in order to advise the heirs on how to vote their shares. </w:t>
      </w:r>
    </w:p>
    <w:p w:rsidR="005030AC" w:rsidRPr="005030AC" w:rsidRDefault="005030AC" w:rsidP="005030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rPr>
          <w:rFonts w:ascii="Times New Roman" w:hAnsi="Times New Roman"/>
          <w:sz w:val="24"/>
          <w:szCs w:val="24"/>
        </w:rPr>
      </w:pPr>
      <w:r w:rsidRPr="005030AC">
        <w:rPr>
          <w:rFonts w:ascii="Times New Roman" w:hAnsi="Times New Roman"/>
          <w:sz w:val="24"/>
          <w:szCs w:val="24"/>
        </w:rPr>
        <w:t>4.</w:t>
      </w:r>
      <w:r w:rsidRPr="005030AC">
        <w:rPr>
          <w:rFonts w:ascii="Times New Roman" w:hAnsi="Times New Roman"/>
          <w:sz w:val="24"/>
          <w:szCs w:val="24"/>
        </w:rPr>
        <w:tab/>
        <w:t>Income tax deferral: The company probably will be permitted to deduct expenses when incurred and include revenues when received for income tax purposes, in view of the nature of the operations. If tax is affected by the revenue recognition policies, then the tax deferral objective is relevant, but probably be a secondary objective.</w:t>
      </w:r>
    </w:p>
    <w:p w:rsidR="005030AC" w:rsidRPr="005030AC" w:rsidRDefault="005030AC" w:rsidP="005030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5030AC">
        <w:rPr>
          <w:rFonts w:ascii="Times New Roman" w:hAnsi="Times New Roman"/>
          <w:sz w:val="24"/>
          <w:szCs w:val="24"/>
        </w:rPr>
        <w:t xml:space="preserve">Since </w:t>
      </w:r>
      <w:smartTag w:uri="urn:schemas-microsoft-com:office:smarttags" w:element="stockticker">
        <w:r w:rsidRPr="005030AC">
          <w:rPr>
            <w:rFonts w:ascii="Times New Roman" w:hAnsi="Times New Roman"/>
            <w:sz w:val="24"/>
            <w:szCs w:val="24"/>
          </w:rPr>
          <w:t>IFRS</w:t>
        </w:r>
      </w:smartTag>
      <w:r w:rsidRPr="005030AC">
        <w:rPr>
          <w:rFonts w:ascii="Times New Roman" w:hAnsi="Times New Roman"/>
          <w:sz w:val="24"/>
          <w:szCs w:val="24"/>
        </w:rPr>
        <w:t xml:space="preserve"> is somewhat flexible in the area of revenue and expense recognition, it is critical that the primary user and objective be identified at this point in time. Otherwise it will be difficult to provide a recommendation for the client. </w:t>
      </w:r>
    </w:p>
    <w:p w:rsidR="005030AC" w:rsidRPr="005030AC" w:rsidRDefault="005030AC" w:rsidP="005030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i/>
          <w:sz w:val="24"/>
          <w:szCs w:val="24"/>
        </w:rPr>
      </w:pPr>
      <w:r w:rsidRPr="005030AC">
        <w:rPr>
          <w:rFonts w:ascii="Times New Roman" w:hAnsi="Times New Roman"/>
          <w:i/>
          <w:sz w:val="24"/>
          <w:szCs w:val="24"/>
        </w:rPr>
        <w:t>Revenue/expense recognition alternatives</w:t>
      </w:r>
    </w:p>
    <w:p w:rsidR="005030AC" w:rsidRPr="005030AC" w:rsidRDefault="005030AC" w:rsidP="005030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5030AC">
        <w:rPr>
          <w:rFonts w:ascii="Times New Roman" w:hAnsi="Times New Roman"/>
          <w:sz w:val="24"/>
          <w:szCs w:val="24"/>
        </w:rPr>
        <w:lastRenderedPageBreak/>
        <w:t xml:space="preserve">Some students may try to fit the recognition of revenue into the molds of recognition at (1) the point of production, (2) point of sale, or (3) point of cash receipt. This case does not fit into those molds, however, since all three events are occurring simultaneously (at different rates) through time. Some students may also concentrate exclusively on revenue recognition and overlook the related issues of expense recognition. </w:t>
      </w:r>
    </w:p>
    <w:p w:rsidR="005030AC" w:rsidRPr="005030AC" w:rsidRDefault="005030AC" w:rsidP="005030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rPr>
          <w:rFonts w:ascii="Times New Roman" w:hAnsi="Times New Roman"/>
          <w:sz w:val="24"/>
          <w:szCs w:val="24"/>
        </w:rPr>
      </w:pPr>
    </w:p>
    <w:p w:rsidR="005030AC" w:rsidRPr="005030AC" w:rsidRDefault="005030AC" w:rsidP="005030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rPr>
          <w:rFonts w:ascii="Times New Roman" w:hAnsi="Times New Roman"/>
          <w:sz w:val="24"/>
          <w:szCs w:val="24"/>
        </w:rPr>
      </w:pPr>
      <w:r w:rsidRPr="005030AC">
        <w:rPr>
          <w:rFonts w:ascii="Times New Roman" w:hAnsi="Times New Roman"/>
          <w:sz w:val="24"/>
          <w:szCs w:val="24"/>
        </w:rPr>
        <w:t xml:space="preserve">Better students will apply more basic criteria of revenue recognition, such as: </w:t>
      </w:r>
    </w:p>
    <w:p w:rsidR="005030AC" w:rsidRPr="005030AC" w:rsidRDefault="005030AC" w:rsidP="005030AC">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line="240" w:lineRule="auto"/>
        <w:rPr>
          <w:rFonts w:ascii="Times New Roman" w:hAnsi="Times New Roman"/>
          <w:sz w:val="24"/>
          <w:szCs w:val="24"/>
        </w:rPr>
      </w:pPr>
      <w:r w:rsidRPr="005030AC">
        <w:rPr>
          <w:rFonts w:ascii="Times New Roman" w:hAnsi="Times New Roman"/>
          <w:sz w:val="24"/>
          <w:szCs w:val="24"/>
        </w:rPr>
        <w:t xml:space="preserve">the critical event theory, </w:t>
      </w:r>
    </w:p>
    <w:p w:rsidR="005030AC" w:rsidRPr="005030AC" w:rsidRDefault="005030AC" w:rsidP="005030AC">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line="240" w:lineRule="auto"/>
        <w:rPr>
          <w:rFonts w:ascii="Times New Roman" w:hAnsi="Times New Roman"/>
          <w:sz w:val="24"/>
          <w:szCs w:val="24"/>
        </w:rPr>
      </w:pPr>
      <w:r w:rsidRPr="005030AC">
        <w:rPr>
          <w:rFonts w:ascii="Times New Roman" w:hAnsi="Times New Roman"/>
          <w:sz w:val="24"/>
          <w:szCs w:val="24"/>
        </w:rPr>
        <w:t xml:space="preserve">completion of the earnings cycle, or </w:t>
      </w:r>
    </w:p>
    <w:p w:rsidR="005030AC" w:rsidRPr="005030AC" w:rsidRDefault="005030AC" w:rsidP="005030AC">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rPr>
          <w:rFonts w:ascii="Times New Roman" w:hAnsi="Times New Roman"/>
          <w:sz w:val="24"/>
          <w:szCs w:val="24"/>
        </w:rPr>
      </w:pPr>
      <w:r w:rsidRPr="005030AC">
        <w:rPr>
          <w:rFonts w:ascii="Times New Roman" w:hAnsi="Times New Roman"/>
          <w:sz w:val="24"/>
          <w:szCs w:val="24"/>
        </w:rPr>
        <w:t xml:space="preserve">measurability (or relative certainty) of future cash flows for revenues and costs, and will realize that unless one simply lets the cash inflows and outflows fall where they may, costs must be deferred and/or revenues accrued in advance of receipt in order to achieve matching and satisfy the objectives of stewardship, cash flow prediction, and performance evaluation. </w:t>
      </w:r>
    </w:p>
    <w:p w:rsidR="005030AC" w:rsidRDefault="005030AC" w:rsidP="005030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rPr>
          <w:rFonts w:ascii="Times New Roman" w:hAnsi="Times New Roman"/>
          <w:sz w:val="24"/>
          <w:szCs w:val="24"/>
        </w:rPr>
      </w:pPr>
    </w:p>
    <w:p w:rsidR="005030AC" w:rsidRPr="005030AC" w:rsidRDefault="005030AC" w:rsidP="005030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rPr>
          <w:rFonts w:ascii="Times New Roman" w:hAnsi="Times New Roman"/>
          <w:sz w:val="24"/>
          <w:szCs w:val="24"/>
        </w:rPr>
      </w:pPr>
      <w:r w:rsidRPr="005030AC">
        <w:rPr>
          <w:rFonts w:ascii="Times New Roman" w:hAnsi="Times New Roman"/>
          <w:sz w:val="24"/>
          <w:szCs w:val="24"/>
        </w:rPr>
        <w:t xml:space="preserve">There are at least three conceivable alternatives to revenue and expense recognition in this case: </w:t>
      </w:r>
    </w:p>
    <w:p w:rsidR="005030AC" w:rsidRPr="005030AC" w:rsidRDefault="005030AC" w:rsidP="005030AC">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line="240" w:lineRule="auto"/>
        <w:rPr>
          <w:rFonts w:ascii="Times New Roman" w:hAnsi="Times New Roman"/>
          <w:sz w:val="24"/>
          <w:szCs w:val="24"/>
        </w:rPr>
      </w:pPr>
      <w:r w:rsidRPr="005030AC">
        <w:rPr>
          <w:rFonts w:ascii="Times New Roman" w:hAnsi="Times New Roman"/>
          <w:sz w:val="24"/>
          <w:szCs w:val="24"/>
        </w:rPr>
        <w:t xml:space="preserve">Recognize revenue as the books are delivered. This will require deferral of most of the revenue received from the advance sales, and also will require deferral and amortization of the initial promotional expense (the largest cost component). The stumbling block would be the deferral of the promotion expense, which requires measurable future benefit to be justified under </w:t>
      </w:r>
      <w:smartTag w:uri="urn:schemas-microsoft-com:office:smarttags" w:element="stockticker">
        <w:r w:rsidRPr="005030AC">
          <w:rPr>
            <w:rFonts w:ascii="Times New Roman" w:hAnsi="Times New Roman"/>
            <w:sz w:val="24"/>
            <w:szCs w:val="24"/>
          </w:rPr>
          <w:t>IFRS</w:t>
        </w:r>
      </w:smartTag>
      <w:r w:rsidRPr="005030AC">
        <w:rPr>
          <w:rFonts w:ascii="Times New Roman" w:hAnsi="Times New Roman"/>
          <w:sz w:val="24"/>
          <w:szCs w:val="24"/>
        </w:rPr>
        <w:t>, especially since the promotional materials are “internally generated” intangibles.</w:t>
      </w:r>
    </w:p>
    <w:p w:rsidR="005030AC" w:rsidRPr="005030AC" w:rsidRDefault="005030AC" w:rsidP="005030AC">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line="240" w:lineRule="auto"/>
        <w:rPr>
          <w:rFonts w:ascii="Times New Roman" w:hAnsi="Times New Roman"/>
          <w:sz w:val="24"/>
          <w:szCs w:val="24"/>
        </w:rPr>
      </w:pPr>
      <w:r w:rsidRPr="005030AC">
        <w:rPr>
          <w:rFonts w:ascii="Times New Roman" w:hAnsi="Times New Roman"/>
          <w:sz w:val="24"/>
          <w:szCs w:val="24"/>
        </w:rPr>
        <w:t>Recognize revenue as the cash is received, and then recognize deferred initial costs on a cost-recovery basis until all deferred costs have been recovered. Thereafter, recognize additional production costs as incurred and additional revenue as realized. Again, this approach depends on being able to justify deferral of the initial costs.</w:t>
      </w:r>
    </w:p>
    <w:p w:rsidR="005030AC" w:rsidRPr="005030AC" w:rsidRDefault="005030AC" w:rsidP="005030AC">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rPr>
          <w:rFonts w:ascii="Times New Roman" w:hAnsi="Times New Roman"/>
          <w:sz w:val="24"/>
          <w:szCs w:val="24"/>
        </w:rPr>
      </w:pPr>
      <w:r w:rsidRPr="005030AC">
        <w:rPr>
          <w:rFonts w:ascii="Times New Roman" w:hAnsi="Times New Roman"/>
          <w:sz w:val="24"/>
          <w:szCs w:val="24"/>
        </w:rPr>
        <w:t>Recognize revenues as cash is received, and recognize expenses as incurred. This approach conforms to the “definitional” approach to determining revenues and expenses, which is based on changes in assets and liabilities. Under this approach most of the costs will be recognized as expense when each series is initiated while all of the revenue will be recognized later.</w:t>
      </w:r>
    </w:p>
    <w:p w:rsidR="005030AC" w:rsidRDefault="005030AC" w:rsidP="005030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i/>
          <w:sz w:val="24"/>
          <w:szCs w:val="24"/>
        </w:rPr>
      </w:pPr>
    </w:p>
    <w:p w:rsidR="005030AC" w:rsidRPr="005030AC" w:rsidRDefault="005030AC" w:rsidP="005030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5030AC">
        <w:rPr>
          <w:rFonts w:ascii="Times New Roman" w:hAnsi="Times New Roman"/>
          <w:i/>
          <w:sz w:val="24"/>
          <w:szCs w:val="24"/>
        </w:rPr>
        <w:t>Advance sales —</w:t>
      </w:r>
      <w:r w:rsidRPr="005030AC">
        <w:rPr>
          <w:rFonts w:ascii="Times New Roman" w:hAnsi="Times New Roman"/>
          <w:sz w:val="24"/>
          <w:szCs w:val="24"/>
        </w:rPr>
        <w:t xml:space="preserve"> Revenue from advance sales can be reliably measured quite early in the revenue generating process, since the full amount is received at the time of subscription (after the second book is </w:t>
      </w:r>
      <w:r w:rsidRPr="005030AC">
        <w:rPr>
          <w:rFonts w:ascii="Times New Roman" w:hAnsi="Times New Roman"/>
          <w:sz w:val="24"/>
          <w:szCs w:val="24"/>
        </w:rPr>
        <w:lastRenderedPageBreak/>
        <w:t xml:space="preserve">mailed). The cancellation rate is very low, and therefore the provision for cancellations would be relatively small. Most of the costs have been incurred by the time that the subscription rate is known, and recognition at the point of subscription would facilitate matching; costs would not need to be deferred. The cost of printing and binding the future books is relatively small ($5.00 on a $30.00 book) and a liability for these future costs can be established in order to match these future costs against revenue. It would appear, therefore, that the measurements would be sufficiently reliable at the time of subscription to permit revenue and expense recognition at that time for the advance sales and still satisfy the stewardship objective. </w:t>
      </w:r>
    </w:p>
    <w:p w:rsidR="005030AC" w:rsidRDefault="005030AC" w:rsidP="005030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5030AC" w:rsidRDefault="005030AC" w:rsidP="005030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5030AC" w:rsidRPr="005030AC" w:rsidRDefault="005030AC" w:rsidP="005030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5030AC">
        <w:rPr>
          <w:rFonts w:ascii="Times New Roman" w:hAnsi="Times New Roman"/>
          <w:sz w:val="24"/>
          <w:szCs w:val="24"/>
        </w:rPr>
        <w:t xml:space="preserve">There still remains the issue of whether the revenue has been earned when only two books in the series have been produced. If the earnings process is viewed as the expenditure of effort, then the bulk of the effort (and cost) has indeed occurred, since the major effort and expense is in the promotional stage. Thus, signing up the customers can be viewed as the critical event in the revenue generating process. </w:t>
      </w:r>
    </w:p>
    <w:p w:rsidR="005030AC" w:rsidRPr="005030AC" w:rsidRDefault="005030AC" w:rsidP="005030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5030AC">
        <w:rPr>
          <w:rFonts w:ascii="Times New Roman" w:hAnsi="Times New Roman"/>
          <w:sz w:val="24"/>
          <w:szCs w:val="24"/>
        </w:rPr>
        <w:t xml:space="preserve">On the other hand, one could legitimately view the earnings process as not being substantively complete until the books are actually produced and delivered to the customer. Performance must be complete and TLBL has not completed its performance obligations as not all the books have been delivered. Under this approach, revenue should be recognized on a straight line basis, as the books are produced and delivered. To the extent that costs can be identified with a specific book series, they should be capitalized and offset against revenues realized. The gross profit on each series would then be recognized as each book is produced, at an amount based on the total estimated identifiable costs and total estimated revenues. Costs that cannot be identified with or reasonably allocated to specific series must be treated as period costs. </w:t>
      </w:r>
    </w:p>
    <w:p w:rsidR="005030AC" w:rsidRPr="005030AC" w:rsidRDefault="005030AC" w:rsidP="005030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5030AC">
        <w:rPr>
          <w:rFonts w:ascii="Times New Roman" w:hAnsi="Times New Roman"/>
          <w:sz w:val="24"/>
          <w:szCs w:val="24"/>
        </w:rPr>
        <w:t>It is a short additional step to delay revenue recognition until the cash from instalment purchasers is actually received. However, since the cash receipt could be spread out over a considerable period of time, it probably would be more feasible to recognize the revenue when each volume is mailed, with a provision for uncollectibles on that particular volume. TLC has been in operation for a number of years, therefore, there is past history to be able to estimate an allowance.  Recognition of revenue when the amount is received is not acceptable under GAAP.</w:t>
      </w:r>
    </w:p>
    <w:p w:rsidR="005030AC" w:rsidRPr="005030AC" w:rsidRDefault="005030AC" w:rsidP="005030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5030AC">
        <w:rPr>
          <w:rFonts w:ascii="Times New Roman" w:hAnsi="Times New Roman"/>
          <w:i/>
          <w:sz w:val="24"/>
          <w:szCs w:val="24"/>
        </w:rPr>
        <w:lastRenderedPageBreak/>
        <w:t>Instalment sales</w:t>
      </w:r>
      <w:r w:rsidRPr="005030AC">
        <w:rPr>
          <w:rFonts w:ascii="Times New Roman" w:hAnsi="Times New Roman"/>
          <w:sz w:val="24"/>
          <w:szCs w:val="24"/>
        </w:rPr>
        <w:t xml:space="preserve"> — It would be much more difficult to estimate the revenue from the instalment sales at the time of the original subscription. It is possible to estimate the net revenue, of course, after deducting a provision for uncollectibles and cancellations, but a fairly small estimation error could cause a large change in net income. Given the lack of reliability of the instalment revenue measurement, recognition at the point of subscription would be difficult to rationalize. Instalment earnings more naturally fit a percentage-of-completion or instalment basis of reporting.  Also, performance has not yet been completed.</w:t>
      </w:r>
    </w:p>
    <w:p w:rsidR="005030AC" w:rsidRPr="005030AC" w:rsidRDefault="005030AC" w:rsidP="005030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i/>
          <w:sz w:val="24"/>
          <w:szCs w:val="24"/>
        </w:rPr>
      </w:pPr>
      <w:r w:rsidRPr="005030AC">
        <w:rPr>
          <w:rFonts w:ascii="Times New Roman" w:hAnsi="Times New Roman"/>
          <w:i/>
          <w:sz w:val="24"/>
          <w:szCs w:val="24"/>
        </w:rPr>
        <w:t>Relationship to objectives</w:t>
      </w:r>
    </w:p>
    <w:p w:rsidR="005030AC" w:rsidRPr="005030AC" w:rsidRDefault="005030AC" w:rsidP="005030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5030AC">
        <w:rPr>
          <w:rFonts w:ascii="Times New Roman" w:hAnsi="Times New Roman"/>
          <w:sz w:val="24"/>
          <w:szCs w:val="24"/>
        </w:rPr>
        <w:t>The foregoing discussion does consider the quality of the earnings information under the various alternatives, but it does not relate directly to the financial reporting objectives that were identified earlier. Contract compliance calls for reliable measurements, and would rather clearly rule out revenue recognition at the point of subscription for instalment customers. The revenue estimate may be unexpectedly off the mark, and there has been no realization of either the revenue or the production costs. For the advance sale customers, revenue should be recognized as performance is achieved.  That is, revenue will be deferred and a percentage recognized as each book in the series is delivered.</w:t>
      </w:r>
    </w:p>
    <w:p w:rsidR="005030AC" w:rsidRPr="005030AC" w:rsidRDefault="005030AC" w:rsidP="005030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5030AC">
        <w:rPr>
          <w:rFonts w:ascii="Times New Roman" w:hAnsi="Times New Roman"/>
          <w:sz w:val="24"/>
          <w:szCs w:val="24"/>
        </w:rPr>
        <w:t xml:space="preserve">For both cash flow prediction and performance evaluation, early revenue recognition for each individual series would seem to be desirable, especially for the performance evaluation objective since management makes the important decisions at the start of each series. However, early recognition depends on the predictability of total revenues and costs, which is uncertain. Therefore, TLBL must use recognition alternatives that spread the earnings from a particular series over several accounting periods. </w:t>
      </w:r>
    </w:p>
    <w:p w:rsidR="005030AC" w:rsidRPr="005030AC" w:rsidRDefault="005030AC" w:rsidP="005030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5030AC">
        <w:rPr>
          <w:rFonts w:ascii="Times New Roman" w:hAnsi="Times New Roman"/>
          <w:sz w:val="24"/>
          <w:szCs w:val="24"/>
        </w:rPr>
        <w:t xml:space="preserve">Spreading revenue/expense recognition over the life of the series will result in each period's reported earnings consisting largely of earnings being realized on projects started in earlier periods. This will be advantageous to the company because spreading the earnings of multiple on-going series over several years will help to stabilize TLBL’s earnings and therefore the share prices. </w:t>
      </w:r>
    </w:p>
    <w:p w:rsidR="005030AC" w:rsidRPr="005030AC" w:rsidRDefault="005030AC" w:rsidP="005030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5030AC">
        <w:rPr>
          <w:rFonts w:ascii="Times New Roman" w:hAnsi="Times New Roman"/>
          <w:sz w:val="24"/>
          <w:szCs w:val="24"/>
        </w:rPr>
        <w:t xml:space="preserve">Similarly, the overall cash flow consequences of the book series are more clearly represented if the cash flow consequences of a series are reported together, in a single period. However, revenue (and expense) recognition at the time of subscription does not lead to “high quality” earnings, because much of the revenue will not be received until a later period. The earnings may more closely approximate cash flow if a percentage-of-completion approach is used. </w:t>
      </w:r>
    </w:p>
    <w:p w:rsidR="005030AC" w:rsidRPr="005030AC" w:rsidRDefault="005030AC" w:rsidP="005030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5030AC">
        <w:rPr>
          <w:rFonts w:ascii="Times New Roman" w:hAnsi="Times New Roman"/>
          <w:sz w:val="24"/>
          <w:szCs w:val="24"/>
        </w:rPr>
        <w:lastRenderedPageBreak/>
        <w:t xml:space="preserve">For tax deferral, later recognition is better than early recognition. Ideally, costs would be recognized when incurred and revenue recognized when realized. If there are many concurrent series being produced, then this approach to revenue and expense recognition may be quite appropriate. However, if series are started sporadically and the level of activity varies from period to period, then this approach would not be appropriate for financial reporting even though it would be best for income tax deferral. In that case, a percentage-of-completion or instalment basis of reporting would be preferable. </w:t>
      </w:r>
    </w:p>
    <w:p w:rsidR="005030AC" w:rsidRPr="005030AC" w:rsidRDefault="005030AC" w:rsidP="005030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r w:rsidRPr="005030AC">
        <w:rPr>
          <w:rFonts w:ascii="Times New Roman" w:hAnsi="Times New Roman"/>
          <w:sz w:val="24"/>
          <w:szCs w:val="24"/>
        </w:rPr>
        <w:t>In summary, it would appear that the earliest that revenue could be realized (and thereby satisfy the cash flow prediction and the performance evaluation objectives) and still have sufficient reliability to satisfy the minimum disclosure objective would be to recognize the revenue as each book is shipped.  While such a method will not be very good for performance evaluation, the stewardship objective is dominant in this case due to the public reporting requirements that pertain to this company. In arriving at a decision an assumption must be made concerning which user and objective the financial statements are being tailored.</w:t>
      </w:r>
    </w:p>
    <w:p w:rsidR="005030AC" w:rsidRDefault="005030AC" w:rsidP="005030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5030AC" w:rsidRDefault="005030AC" w:rsidP="005030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5030AC" w:rsidRDefault="005030AC" w:rsidP="005030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5030AC" w:rsidRDefault="005030AC" w:rsidP="005030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5030AC" w:rsidRPr="005030AC" w:rsidRDefault="005030AC" w:rsidP="005030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4"/>
          <w:szCs w:val="24"/>
        </w:rPr>
      </w:pPr>
    </w:p>
    <w:p w:rsidR="005030AC" w:rsidRPr="005030AC" w:rsidRDefault="005030AC" w:rsidP="005030AC">
      <w:pPr>
        <w:rPr>
          <w:rFonts w:ascii="Times New Roman" w:hAnsi="Times New Roman"/>
          <w:b/>
          <w:i/>
          <w:sz w:val="24"/>
          <w:szCs w:val="24"/>
        </w:rPr>
      </w:pPr>
      <w:r w:rsidRPr="005030AC">
        <w:rPr>
          <w:rFonts w:ascii="Times New Roman" w:hAnsi="Times New Roman"/>
          <w:b/>
          <w:i/>
          <w:sz w:val="24"/>
          <w:szCs w:val="24"/>
        </w:rPr>
        <w:t>Solution to Case 3 (WI Inc)</w:t>
      </w:r>
    </w:p>
    <w:p w:rsidR="005030AC" w:rsidRPr="005030AC" w:rsidRDefault="005030AC" w:rsidP="005030AC">
      <w:pPr>
        <w:rPr>
          <w:rFonts w:ascii="Times New Roman" w:hAnsi="Times New Roman"/>
          <w:i/>
          <w:sz w:val="24"/>
          <w:szCs w:val="24"/>
        </w:rPr>
      </w:pPr>
      <w:r w:rsidRPr="005030AC">
        <w:rPr>
          <w:rFonts w:ascii="Times New Roman" w:hAnsi="Times New Roman"/>
          <w:i/>
          <w:sz w:val="24"/>
          <w:szCs w:val="24"/>
        </w:rPr>
        <w:t>Overview</w:t>
      </w:r>
    </w:p>
    <w:p w:rsidR="005030AC" w:rsidRPr="005030AC" w:rsidRDefault="005030AC" w:rsidP="005030AC">
      <w:pPr>
        <w:jc w:val="both"/>
        <w:rPr>
          <w:rFonts w:ascii="Times New Roman" w:hAnsi="Times New Roman"/>
          <w:sz w:val="24"/>
          <w:szCs w:val="24"/>
        </w:rPr>
      </w:pPr>
      <w:r w:rsidRPr="005030AC">
        <w:rPr>
          <w:rFonts w:ascii="Times New Roman" w:hAnsi="Times New Roman"/>
          <w:sz w:val="24"/>
          <w:szCs w:val="24"/>
        </w:rPr>
        <w:t xml:space="preserve">Winery Incorporated (WI) has recently incorporated. Their previous financial statements as a partnership used the cash basis of accounting and were prepared for tax purposes and management purposes only. They had no GAAP constraint. Taxes were paid by each partner not by the partnership. WI now has a bank that requires audited financial statements and has a covenant requiring a minimum current ratio. The bank will be interested in checking compliance with their covenant as well as cash flow prediction to see if there is adequate cash to make their interest and principal payments. WI has a GAAP constraint which requires the accrual basis of accounting. It must be determined what accounting standards WI will follow. They are considering using accounting standards for publically accountable enterprises to be comparable to their competitors. They are also considering the use of accounting standards for private </w:t>
      </w:r>
      <w:r w:rsidRPr="005030AC">
        <w:rPr>
          <w:rFonts w:ascii="Times New Roman" w:hAnsi="Times New Roman"/>
          <w:sz w:val="24"/>
          <w:szCs w:val="24"/>
        </w:rPr>
        <w:lastRenderedPageBreak/>
        <w:t xml:space="preserve">enterprises. Management will be sensitive to any impact on the current ratio due to the covenant. It is important that standards are </w:t>
      </w:r>
      <w:r w:rsidRPr="005030AC">
        <w:rPr>
          <w:rFonts w:ascii="Times New Roman" w:hAnsi="Times New Roman"/>
          <w:i/>
          <w:sz w:val="24"/>
          <w:szCs w:val="24"/>
        </w:rPr>
        <w:t xml:space="preserve">ethical </w:t>
      </w:r>
      <w:r w:rsidRPr="005030AC">
        <w:rPr>
          <w:rFonts w:ascii="Times New Roman" w:hAnsi="Times New Roman"/>
          <w:sz w:val="24"/>
          <w:szCs w:val="24"/>
        </w:rPr>
        <w:t xml:space="preserve">and developed for the long-term since this is their first year-end as a corporation. </w:t>
      </w:r>
    </w:p>
    <w:p w:rsidR="005030AC" w:rsidRPr="005030AC" w:rsidRDefault="005030AC" w:rsidP="005030AC">
      <w:pPr>
        <w:rPr>
          <w:rFonts w:ascii="Times New Roman" w:hAnsi="Times New Roman"/>
          <w:i/>
          <w:sz w:val="24"/>
          <w:szCs w:val="24"/>
        </w:rPr>
      </w:pPr>
      <w:r w:rsidRPr="005030AC">
        <w:rPr>
          <w:rFonts w:ascii="Times New Roman" w:hAnsi="Times New Roman"/>
          <w:i/>
          <w:sz w:val="24"/>
          <w:szCs w:val="24"/>
        </w:rPr>
        <w:t>Issues</w:t>
      </w:r>
    </w:p>
    <w:p w:rsidR="005030AC" w:rsidRPr="005030AC" w:rsidRDefault="005030AC" w:rsidP="005030AC">
      <w:pPr>
        <w:numPr>
          <w:ilvl w:val="0"/>
          <w:numId w:val="3"/>
        </w:numPr>
        <w:spacing w:after="0" w:line="240" w:lineRule="auto"/>
        <w:rPr>
          <w:rFonts w:ascii="Times New Roman" w:hAnsi="Times New Roman"/>
          <w:sz w:val="24"/>
          <w:szCs w:val="24"/>
        </w:rPr>
      </w:pPr>
      <w:r w:rsidRPr="005030AC">
        <w:rPr>
          <w:rFonts w:ascii="Times New Roman" w:hAnsi="Times New Roman"/>
          <w:sz w:val="24"/>
          <w:szCs w:val="24"/>
        </w:rPr>
        <w:t>Valuation basis for vines and grapes</w:t>
      </w:r>
    </w:p>
    <w:p w:rsidR="005030AC" w:rsidRPr="005030AC" w:rsidRDefault="005030AC" w:rsidP="005030AC">
      <w:pPr>
        <w:numPr>
          <w:ilvl w:val="0"/>
          <w:numId w:val="3"/>
        </w:numPr>
        <w:spacing w:after="0" w:line="240" w:lineRule="auto"/>
        <w:rPr>
          <w:rFonts w:ascii="Times New Roman" w:hAnsi="Times New Roman"/>
          <w:sz w:val="24"/>
          <w:szCs w:val="24"/>
        </w:rPr>
      </w:pPr>
      <w:r w:rsidRPr="005030AC">
        <w:rPr>
          <w:rFonts w:ascii="Times New Roman" w:hAnsi="Times New Roman"/>
          <w:sz w:val="24"/>
          <w:szCs w:val="24"/>
        </w:rPr>
        <w:t>Valuation of winery license</w:t>
      </w:r>
    </w:p>
    <w:p w:rsidR="005030AC" w:rsidRPr="005030AC" w:rsidRDefault="005030AC" w:rsidP="005030AC">
      <w:pPr>
        <w:numPr>
          <w:ilvl w:val="0"/>
          <w:numId w:val="3"/>
        </w:numPr>
        <w:spacing w:after="0" w:line="240" w:lineRule="auto"/>
        <w:rPr>
          <w:rFonts w:ascii="Times New Roman" w:hAnsi="Times New Roman"/>
          <w:sz w:val="24"/>
          <w:szCs w:val="24"/>
        </w:rPr>
      </w:pPr>
      <w:r w:rsidRPr="005030AC">
        <w:rPr>
          <w:rFonts w:ascii="Times New Roman" w:hAnsi="Times New Roman"/>
          <w:sz w:val="24"/>
          <w:szCs w:val="24"/>
        </w:rPr>
        <w:t>Valuation of inventory – wine</w:t>
      </w:r>
    </w:p>
    <w:p w:rsidR="005030AC" w:rsidRPr="005030AC" w:rsidRDefault="005030AC" w:rsidP="005030AC">
      <w:pPr>
        <w:numPr>
          <w:ilvl w:val="0"/>
          <w:numId w:val="3"/>
        </w:numPr>
        <w:spacing w:after="0" w:line="240" w:lineRule="auto"/>
        <w:rPr>
          <w:rFonts w:ascii="Times New Roman" w:hAnsi="Times New Roman"/>
          <w:sz w:val="24"/>
          <w:szCs w:val="24"/>
        </w:rPr>
      </w:pPr>
      <w:r w:rsidRPr="005030AC">
        <w:rPr>
          <w:rFonts w:ascii="Times New Roman" w:hAnsi="Times New Roman"/>
          <w:sz w:val="24"/>
          <w:szCs w:val="24"/>
        </w:rPr>
        <w:t>Revenue recognition – wine</w:t>
      </w:r>
    </w:p>
    <w:p w:rsidR="005030AC" w:rsidRPr="005030AC" w:rsidRDefault="005030AC" w:rsidP="005030AC">
      <w:pPr>
        <w:numPr>
          <w:ilvl w:val="0"/>
          <w:numId w:val="3"/>
        </w:numPr>
        <w:spacing w:after="0" w:line="240" w:lineRule="auto"/>
        <w:rPr>
          <w:rFonts w:ascii="Times New Roman" w:hAnsi="Times New Roman"/>
          <w:sz w:val="24"/>
          <w:szCs w:val="24"/>
        </w:rPr>
      </w:pPr>
      <w:r w:rsidRPr="005030AC">
        <w:rPr>
          <w:rFonts w:ascii="Times New Roman" w:hAnsi="Times New Roman"/>
          <w:sz w:val="24"/>
          <w:szCs w:val="24"/>
        </w:rPr>
        <w:t>Software and web site development costs</w:t>
      </w:r>
    </w:p>
    <w:p w:rsidR="005030AC" w:rsidRPr="005030AC" w:rsidRDefault="005030AC" w:rsidP="005030AC">
      <w:pPr>
        <w:numPr>
          <w:ilvl w:val="0"/>
          <w:numId w:val="3"/>
        </w:numPr>
        <w:spacing w:after="0" w:line="240" w:lineRule="auto"/>
        <w:rPr>
          <w:rFonts w:ascii="Times New Roman" w:hAnsi="Times New Roman"/>
          <w:sz w:val="24"/>
          <w:szCs w:val="24"/>
        </w:rPr>
      </w:pPr>
      <w:r w:rsidRPr="005030AC">
        <w:rPr>
          <w:rFonts w:ascii="Times New Roman" w:hAnsi="Times New Roman"/>
          <w:sz w:val="24"/>
          <w:szCs w:val="24"/>
        </w:rPr>
        <w:t>Revenue recognition – annual fee</w:t>
      </w:r>
    </w:p>
    <w:p w:rsidR="005030AC" w:rsidRPr="005030AC" w:rsidRDefault="005030AC" w:rsidP="005030AC">
      <w:pPr>
        <w:numPr>
          <w:ilvl w:val="0"/>
          <w:numId w:val="3"/>
        </w:numPr>
        <w:spacing w:after="0" w:line="240" w:lineRule="auto"/>
        <w:rPr>
          <w:rFonts w:ascii="Times New Roman" w:hAnsi="Times New Roman"/>
          <w:sz w:val="24"/>
          <w:szCs w:val="24"/>
        </w:rPr>
      </w:pPr>
      <w:r w:rsidRPr="005030AC">
        <w:rPr>
          <w:rFonts w:ascii="Times New Roman" w:hAnsi="Times New Roman"/>
          <w:sz w:val="24"/>
          <w:szCs w:val="24"/>
        </w:rPr>
        <w:t>Inventory valuation – spoiled wine</w:t>
      </w:r>
    </w:p>
    <w:p w:rsidR="005030AC" w:rsidRPr="005030AC" w:rsidRDefault="005030AC" w:rsidP="005030AC">
      <w:pPr>
        <w:numPr>
          <w:ilvl w:val="0"/>
          <w:numId w:val="3"/>
        </w:numPr>
        <w:spacing w:after="0" w:line="240" w:lineRule="auto"/>
        <w:rPr>
          <w:rFonts w:ascii="Times New Roman" w:hAnsi="Times New Roman"/>
          <w:sz w:val="24"/>
          <w:szCs w:val="24"/>
        </w:rPr>
      </w:pPr>
      <w:r w:rsidRPr="005030AC">
        <w:rPr>
          <w:rFonts w:ascii="Times New Roman" w:hAnsi="Times New Roman"/>
          <w:sz w:val="24"/>
          <w:szCs w:val="24"/>
        </w:rPr>
        <w:t>Lawsuit</w:t>
      </w:r>
    </w:p>
    <w:p w:rsidR="005030AC" w:rsidRPr="005030AC" w:rsidRDefault="005030AC" w:rsidP="005030AC">
      <w:pPr>
        <w:numPr>
          <w:ilvl w:val="0"/>
          <w:numId w:val="3"/>
        </w:numPr>
        <w:spacing w:after="0" w:line="240" w:lineRule="auto"/>
        <w:rPr>
          <w:rFonts w:ascii="Times New Roman" w:hAnsi="Times New Roman"/>
          <w:sz w:val="24"/>
          <w:szCs w:val="24"/>
        </w:rPr>
      </w:pPr>
      <w:r w:rsidRPr="005030AC">
        <w:rPr>
          <w:rFonts w:ascii="Times New Roman" w:hAnsi="Times New Roman"/>
          <w:sz w:val="24"/>
          <w:szCs w:val="24"/>
        </w:rPr>
        <w:t>Hedge</w:t>
      </w:r>
    </w:p>
    <w:p w:rsidR="005030AC" w:rsidRPr="005030AC" w:rsidRDefault="005030AC" w:rsidP="005030AC">
      <w:pPr>
        <w:numPr>
          <w:ilvl w:val="0"/>
          <w:numId w:val="3"/>
        </w:numPr>
        <w:spacing w:after="0" w:line="240" w:lineRule="auto"/>
        <w:rPr>
          <w:rFonts w:ascii="Times New Roman" w:hAnsi="Times New Roman"/>
          <w:sz w:val="24"/>
          <w:szCs w:val="24"/>
        </w:rPr>
      </w:pPr>
      <w:r w:rsidRPr="005030AC">
        <w:rPr>
          <w:rFonts w:ascii="Times New Roman" w:hAnsi="Times New Roman"/>
          <w:sz w:val="24"/>
          <w:szCs w:val="24"/>
        </w:rPr>
        <w:t>Forgiveable loan</w:t>
      </w:r>
    </w:p>
    <w:p w:rsidR="005030AC" w:rsidRPr="005030AC" w:rsidRDefault="005030AC" w:rsidP="005030AC">
      <w:pPr>
        <w:spacing w:line="480" w:lineRule="auto"/>
        <w:rPr>
          <w:rFonts w:ascii="Times New Roman" w:hAnsi="Times New Roman"/>
          <w:b/>
          <w:sz w:val="24"/>
          <w:szCs w:val="24"/>
        </w:rPr>
      </w:pPr>
    </w:p>
    <w:p w:rsidR="005030AC" w:rsidRPr="005030AC" w:rsidRDefault="005030AC" w:rsidP="005030AC">
      <w:pPr>
        <w:spacing w:line="480" w:lineRule="auto"/>
        <w:rPr>
          <w:rFonts w:ascii="Times New Roman" w:hAnsi="Times New Roman"/>
          <w:i/>
          <w:sz w:val="24"/>
          <w:szCs w:val="24"/>
        </w:rPr>
      </w:pPr>
    </w:p>
    <w:p w:rsidR="005030AC" w:rsidRPr="005030AC" w:rsidRDefault="005030AC" w:rsidP="005030AC">
      <w:pPr>
        <w:spacing w:line="480" w:lineRule="auto"/>
        <w:rPr>
          <w:rFonts w:ascii="Times New Roman" w:hAnsi="Times New Roman"/>
          <w:i/>
          <w:sz w:val="24"/>
          <w:szCs w:val="24"/>
        </w:rPr>
      </w:pPr>
    </w:p>
    <w:p w:rsidR="005030AC" w:rsidRPr="005030AC" w:rsidRDefault="005030AC" w:rsidP="005030AC">
      <w:pPr>
        <w:spacing w:line="480" w:lineRule="auto"/>
        <w:rPr>
          <w:rFonts w:ascii="Times New Roman" w:hAnsi="Times New Roman"/>
          <w:i/>
          <w:sz w:val="24"/>
          <w:szCs w:val="24"/>
        </w:rPr>
      </w:pPr>
    </w:p>
    <w:p w:rsidR="005030AC" w:rsidRPr="005030AC" w:rsidRDefault="005030AC" w:rsidP="005030AC">
      <w:pPr>
        <w:spacing w:line="480" w:lineRule="auto"/>
        <w:rPr>
          <w:rFonts w:ascii="Times New Roman" w:hAnsi="Times New Roman"/>
          <w:i/>
          <w:sz w:val="24"/>
          <w:szCs w:val="24"/>
        </w:rPr>
      </w:pPr>
    </w:p>
    <w:p w:rsidR="005030AC" w:rsidRPr="005030AC" w:rsidRDefault="005030AC" w:rsidP="005030AC">
      <w:pPr>
        <w:spacing w:line="480" w:lineRule="auto"/>
        <w:rPr>
          <w:rFonts w:ascii="Times New Roman" w:hAnsi="Times New Roman"/>
          <w:i/>
          <w:sz w:val="24"/>
          <w:szCs w:val="24"/>
        </w:rPr>
      </w:pPr>
    </w:p>
    <w:p w:rsidR="005030AC" w:rsidRPr="005030AC" w:rsidRDefault="005030AC" w:rsidP="005030AC">
      <w:pPr>
        <w:spacing w:line="480" w:lineRule="auto"/>
        <w:rPr>
          <w:rFonts w:ascii="Times New Roman" w:hAnsi="Times New Roman"/>
          <w:i/>
          <w:sz w:val="24"/>
          <w:szCs w:val="24"/>
        </w:rPr>
      </w:pPr>
      <w:r w:rsidRPr="005030AC">
        <w:rPr>
          <w:rFonts w:ascii="Times New Roman" w:hAnsi="Times New Roman"/>
          <w:i/>
          <w:sz w:val="24"/>
          <w:szCs w:val="24"/>
        </w:rPr>
        <w:t>Analysis</w:t>
      </w:r>
    </w:p>
    <w:p w:rsidR="005030AC" w:rsidRPr="005030AC" w:rsidRDefault="005030AC" w:rsidP="005030AC">
      <w:pPr>
        <w:rPr>
          <w:rFonts w:ascii="Times New Roman" w:hAnsi="Times New Roman"/>
          <w:sz w:val="24"/>
          <w:szCs w:val="24"/>
        </w:rPr>
      </w:pPr>
      <w:r w:rsidRPr="005030AC">
        <w:rPr>
          <w:rFonts w:ascii="Times New Roman" w:hAnsi="Times New Roman"/>
          <w:sz w:val="24"/>
          <w:szCs w:val="24"/>
        </w:rPr>
        <w:t>For each issue the appropriate accounting policy using standards for publically accountable enterprises (IFRS) will be discussed then any difference if accounting standards for private enterprises was selected.</w:t>
      </w:r>
    </w:p>
    <w:p w:rsidR="005030AC" w:rsidRPr="005030AC" w:rsidRDefault="005030AC" w:rsidP="005030AC">
      <w:pPr>
        <w:numPr>
          <w:ilvl w:val="0"/>
          <w:numId w:val="4"/>
        </w:numPr>
        <w:spacing w:after="0" w:line="240" w:lineRule="auto"/>
        <w:rPr>
          <w:rFonts w:ascii="Times New Roman" w:hAnsi="Times New Roman"/>
          <w:i/>
          <w:sz w:val="24"/>
          <w:szCs w:val="24"/>
        </w:rPr>
      </w:pPr>
      <w:r w:rsidRPr="005030AC">
        <w:rPr>
          <w:rFonts w:ascii="Times New Roman" w:hAnsi="Times New Roman"/>
          <w:i/>
          <w:sz w:val="24"/>
          <w:szCs w:val="24"/>
        </w:rPr>
        <w:lastRenderedPageBreak/>
        <w:t>Valuation basis for vines and grapes</w:t>
      </w:r>
    </w:p>
    <w:p w:rsidR="005030AC" w:rsidRPr="005030AC" w:rsidRDefault="005030AC" w:rsidP="005030AC">
      <w:pPr>
        <w:ind w:left="360"/>
        <w:rPr>
          <w:rFonts w:ascii="Times New Roman" w:hAnsi="Times New Roman"/>
          <w:sz w:val="24"/>
          <w:szCs w:val="24"/>
          <w:u w:val="single"/>
        </w:rPr>
      </w:pPr>
    </w:p>
    <w:p w:rsidR="005030AC" w:rsidRPr="005030AC" w:rsidRDefault="005030AC" w:rsidP="005030AC">
      <w:pPr>
        <w:ind w:left="360"/>
        <w:rPr>
          <w:rFonts w:ascii="Times New Roman" w:hAnsi="Times New Roman"/>
          <w:sz w:val="24"/>
          <w:szCs w:val="24"/>
          <w:u w:val="single"/>
        </w:rPr>
      </w:pPr>
      <w:r w:rsidRPr="005030AC">
        <w:rPr>
          <w:rFonts w:ascii="Times New Roman" w:hAnsi="Times New Roman"/>
          <w:sz w:val="24"/>
          <w:szCs w:val="24"/>
          <w:u w:val="single"/>
        </w:rPr>
        <w:t>Part A</w:t>
      </w:r>
    </w:p>
    <w:p w:rsidR="005030AC" w:rsidRPr="005030AC" w:rsidRDefault="005030AC" w:rsidP="005030AC">
      <w:pPr>
        <w:ind w:left="360"/>
        <w:rPr>
          <w:rFonts w:ascii="Times New Roman" w:hAnsi="Times New Roman"/>
          <w:sz w:val="24"/>
          <w:szCs w:val="24"/>
        </w:rPr>
      </w:pPr>
      <w:r w:rsidRPr="005030AC">
        <w:rPr>
          <w:rFonts w:ascii="Times New Roman" w:hAnsi="Times New Roman"/>
          <w:sz w:val="24"/>
          <w:szCs w:val="24"/>
        </w:rPr>
        <w:t xml:space="preserve">The vines and growing grapes would be considered biological assets since they are living plants. Once the grapes are harvested these would be considered inventory. The value of the land would have to be separate from the value of the vines and grapes. </w:t>
      </w:r>
    </w:p>
    <w:p w:rsidR="005030AC" w:rsidRPr="005030AC" w:rsidRDefault="005030AC" w:rsidP="005030AC">
      <w:pPr>
        <w:ind w:left="360"/>
        <w:rPr>
          <w:rFonts w:ascii="Times New Roman" w:hAnsi="Times New Roman"/>
          <w:sz w:val="24"/>
          <w:szCs w:val="24"/>
        </w:rPr>
      </w:pPr>
      <w:r w:rsidRPr="005030AC">
        <w:rPr>
          <w:rFonts w:ascii="Times New Roman" w:hAnsi="Times New Roman"/>
          <w:sz w:val="24"/>
          <w:szCs w:val="24"/>
        </w:rPr>
        <w:t xml:space="preserve">Biological assets are valued at fair value less any point of sale costs. These assets are not depreciated. Any gains or losses would be recognized in the income statement. Fair value of the vines and grapes would need to be determined each reporting date. </w:t>
      </w:r>
    </w:p>
    <w:p w:rsidR="005030AC" w:rsidRPr="005030AC" w:rsidRDefault="005030AC" w:rsidP="005030AC">
      <w:pPr>
        <w:ind w:left="360"/>
        <w:rPr>
          <w:rFonts w:ascii="Times New Roman" w:hAnsi="Times New Roman"/>
          <w:sz w:val="24"/>
          <w:szCs w:val="24"/>
        </w:rPr>
      </w:pPr>
      <w:r w:rsidRPr="005030AC">
        <w:rPr>
          <w:rFonts w:ascii="Times New Roman" w:hAnsi="Times New Roman"/>
          <w:sz w:val="24"/>
          <w:szCs w:val="24"/>
        </w:rPr>
        <w:t xml:space="preserve">WI will need to determine fair value for the vines and grapes separate from the land. Fair value could be based on recent sales or purchases of vines. The grapes can obtain a value from the active market for the purchase or sale of grapes. The land could be valued from recent real estate transactions. If fair values cannot be obtained in the market place a valuation could be completed based on discounted cash flows. Point of sale costs would be transportation costs to market. </w:t>
      </w:r>
    </w:p>
    <w:p w:rsidR="005030AC" w:rsidRPr="005030AC" w:rsidRDefault="005030AC" w:rsidP="005030AC">
      <w:pPr>
        <w:ind w:left="360"/>
        <w:rPr>
          <w:rFonts w:ascii="Times New Roman" w:hAnsi="Times New Roman"/>
          <w:sz w:val="24"/>
          <w:szCs w:val="24"/>
        </w:rPr>
      </w:pPr>
      <w:r w:rsidRPr="005030AC">
        <w:rPr>
          <w:rFonts w:ascii="Times New Roman" w:hAnsi="Times New Roman"/>
          <w:sz w:val="24"/>
          <w:szCs w:val="24"/>
        </w:rPr>
        <w:t>When harvested the grapes would be transferred and reclassified as inventory at their fair value less point of sale costs.</w:t>
      </w:r>
    </w:p>
    <w:p w:rsidR="005030AC" w:rsidRPr="005030AC" w:rsidRDefault="005030AC" w:rsidP="005030AC">
      <w:pPr>
        <w:ind w:left="360"/>
        <w:rPr>
          <w:rFonts w:ascii="Times New Roman" w:hAnsi="Times New Roman"/>
          <w:sz w:val="24"/>
          <w:szCs w:val="24"/>
        </w:rPr>
      </w:pPr>
      <w:r w:rsidRPr="005030AC">
        <w:rPr>
          <w:rFonts w:ascii="Times New Roman" w:hAnsi="Times New Roman"/>
          <w:sz w:val="24"/>
          <w:szCs w:val="24"/>
        </w:rPr>
        <w:t xml:space="preserve">Any changes in the fair value of the biological assets would impact net income. Any increases would have a favourable effect but decreases would have a negative impact. The vines and land would be classified as a non-current asset so there would be no impact on the current ratio. After being harvested, the grapes would be classified as inventory. As Wine can take over two years to produce, part of the grape inventory would need to be classified as non-current. </w:t>
      </w:r>
    </w:p>
    <w:p w:rsidR="005030AC" w:rsidRPr="005030AC" w:rsidRDefault="005030AC" w:rsidP="005030AC">
      <w:pPr>
        <w:ind w:left="360"/>
        <w:rPr>
          <w:rFonts w:ascii="Times New Roman" w:hAnsi="Times New Roman"/>
          <w:sz w:val="24"/>
          <w:szCs w:val="24"/>
          <w:u w:val="single"/>
        </w:rPr>
      </w:pPr>
      <w:r w:rsidRPr="005030AC">
        <w:rPr>
          <w:rFonts w:ascii="Times New Roman" w:hAnsi="Times New Roman"/>
          <w:sz w:val="24"/>
          <w:szCs w:val="24"/>
          <w:u w:val="single"/>
        </w:rPr>
        <w:t>Part B</w:t>
      </w:r>
    </w:p>
    <w:p w:rsidR="005030AC" w:rsidRPr="005030AC" w:rsidRDefault="005030AC" w:rsidP="005030AC">
      <w:pPr>
        <w:ind w:left="360"/>
        <w:rPr>
          <w:rFonts w:ascii="Times New Roman" w:hAnsi="Times New Roman"/>
          <w:sz w:val="24"/>
          <w:szCs w:val="24"/>
        </w:rPr>
      </w:pPr>
      <w:r w:rsidRPr="005030AC">
        <w:rPr>
          <w:rFonts w:ascii="Times New Roman" w:hAnsi="Times New Roman"/>
          <w:sz w:val="24"/>
          <w:szCs w:val="24"/>
        </w:rPr>
        <w:t>If accounting standards for private enterprise were selected the vines, grapes and land would be valued using cost. The land would not be depreciated. Since the vines have an indefinite lifespan they would also not be depreciated. The assets would be tested for impairment if an event or circumstance indicated impairment e.g. frost may damage the vines and cause a reduction in value.</w:t>
      </w:r>
    </w:p>
    <w:p w:rsidR="005030AC" w:rsidRPr="005030AC" w:rsidRDefault="005030AC" w:rsidP="005030AC">
      <w:pPr>
        <w:ind w:left="360"/>
        <w:rPr>
          <w:rFonts w:ascii="Times New Roman" w:hAnsi="Times New Roman"/>
          <w:sz w:val="24"/>
          <w:szCs w:val="24"/>
          <w:u w:val="single"/>
        </w:rPr>
      </w:pPr>
      <w:r w:rsidRPr="005030AC">
        <w:rPr>
          <w:rFonts w:ascii="Times New Roman" w:hAnsi="Times New Roman"/>
          <w:sz w:val="24"/>
          <w:szCs w:val="24"/>
          <w:u w:val="single"/>
        </w:rPr>
        <w:t>Part A</w:t>
      </w:r>
    </w:p>
    <w:p w:rsidR="005030AC" w:rsidRPr="005030AC" w:rsidRDefault="005030AC" w:rsidP="005030AC">
      <w:pPr>
        <w:numPr>
          <w:ilvl w:val="0"/>
          <w:numId w:val="4"/>
        </w:numPr>
        <w:spacing w:after="0" w:line="240" w:lineRule="auto"/>
        <w:rPr>
          <w:rFonts w:ascii="Times New Roman" w:hAnsi="Times New Roman"/>
          <w:i/>
          <w:sz w:val="24"/>
          <w:szCs w:val="24"/>
        </w:rPr>
      </w:pPr>
      <w:r w:rsidRPr="005030AC">
        <w:rPr>
          <w:rFonts w:ascii="Times New Roman" w:hAnsi="Times New Roman"/>
          <w:i/>
          <w:sz w:val="24"/>
          <w:szCs w:val="24"/>
        </w:rPr>
        <w:t>Valuation of winery license</w:t>
      </w:r>
    </w:p>
    <w:p w:rsidR="005030AC" w:rsidRPr="005030AC" w:rsidRDefault="005030AC" w:rsidP="005030AC">
      <w:pPr>
        <w:ind w:left="360"/>
        <w:rPr>
          <w:rFonts w:ascii="Times New Roman" w:hAnsi="Times New Roman"/>
          <w:sz w:val="24"/>
          <w:szCs w:val="24"/>
        </w:rPr>
      </w:pPr>
    </w:p>
    <w:p w:rsidR="005030AC" w:rsidRPr="005030AC" w:rsidRDefault="005030AC" w:rsidP="005030AC">
      <w:pPr>
        <w:ind w:left="360"/>
        <w:rPr>
          <w:rFonts w:ascii="Times New Roman" w:hAnsi="Times New Roman"/>
          <w:sz w:val="24"/>
          <w:szCs w:val="24"/>
        </w:rPr>
      </w:pPr>
      <w:r w:rsidRPr="005030AC">
        <w:rPr>
          <w:rFonts w:ascii="Times New Roman" w:hAnsi="Times New Roman"/>
          <w:sz w:val="24"/>
          <w:szCs w:val="24"/>
        </w:rPr>
        <w:lastRenderedPageBreak/>
        <w:t>The winery license would be classified as an intangible asset. Since the license does not have an expiry date it would be considered an intangible asset with an indefinite lifespan. Since there is no active market for these licenses the cost model would be used for the licenses. The licenses would not be amortized but tested for impairment.</w:t>
      </w:r>
    </w:p>
    <w:p w:rsidR="005030AC" w:rsidRPr="005030AC" w:rsidRDefault="005030AC" w:rsidP="005030AC">
      <w:pPr>
        <w:ind w:left="360"/>
        <w:rPr>
          <w:rFonts w:ascii="Times New Roman" w:hAnsi="Times New Roman"/>
          <w:sz w:val="24"/>
          <w:szCs w:val="24"/>
        </w:rPr>
      </w:pPr>
      <w:r w:rsidRPr="005030AC">
        <w:rPr>
          <w:rFonts w:ascii="Times New Roman" w:hAnsi="Times New Roman"/>
          <w:sz w:val="24"/>
          <w:szCs w:val="24"/>
        </w:rPr>
        <w:t>The license would be classified as a non current asset therefore there would be no impact on the current ratio.</w:t>
      </w:r>
    </w:p>
    <w:p w:rsidR="005030AC" w:rsidRPr="005030AC" w:rsidRDefault="005030AC" w:rsidP="005030AC">
      <w:pPr>
        <w:ind w:left="360"/>
        <w:rPr>
          <w:rFonts w:ascii="Times New Roman" w:hAnsi="Times New Roman"/>
          <w:sz w:val="24"/>
          <w:szCs w:val="24"/>
          <w:u w:val="single"/>
        </w:rPr>
      </w:pPr>
      <w:r w:rsidRPr="005030AC">
        <w:rPr>
          <w:rFonts w:ascii="Times New Roman" w:hAnsi="Times New Roman"/>
          <w:sz w:val="24"/>
          <w:szCs w:val="24"/>
          <w:u w:val="single"/>
        </w:rPr>
        <w:t>Part B</w:t>
      </w:r>
    </w:p>
    <w:p w:rsidR="005030AC" w:rsidRPr="005030AC" w:rsidRDefault="005030AC" w:rsidP="005030AC">
      <w:pPr>
        <w:ind w:left="360"/>
        <w:rPr>
          <w:rFonts w:ascii="Times New Roman" w:hAnsi="Times New Roman"/>
          <w:sz w:val="24"/>
          <w:szCs w:val="24"/>
        </w:rPr>
      </w:pPr>
      <w:r w:rsidRPr="005030AC">
        <w:rPr>
          <w:rFonts w:ascii="Times New Roman" w:hAnsi="Times New Roman"/>
          <w:sz w:val="24"/>
          <w:szCs w:val="24"/>
        </w:rPr>
        <w:t>The accounting would be identical in accounting standards for private enterprises.</w:t>
      </w:r>
    </w:p>
    <w:p w:rsidR="005030AC" w:rsidRPr="005030AC" w:rsidRDefault="005030AC" w:rsidP="005030AC">
      <w:pPr>
        <w:numPr>
          <w:ilvl w:val="0"/>
          <w:numId w:val="4"/>
        </w:numPr>
        <w:spacing w:after="0" w:line="240" w:lineRule="auto"/>
        <w:rPr>
          <w:rFonts w:ascii="Times New Roman" w:hAnsi="Times New Roman"/>
          <w:i/>
          <w:sz w:val="24"/>
          <w:szCs w:val="24"/>
        </w:rPr>
      </w:pPr>
      <w:r w:rsidRPr="005030AC">
        <w:rPr>
          <w:rFonts w:ascii="Times New Roman" w:hAnsi="Times New Roman"/>
          <w:i/>
          <w:sz w:val="24"/>
          <w:szCs w:val="24"/>
        </w:rPr>
        <w:t>Valuation of inventory – wine</w:t>
      </w:r>
    </w:p>
    <w:p w:rsidR="005030AC" w:rsidRPr="005030AC" w:rsidRDefault="005030AC" w:rsidP="005030AC">
      <w:pPr>
        <w:ind w:left="360"/>
        <w:rPr>
          <w:rFonts w:ascii="Times New Roman" w:hAnsi="Times New Roman"/>
          <w:sz w:val="24"/>
          <w:szCs w:val="24"/>
        </w:rPr>
      </w:pPr>
    </w:p>
    <w:p w:rsidR="005030AC" w:rsidRPr="005030AC" w:rsidRDefault="005030AC" w:rsidP="005030AC">
      <w:pPr>
        <w:ind w:left="360"/>
        <w:rPr>
          <w:rFonts w:ascii="Times New Roman" w:hAnsi="Times New Roman"/>
          <w:sz w:val="24"/>
          <w:szCs w:val="24"/>
        </w:rPr>
      </w:pPr>
      <w:r w:rsidRPr="005030AC">
        <w:rPr>
          <w:rFonts w:ascii="Times New Roman" w:hAnsi="Times New Roman"/>
          <w:sz w:val="24"/>
          <w:szCs w:val="24"/>
        </w:rPr>
        <w:t>The grapes would be reclassified from biological assets to inventory at the fair value less point of sale costs. The grapes when crushed would then be transferred into wine inventory. The wine would be a manufactured inventory and would be classified as work in progress. The wine and grapes would be valued at lower of cost and net realizable value at each reporting date.</w:t>
      </w:r>
    </w:p>
    <w:p w:rsidR="005030AC" w:rsidRPr="005030AC" w:rsidRDefault="005030AC" w:rsidP="005030AC">
      <w:pPr>
        <w:ind w:left="360"/>
        <w:rPr>
          <w:rFonts w:ascii="Times New Roman" w:hAnsi="Times New Roman"/>
          <w:sz w:val="24"/>
          <w:szCs w:val="24"/>
        </w:rPr>
      </w:pPr>
      <w:r w:rsidRPr="005030AC">
        <w:rPr>
          <w:rFonts w:ascii="Times New Roman" w:hAnsi="Times New Roman"/>
          <w:sz w:val="24"/>
          <w:szCs w:val="24"/>
        </w:rPr>
        <w:t xml:space="preserve">Wine would be classified as a current asset e.g. non premium wine which is expected to be sold within the year. The premium wine would be classified as a non-current asset. Costs would include any direct costs and a portion of general overhead. In addition, the premium wine which is aged for a period of time up until two years may be a qualifying asset where interest must be capitalized. A portion of the interest on general borrowings, loan from bank, would be added to the cost of the wine.     </w:t>
      </w:r>
    </w:p>
    <w:p w:rsidR="005030AC" w:rsidRPr="005030AC" w:rsidRDefault="005030AC" w:rsidP="005030AC">
      <w:pPr>
        <w:ind w:left="360"/>
        <w:rPr>
          <w:rFonts w:ascii="Times New Roman" w:hAnsi="Times New Roman"/>
          <w:sz w:val="24"/>
          <w:szCs w:val="24"/>
        </w:rPr>
      </w:pPr>
      <w:r w:rsidRPr="005030AC">
        <w:rPr>
          <w:rFonts w:ascii="Times New Roman" w:hAnsi="Times New Roman"/>
          <w:sz w:val="24"/>
          <w:szCs w:val="24"/>
        </w:rPr>
        <w:t>The inventory that is classified as current would have a positive impact on the current ratio.</w:t>
      </w:r>
    </w:p>
    <w:p w:rsidR="005030AC" w:rsidRPr="005030AC" w:rsidRDefault="005030AC" w:rsidP="005030AC">
      <w:pPr>
        <w:ind w:left="360"/>
        <w:rPr>
          <w:rFonts w:ascii="Times New Roman" w:hAnsi="Times New Roman"/>
          <w:sz w:val="24"/>
          <w:szCs w:val="24"/>
          <w:u w:val="single"/>
        </w:rPr>
      </w:pPr>
      <w:r w:rsidRPr="005030AC">
        <w:rPr>
          <w:rFonts w:ascii="Times New Roman" w:hAnsi="Times New Roman"/>
          <w:sz w:val="24"/>
          <w:szCs w:val="24"/>
          <w:u w:val="single"/>
        </w:rPr>
        <w:t>Part B</w:t>
      </w:r>
    </w:p>
    <w:p w:rsidR="005030AC" w:rsidRPr="005030AC" w:rsidRDefault="005030AC" w:rsidP="005030AC">
      <w:pPr>
        <w:ind w:left="360"/>
        <w:rPr>
          <w:rFonts w:ascii="Times New Roman" w:hAnsi="Times New Roman"/>
          <w:sz w:val="24"/>
          <w:szCs w:val="24"/>
        </w:rPr>
      </w:pPr>
      <w:r w:rsidRPr="005030AC">
        <w:rPr>
          <w:rFonts w:ascii="Times New Roman" w:hAnsi="Times New Roman"/>
          <w:sz w:val="24"/>
          <w:szCs w:val="24"/>
        </w:rPr>
        <w:t>The accounting standards for private enterprises would not classify the grapes as a biological asset. They would be valued at cost. Interest costs may be capitalized if they relate to a specific borrowing not general borrowing. The loan is for general purposes therefore the interest costs would not be capitalized for the premium wine.</w:t>
      </w:r>
    </w:p>
    <w:p w:rsidR="005030AC" w:rsidRPr="005030AC" w:rsidRDefault="005030AC" w:rsidP="005030AC">
      <w:pPr>
        <w:numPr>
          <w:ilvl w:val="0"/>
          <w:numId w:val="4"/>
        </w:numPr>
        <w:spacing w:after="0" w:line="240" w:lineRule="auto"/>
        <w:rPr>
          <w:rFonts w:ascii="Times New Roman" w:hAnsi="Times New Roman"/>
          <w:i/>
          <w:sz w:val="24"/>
          <w:szCs w:val="24"/>
        </w:rPr>
      </w:pPr>
      <w:r w:rsidRPr="005030AC">
        <w:rPr>
          <w:rFonts w:ascii="Times New Roman" w:hAnsi="Times New Roman"/>
          <w:i/>
          <w:sz w:val="24"/>
          <w:szCs w:val="24"/>
        </w:rPr>
        <w:t>Revenue recognition – wine</w:t>
      </w:r>
    </w:p>
    <w:p w:rsidR="005030AC" w:rsidRPr="005030AC" w:rsidRDefault="005030AC" w:rsidP="005030AC">
      <w:pPr>
        <w:ind w:left="360"/>
        <w:rPr>
          <w:rFonts w:ascii="Times New Roman" w:hAnsi="Times New Roman"/>
          <w:sz w:val="24"/>
          <w:szCs w:val="24"/>
        </w:rPr>
      </w:pPr>
    </w:p>
    <w:p w:rsidR="005030AC" w:rsidRPr="005030AC" w:rsidRDefault="005030AC" w:rsidP="005030AC">
      <w:pPr>
        <w:ind w:left="360"/>
        <w:rPr>
          <w:rFonts w:ascii="Times New Roman" w:hAnsi="Times New Roman"/>
          <w:sz w:val="24"/>
          <w:szCs w:val="24"/>
        </w:rPr>
      </w:pPr>
      <w:r w:rsidRPr="005030AC">
        <w:rPr>
          <w:rFonts w:ascii="Times New Roman" w:hAnsi="Times New Roman"/>
          <w:sz w:val="24"/>
          <w:szCs w:val="24"/>
        </w:rPr>
        <w:lastRenderedPageBreak/>
        <w:t>Wine sold in the store or on the website would be recognized when delivered. There is no cash collection risk since customers would pay at purchase with the exception of the LCBO. The LCBO is a government run organization and there would not be cash collection risk.</w:t>
      </w:r>
    </w:p>
    <w:p w:rsidR="005030AC" w:rsidRPr="005030AC" w:rsidRDefault="005030AC" w:rsidP="005030AC">
      <w:pPr>
        <w:ind w:left="360"/>
        <w:rPr>
          <w:rFonts w:ascii="Times New Roman" w:hAnsi="Times New Roman"/>
          <w:sz w:val="24"/>
          <w:szCs w:val="24"/>
        </w:rPr>
      </w:pPr>
    </w:p>
    <w:p w:rsidR="005030AC" w:rsidRPr="005030AC" w:rsidRDefault="005030AC" w:rsidP="005030AC">
      <w:pPr>
        <w:ind w:left="360"/>
        <w:rPr>
          <w:rFonts w:ascii="Times New Roman" w:hAnsi="Times New Roman"/>
          <w:sz w:val="24"/>
          <w:szCs w:val="24"/>
          <w:u w:val="single"/>
        </w:rPr>
      </w:pPr>
      <w:r w:rsidRPr="005030AC">
        <w:rPr>
          <w:rFonts w:ascii="Times New Roman" w:hAnsi="Times New Roman"/>
          <w:sz w:val="24"/>
          <w:szCs w:val="24"/>
          <w:u w:val="single"/>
        </w:rPr>
        <w:t>Part B</w:t>
      </w:r>
    </w:p>
    <w:p w:rsidR="005030AC" w:rsidRPr="005030AC" w:rsidRDefault="005030AC" w:rsidP="005030AC">
      <w:pPr>
        <w:ind w:left="360"/>
        <w:rPr>
          <w:rFonts w:ascii="Times New Roman" w:hAnsi="Times New Roman"/>
          <w:sz w:val="24"/>
          <w:szCs w:val="24"/>
        </w:rPr>
      </w:pPr>
      <w:r w:rsidRPr="005030AC">
        <w:rPr>
          <w:rFonts w:ascii="Times New Roman" w:hAnsi="Times New Roman"/>
          <w:sz w:val="24"/>
          <w:szCs w:val="24"/>
        </w:rPr>
        <w:t>The accounting would be similar in accounting standards for private enterprises.</w:t>
      </w:r>
    </w:p>
    <w:p w:rsidR="005030AC" w:rsidRPr="005030AC" w:rsidRDefault="005030AC" w:rsidP="005030AC">
      <w:pPr>
        <w:numPr>
          <w:ilvl w:val="0"/>
          <w:numId w:val="4"/>
        </w:numPr>
        <w:spacing w:after="0" w:line="240" w:lineRule="auto"/>
        <w:rPr>
          <w:rFonts w:ascii="Times New Roman" w:hAnsi="Times New Roman"/>
          <w:i/>
          <w:sz w:val="24"/>
          <w:szCs w:val="24"/>
        </w:rPr>
      </w:pPr>
      <w:r w:rsidRPr="005030AC">
        <w:rPr>
          <w:rFonts w:ascii="Times New Roman" w:hAnsi="Times New Roman"/>
          <w:i/>
          <w:sz w:val="24"/>
          <w:szCs w:val="24"/>
        </w:rPr>
        <w:t>Software and web site development costs</w:t>
      </w:r>
    </w:p>
    <w:p w:rsidR="005030AC" w:rsidRPr="005030AC" w:rsidRDefault="005030AC" w:rsidP="005030AC">
      <w:pPr>
        <w:ind w:left="360"/>
        <w:rPr>
          <w:rFonts w:ascii="Times New Roman" w:hAnsi="Times New Roman"/>
          <w:sz w:val="24"/>
          <w:szCs w:val="24"/>
        </w:rPr>
      </w:pPr>
      <w:r w:rsidRPr="005030AC">
        <w:rPr>
          <w:rFonts w:ascii="Times New Roman" w:hAnsi="Times New Roman"/>
          <w:sz w:val="24"/>
          <w:szCs w:val="24"/>
        </w:rPr>
        <w:t>The acquired software would be classified as an intangible asset with a definite lifespan. The software would be amortized over the period of its intended use by WI. Web site costs which are in the planning stage or just for operating would be expensed. The consulting fees depending on their nature may have a portion capitalized. The training costs would be expensed. Costs to develop the website e.g. graphics design and the web domain name would be capitalized. Any capitalized costs would be amortized over the period of intended use of the website. The amortization period for the software and web site is likely a short period since it is technology based.</w:t>
      </w:r>
    </w:p>
    <w:p w:rsidR="005030AC" w:rsidRPr="005030AC" w:rsidRDefault="005030AC" w:rsidP="005030AC">
      <w:pPr>
        <w:ind w:left="360"/>
        <w:rPr>
          <w:rFonts w:ascii="Times New Roman" w:hAnsi="Times New Roman"/>
          <w:sz w:val="24"/>
          <w:szCs w:val="24"/>
        </w:rPr>
      </w:pPr>
      <w:r w:rsidRPr="005030AC">
        <w:rPr>
          <w:rFonts w:ascii="Times New Roman" w:hAnsi="Times New Roman"/>
          <w:sz w:val="24"/>
          <w:szCs w:val="24"/>
        </w:rPr>
        <w:t>The intangible assets would be classified as a non-current asset therefore would not have an impact on the current ratio.</w:t>
      </w:r>
    </w:p>
    <w:p w:rsidR="005030AC" w:rsidRPr="005030AC" w:rsidRDefault="005030AC" w:rsidP="005030AC">
      <w:pPr>
        <w:ind w:left="360"/>
        <w:rPr>
          <w:rFonts w:ascii="Times New Roman" w:hAnsi="Times New Roman"/>
          <w:sz w:val="24"/>
          <w:szCs w:val="24"/>
          <w:u w:val="single"/>
        </w:rPr>
      </w:pPr>
      <w:r w:rsidRPr="005030AC">
        <w:rPr>
          <w:rFonts w:ascii="Times New Roman" w:hAnsi="Times New Roman"/>
          <w:sz w:val="24"/>
          <w:szCs w:val="24"/>
          <w:u w:val="single"/>
        </w:rPr>
        <w:t>Part B</w:t>
      </w:r>
    </w:p>
    <w:p w:rsidR="005030AC" w:rsidRPr="005030AC" w:rsidRDefault="005030AC" w:rsidP="005030AC">
      <w:pPr>
        <w:ind w:left="360"/>
        <w:rPr>
          <w:rFonts w:ascii="Times New Roman" w:hAnsi="Times New Roman"/>
          <w:sz w:val="24"/>
          <w:szCs w:val="24"/>
        </w:rPr>
      </w:pPr>
      <w:r w:rsidRPr="005030AC">
        <w:rPr>
          <w:rFonts w:ascii="Times New Roman" w:hAnsi="Times New Roman"/>
          <w:sz w:val="24"/>
          <w:szCs w:val="24"/>
        </w:rPr>
        <w:t>The accounting would be identical in accounting standards for private enterprises.</w:t>
      </w:r>
    </w:p>
    <w:p w:rsidR="005030AC" w:rsidRPr="005030AC" w:rsidRDefault="005030AC" w:rsidP="005030AC">
      <w:pPr>
        <w:numPr>
          <w:ilvl w:val="0"/>
          <w:numId w:val="4"/>
        </w:numPr>
        <w:spacing w:after="0" w:line="240" w:lineRule="auto"/>
        <w:rPr>
          <w:rFonts w:ascii="Times New Roman" w:hAnsi="Times New Roman"/>
          <w:i/>
          <w:sz w:val="24"/>
          <w:szCs w:val="24"/>
        </w:rPr>
      </w:pPr>
      <w:r w:rsidRPr="005030AC">
        <w:rPr>
          <w:rFonts w:ascii="Times New Roman" w:hAnsi="Times New Roman"/>
          <w:i/>
          <w:sz w:val="24"/>
          <w:szCs w:val="24"/>
        </w:rPr>
        <w:t xml:space="preserve">Revenue recognition – annual fee </w:t>
      </w:r>
    </w:p>
    <w:p w:rsidR="005030AC" w:rsidRPr="005030AC" w:rsidRDefault="005030AC" w:rsidP="005030AC">
      <w:pPr>
        <w:ind w:left="360"/>
        <w:rPr>
          <w:rFonts w:ascii="Times New Roman" w:hAnsi="Times New Roman"/>
          <w:sz w:val="24"/>
          <w:szCs w:val="24"/>
        </w:rPr>
      </w:pPr>
      <w:r w:rsidRPr="005030AC">
        <w:rPr>
          <w:rFonts w:ascii="Times New Roman" w:hAnsi="Times New Roman"/>
          <w:sz w:val="24"/>
          <w:szCs w:val="24"/>
        </w:rPr>
        <w:t>The annual fee has multiple elements since the customer receives bottles of wine and a subscription to the magazine. The fee would need to be allocated to the two elements based on relative fair value. The portion related to the wine would be recognized when the bottles of wine are delivered. The portion related to the subscription would be recognized as the subscription is delivered.</w:t>
      </w:r>
    </w:p>
    <w:p w:rsidR="005030AC" w:rsidRPr="005030AC" w:rsidRDefault="005030AC" w:rsidP="005030AC">
      <w:pPr>
        <w:ind w:left="360"/>
        <w:rPr>
          <w:rFonts w:ascii="Times New Roman" w:hAnsi="Times New Roman"/>
          <w:sz w:val="24"/>
          <w:szCs w:val="24"/>
          <w:u w:val="single"/>
        </w:rPr>
      </w:pPr>
      <w:r w:rsidRPr="005030AC">
        <w:rPr>
          <w:rFonts w:ascii="Times New Roman" w:hAnsi="Times New Roman"/>
          <w:sz w:val="24"/>
          <w:szCs w:val="24"/>
          <w:u w:val="single"/>
        </w:rPr>
        <w:t>Part B</w:t>
      </w:r>
    </w:p>
    <w:p w:rsidR="005030AC" w:rsidRPr="005030AC" w:rsidRDefault="005030AC" w:rsidP="005030AC">
      <w:pPr>
        <w:ind w:left="360"/>
        <w:rPr>
          <w:rFonts w:ascii="Times New Roman" w:hAnsi="Times New Roman"/>
          <w:sz w:val="24"/>
          <w:szCs w:val="24"/>
        </w:rPr>
      </w:pPr>
      <w:r w:rsidRPr="005030AC">
        <w:rPr>
          <w:rFonts w:ascii="Times New Roman" w:hAnsi="Times New Roman"/>
          <w:sz w:val="24"/>
          <w:szCs w:val="24"/>
        </w:rPr>
        <w:t>The accounting would be similar in accounting standards for private enterprises.</w:t>
      </w:r>
    </w:p>
    <w:p w:rsidR="005030AC" w:rsidRPr="005030AC" w:rsidRDefault="005030AC" w:rsidP="005030AC">
      <w:pPr>
        <w:numPr>
          <w:ilvl w:val="0"/>
          <w:numId w:val="4"/>
        </w:numPr>
        <w:spacing w:after="0" w:line="240" w:lineRule="auto"/>
        <w:rPr>
          <w:rFonts w:ascii="Times New Roman" w:hAnsi="Times New Roman"/>
          <w:i/>
          <w:sz w:val="24"/>
          <w:szCs w:val="24"/>
        </w:rPr>
      </w:pPr>
      <w:r w:rsidRPr="005030AC">
        <w:rPr>
          <w:rFonts w:ascii="Times New Roman" w:hAnsi="Times New Roman"/>
          <w:i/>
          <w:sz w:val="24"/>
          <w:szCs w:val="24"/>
        </w:rPr>
        <w:t>Inventory valuation – spoiled wine</w:t>
      </w:r>
    </w:p>
    <w:p w:rsidR="005030AC" w:rsidRPr="005030AC" w:rsidRDefault="005030AC" w:rsidP="005030AC">
      <w:pPr>
        <w:ind w:left="360"/>
        <w:rPr>
          <w:rFonts w:ascii="Times New Roman" w:hAnsi="Times New Roman"/>
          <w:sz w:val="24"/>
          <w:szCs w:val="24"/>
        </w:rPr>
      </w:pPr>
      <w:r w:rsidRPr="005030AC">
        <w:rPr>
          <w:rFonts w:ascii="Times New Roman" w:hAnsi="Times New Roman"/>
          <w:sz w:val="24"/>
          <w:szCs w:val="24"/>
        </w:rPr>
        <w:lastRenderedPageBreak/>
        <w:t xml:space="preserve">The wine that is spoiled would need to determine the net realizable value. The write-down would be to the net realizable value. Based on initial samples it indicates the wine is spoiled and unless there is an alternative use for the wine the value would be zero. </w:t>
      </w:r>
    </w:p>
    <w:p w:rsidR="005030AC" w:rsidRPr="005030AC" w:rsidRDefault="005030AC" w:rsidP="005030AC">
      <w:pPr>
        <w:ind w:left="360"/>
        <w:rPr>
          <w:rFonts w:ascii="Times New Roman" w:hAnsi="Times New Roman"/>
          <w:sz w:val="24"/>
          <w:szCs w:val="24"/>
        </w:rPr>
      </w:pPr>
      <w:r w:rsidRPr="005030AC">
        <w:rPr>
          <w:rFonts w:ascii="Times New Roman" w:hAnsi="Times New Roman"/>
          <w:sz w:val="24"/>
          <w:szCs w:val="24"/>
        </w:rPr>
        <w:t>If the spoiled wine was classified as a current asset this would have a negative impact on the current ratio.</w:t>
      </w:r>
    </w:p>
    <w:p w:rsidR="005030AC" w:rsidRPr="005030AC" w:rsidRDefault="005030AC" w:rsidP="005030AC">
      <w:pPr>
        <w:ind w:left="360"/>
        <w:rPr>
          <w:rFonts w:ascii="Times New Roman" w:hAnsi="Times New Roman"/>
          <w:sz w:val="24"/>
          <w:szCs w:val="24"/>
          <w:u w:val="single"/>
        </w:rPr>
      </w:pPr>
      <w:r w:rsidRPr="005030AC">
        <w:rPr>
          <w:rFonts w:ascii="Times New Roman" w:hAnsi="Times New Roman"/>
          <w:sz w:val="24"/>
          <w:szCs w:val="24"/>
          <w:u w:val="single"/>
        </w:rPr>
        <w:t>Part B</w:t>
      </w:r>
    </w:p>
    <w:p w:rsidR="005030AC" w:rsidRPr="005030AC" w:rsidRDefault="005030AC" w:rsidP="005030AC">
      <w:pPr>
        <w:ind w:left="360"/>
        <w:rPr>
          <w:rFonts w:ascii="Times New Roman" w:hAnsi="Times New Roman"/>
          <w:sz w:val="24"/>
          <w:szCs w:val="24"/>
        </w:rPr>
      </w:pPr>
      <w:r w:rsidRPr="005030AC">
        <w:rPr>
          <w:rFonts w:ascii="Times New Roman" w:hAnsi="Times New Roman"/>
          <w:sz w:val="24"/>
          <w:szCs w:val="24"/>
        </w:rPr>
        <w:t>The accounting would be identical in accounting standards for private enterprises.</w:t>
      </w:r>
    </w:p>
    <w:p w:rsidR="005030AC" w:rsidRPr="005030AC" w:rsidRDefault="005030AC" w:rsidP="005030AC">
      <w:pPr>
        <w:numPr>
          <w:ilvl w:val="0"/>
          <w:numId w:val="4"/>
        </w:numPr>
        <w:spacing w:after="0" w:line="240" w:lineRule="auto"/>
        <w:rPr>
          <w:rFonts w:ascii="Times New Roman" w:hAnsi="Times New Roman"/>
          <w:i/>
          <w:sz w:val="24"/>
          <w:szCs w:val="24"/>
        </w:rPr>
      </w:pPr>
      <w:r w:rsidRPr="005030AC">
        <w:rPr>
          <w:rFonts w:ascii="Times New Roman" w:hAnsi="Times New Roman"/>
          <w:i/>
          <w:sz w:val="24"/>
          <w:szCs w:val="24"/>
        </w:rPr>
        <w:t>Lawsuit</w:t>
      </w:r>
    </w:p>
    <w:p w:rsidR="005030AC" w:rsidRPr="005030AC" w:rsidRDefault="005030AC" w:rsidP="005030AC">
      <w:pPr>
        <w:rPr>
          <w:rFonts w:ascii="Times New Roman" w:hAnsi="Times New Roman"/>
          <w:sz w:val="24"/>
          <w:szCs w:val="24"/>
        </w:rPr>
      </w:pPr>
      <w:r w:rsidRPr="005030AC">
        <w:rPr>
          <w:rFonts w:ascii="Times New Roman" w:hAnsi="Times New Roman"/>
          <w:sz w:val="24"/>
          <w:szCs w:val="24"/>
        </w:rPr>
        <w:tab/>
        <w:t xml:space="preserve">     The lawsuit would be a contingent liability. The lawsuit was been filed for $1 million but there is no evidence to support that WI will lose the lawsuit or the amount of the lawsuit. Therefore, there should be note disclosure of the lawsuit.</w:t>
      </w:r>
    </w:p>
    <w:p w:rsidR="005030AC" w:rsidRPr="005030AC" w:rsidRDefault="005030AC" w:rsidP="005030AC">
      <w:pPr>
        <w:rPr>
          <w:rFonts w:ascii="Times New Roman" w:hAnsi="Times New Roman"/>
          <w:sz w:val="24"/>
          <w:szCs w:val="24"/>
          <w:u w:val="single"/>
        </w:rPr>
      </w:pPr>
      <w:r w:rsidRPr="005030AC">
        <w:rPr>
          <w:rFonts w:ascii="Times New Roman" w:hAnsi="Times New Roman"/>
          <w:sz w:val="24"/>
          <w:szCs w:val="24"/>
        </w:rPr>
        <w:t xml:space="preserve"> </w:t>
      </w:r>
      <w:r w:rsidRPr="005030AC">
        <w:rPr>
          <w:rFonts w:ascii="Times New Roman" w:hAnsi="Times New Roman"/>
          <w:sz w:val="24"/>
          <w:szCs w:val="24"/>
          <w:u w:val="single"/>
        </w:rPr>
        <w:t>Part B</w:t>
      </w:r>
    </w:p>
    <w:p w:rsidR="005030AC" w:rsidRPr="005030AC" w:rsidRDefault="005030AC" w:rsidP="005030AC">
      <w:pPr>
        <w:ind w:left="360"/>
        <w:rPr>
          <w:rFonts w:ascii="Times New Roman" w:hAnsi="Times New Roman"/>
          <w:sz w:val="24"/>
          <w:szCs w:val="24"/>
        </w:rPr>
      </w:pPr>
      <w:r w:rsidRPr="005030AC">
        <w:rPr>
          <w:rFonts w:ascii="Times New Roman" w:hAnsi="Times New Roman"/>
          <w:sz w:val="24"/>
          <w:szCs w:val="24"/>
        </w:rPr>
        <w:t>The accounting would be identical in accounting standards for private enterprises.</w:t>
      </w:r>
    </w:p>
    <w:p w:rsidR="005030AC" w:rsidRPr="005030AC" w:rsidRDefault="005030AC" w:rsidP="005030AC">
      <w:pPr>
        <w:numPr>
          <w:ilvl w:val="0"/>
          <w:numId w:val="4"/>
        </w:numPr>
        <w:spacing w:after="0" w:line="240" w:lineRule="auto"/>
        <w:rPr>
          <w:rFonts w:ascii="Times New Roman" w:hAnsi="Times New Roman"/>
          <w:b/>
          <w:i/>
          <w:sz w:val="24"/>
          <w:szCs w:val="24"/>
        </w:rPr>
      </w:pPr>
      <w:r w:rsidRPr="005030AC">
        <w:rPr>
          <w:rFonts w:ascii="Times New Roman" w:hAnsi="Times New Roman"/>
          <w:i/>
          <w:sz w:val="24"/>
          <w:szCs w:val="24"/>
        </w:rPr>
        <w:t xml:space="preserve">Hedge </w:t>
      </w:r>
      <w:r w:rsidRPr="005030AC">
        <w:rPr>
          <w:rFonts w:ascii="Times New Roman" w:hAnsi="Times New Roman"/>
          <w:b/>
          <w:i/>
          <w:sz w:val="24"/>
          <w:szCs w:val="24"/>
        </w:rPr>
        <w:t>(You do not really need to know this!)</w:t>
      </w:r>
    </w:p>
    <w:p w:rsidR="005030AC" w:rsidRDefault="005030AC" w:rsidP="005030AC">
      <w:pPr>
        <w:ind w:left="360" w:firstLine="60"/>
        <w:rPr>
          <w:rFonts w:ascii="Times New Roman" w:hAnsi="Times New Roman"/>
          <w:sz w:val="24"/>
          <w:szCs w:val="24"/>
        </w:rPr>
      </w:pPr>
    </w:p>
    <w:p w:rsidR="005030AC" w:rsidRPr="005030AC" w:rsidRDefault="005030AC" w:rsidP="005030AC">
      <w:pPr>
        <w:ind w:left="360" w:firstLine="60"/>
        <w:rPr>
          <w:rFonts w:ascii="Times New Roman" w:hAnsi="Times New Roman"/>
          <w:sz w:val="24"/>
          <w:szCs w:val="24"/>
        </w:rPr>
      </w:pPr>
      <w:r w:rsidRPr="005030AC">
        <w:rPr>
          <w:rFonts w:ascii="Times New Roman" w:hAnsi="Times New Roman"/>
          <w:sz w:val="24"/>
          <w:szCs w:val="24"/>
        </w:rPr>
        <w:t xml:space="preserve">WI must decide if they wish to elect hedge accounting for the hedge. If they do not elect hedge accounting the forward contract or hedge would be recognized in fair value through profit and loss. The contract would be valued to fair value every </w:t>
      </w:r>
    </w:p>
    <w:p w:rsidR="005030AC" w:rsidRPr="005030AC" w:rsidRDefault="005030AC" w:rsidP="005030AC">
      <w:pPr>
        <w:rPr>
          <w:rFonts w:ascii="Times New Roman" w:hAnsi="Times New Roman"/>
          <w:sz w:val="24"/>
          <w:szCs w:val="24"/>
        </w:rPr>
      </w:pPr>
      <w:r w:rsidRPr="005030AC">
        <w:rPr>
          <w:rFonts w:ascii="Times New Roman" w:hAnsi="Times New Roman"/>
          <w:sz w:val="24"/>
          <w:szCs w:val="24"/>
        </w:rPr>
        <w:t xml:space="preserve">      reporting date and any changes in the value would impact net income. If hedge </w:t>
      </w:r>
    </w:p>
    <w:p w:rsidR="005030AC" w:rsidRPr="005030AC" w:rsidRDefault="005030AC" w:rsidP="005030AC">
      <w:pPr>
        <w:rPr>
          <w:rFonts w:ascii="Times New Roman" w:hAnsi="Times New Roman"/>
          <w:sz w:val="24"/>
          <w:szCs w:val="24"/>
        </w:rPr>
      </w:pPr>
      <w:r w:rsidRPr="005030AC">
        <w:rPr>
          <w:rFonts w:ascii="Times New Roman" w:hAnsi="Times New Roman"/>
          <w:sz w:val="24"/>
          <w:szCs w:val="24"/>
        </w:rPr>
        <w:t xml:space="preserve">      accounting is elected the cash flow hedge would have any change impact other </w:t>
      </w:r>
    </w:p>
    <w:p w:rsidR="005030AC" w:rsidRPr="005030AC" w:rsidRDefault="005030AC" w:rsidP="005030AC">
      <w:pPr>
        <w:rPr>
          <w:rFonts w:ascii="Times New Roman" w:hAnsi="Times New Roman"/>
          <w:sz w:val="24"/>
          <w:szCs w:val="24"/>
        </w:rPr>
      </w:pPr>
      <w:r w:rsidRPr="005030AC">
        <w:rPr>
          <w:rFonts w:ascii="Times New Roman" w:hAnsi="Times New Roman"/>
          <w:sz w:val="24"/>
          <w:szCs w:val="24"/>
        </w:rPr>
        <w:t xml:space="preserve">      comprehensive income.</w:t>
      </w:r>
    </w:p>
    <w:p w:rsidR="005030AC" w:rsidRPr="005030AC" w:rsidRDefault="005030AC" w:rsidP="005030AC">
      <w:pPr>
        <w:ind w:left="360"/>
        <w:rPr>
          <w:rFonts w:ascii="Times New Roman" w:hAnsi="Times New Roman"/>
          <w:sz w:val="24"/>
          <w:szCs w:val="24"/>
          <w:u w:val="single"/>
        </w:rPr>
      </w:pPr>
      <w:r w:rsidRPr="005030AC">
        <w:rPr>
          <w:rFonts w:ascii="Times New Roman" w:hAnsi="Times New Roman"/>
          <w:sz w:val="24"/>
          <w:szCs w:val="24"/>
          <w:u w:val="single"/>
        </w:rPr>
        <w:t>Part B</w:t>
      </w:r>
    </w:p>
    <w:p w:rsidR="005030AC" w:rsidRPr="005030AC" w:rsidRDefault="005030AC" w:rsidP="005030AC">
      <w:pPr>
        <w:ind w:left="360"/>
        <w:rPr>
          <w:rFonts w:ascii="Times New Roman" w:hAnsi="Times New Roman"/>
          <w:sz w:val="24"/>
          <w:szCs w:val="24"/>
        </w:rPr>
      </w:pPr>
      <w:r w:rsidRPr="005030AC">
        <w:rPr>
          <w:rFonts w:ascii="Times New Roman" w:hAnsi="Times New Roman"/>
          <w:sz w:val="24"/>
          <w:szCs w:val="24"/>
        </w:rPr>
        <w:t>The accounting would be identical in accounting standards for private enterprises for if hedge accounting is not elected. These standards do not have comprehensive income so there would not be the option of showing changes in value in other comprehensive income.</w:t>
      </w:r>
    </w:p>
    <w:p w:rsidR="005030AC" w:rsidRPr="005030AC" w:rsidRDefault="005030AC" w:rsidP="005030AC">
      <w:pPr>
        <w:numPr>
          <w:ilvl w:val="0"/>
          <w:numId w:val="4"/>
        </w:numPr>
        <w:spacing w:after="0" w:line="240" w:lineRule="auto"/>
        <w:rPr>
          <w:rFonts w:ascii="Times New Roman" w:hAnsi="Times New Roman"/>
          <w:i/>
          <w:sz w:val="24"/>
          <w:szCs w:val="24"/>
        </w:rPr>
      </w:pPr>
      <w:r w:rsidRPr="005030AC">
        <w:rPr>
          <w:rFonts w:ascii="Times New Roman" w:hAnsi="Times New Roman"/>
          <w:i/>
          <w:sz w:val="24"/>
          <w:szCs w:val="24"/>
        </w:rPr>
        <w:t>Forgivable loan</w:t>
      </w:r>
    </w:p>
    <w:p w:rsidR="005030AC" w:rsidRPr="005030AC" w:rsidRDefault="005030AC" w:rsidP="005030AC">
      <w:pPr>
        <w:ind w:left="360"/>
        <w:rPr>
          <w:rFonts w:ascii="Times New Roman" w:hAnsi="Times New Roman"/>
          <w:sz w:val="24"/>
          <w:szCs w:val="24"/>
        </w:rPr>
      </w:pPr>
      <w:r w:rsidRPr="005030AC">
        <w:rPr>
          <w:rFonts w:ascii="Times New Roman" w:hAnsi="Times New Roman"/>
          <w:sz w:val="24"/>
          <w:szCs w:val="24"/>
        </w:rPr>
        <w:lastRenderedPageBreak/>
        <w:t xml:space="preserve">The forgivable loan would be recognized when the criteria are met or expected to be met of hiring employees and a minimum purchase of fruit. Note disclosure would be required of the conditions. </w:t>
      </w:r>
    </w:p>
    <w:p w:rsidR="005030AC" w:rsidRPr="005030AC" w:rsidRDefault="005030AC" w:rsidP="005030AC">
      <w:pPr>
        <w:ind w:left="360"/>
        <w:rPr>
          <w:rFonts w:ascii="Times New Roman" w:hAnsi="Times New Roman"/>
          <w:sz w:val="24"/>
          <w:szCs w:val="24"/>
        </w:rPr>
      </w:pPr>
      <w:r w:rsidRPr="005030AC">
        <w:rPr>
          <w:rFonts w:ascii="Times New Roman" w:hAnsi="Times New Roman"/>
          <w:sz w:val="24"/>
          <w:szCs w:val="24"/>
        </w:rPr>
        <w:t xml:space="preserve">The $1 million cannot all be recognized in the current period. If the criteria are expected to be met $500,000 would be deferred revenue and recognized next year. The $500,000 relating to the current year could be either netted against salary expenses or the purchase costs of fruit or the amount could be recognized as other income. </w:t>
      </w:r>
    </w:p>
    <w:p w:rsidR="005030AC" w:rsidRPr="005030AC" w:rsidRDefault="005030AC" w:rsidP="005030AC">
      <w:pPr>
        <w:ind w:left="360"/>
        <w:rPr>
          <w:rFonts w:ascii="Times New Roman" w:hAnsi="Times New Roman"/>
          <w:sz w:val="24"/>
          <w:szCs w:val="24"/>
        </w:rPr>
      </w:pPr>
      <w:r w:rsidRPr="005030AC">
        <w:rPr>
          <w:rFonts w:ascii="Times New Roman" w:hAnsi="Times New Roman"/>
          <w:sz w:val="24"/>
          <w:szCs w:val="24"/>
        </w:rPr>
        <w:t>WI would not want to net the government assistance against the cost of the fruit since this would reduce the value of the inventory and have a negative impact on net income.</w:t>
      </w:r>
    </w:p>
    <w:p w:rsidR="00C03D0C" w:rsidRDefault="005030AC" w:rsidP="005030AC">
      <w:pPr>
        <w:ind w:left="360"/>
      </w:pPr>
      <w:r w:rsidRPr="005030AC">
        <w:rPr>
          <w:rFonts w:ascii="Times New Roman" w:hAnsi="Times New Roman"/>
          <w:sz w:val="24"/>
          <w:szCs w:val="24"/>
        </w:rPr>
        <w:t>Part B:</w:t>
      </w:r>
      <w:r w:rsidRPr="005030AC">
        <w:rPr>
          <w:rFonts w:ascii="Times New Roman" w:hAnsi="Times New Roman"/>
          <w:sz w:val="24"/>
          <w:szCs w:val="24"/>
        </w:rPr>
        <w:tab/>
        <w:t>The accounting would be identical in accounting standards for private enterprises.</w:t>
      </w:r>
    </w:p>
    <w:sectPr w:rsidR="00C03D0C" w:rsidSect="00C03D0C">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600C" w:rsidRDefault="0081600C" w:rsidP="005030AC">
      <w:pPr>
        <w:spacing w:after="0" w:line="240" w:lineRule="auto"/>
      </w:pPr>
      <w:r>
        <w:separator/>
      </w:r>
    </w:p>
  </w:endnote>
  <w:endnote w:type="continuationSeparator" w:id="0">
    <w:p w:rsidR="0081600C" w:rsidRDefault="0081600C" w:rsidP="00503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51168"/>
      <w:docPartObj>
        <w:docPartGallery w:val="Page Numbers (Bottom of Page)"/>
        <w:docPartUnique/>
      </w:docPartObj>
    </w:sdtPr>
    <w:sdtEndPr/>
    <w:sdtContent>
      <w:p w:rsidR="005030AC" w:rsidRDefault="0081600C">
        <w:pPr>
          <w:pStyle w:val="Pieddepage"/>
          <w:jc w:val="center"/>
        </w:pPr>
        <w:r>
          <w:fldChar w:fldCharType="begin"/>
        </w:r>
        <w:r>
          <w:instrText xml:space="preserve"> PAGE   \* MERGEFORMAT </w:instrText>
        </w:r>
        <w:r>
          <w:fldChar w:fldCharType="separate"/>
        </w:r>
        <w:r w:rsidR="00EF3593">
          <w:rPr>
            <w:noProof/>
          </w:rPr>
          <w:t>1</w:t>
        </w:r>
        <w:r>
          <w:rPr>
            <w:noProof/>
          </w:rPr>
          <w:fldChar w:fldCharType="end"/>
        </w:r>
      </w:p>
    </w:sdtContent>
  </w:sdt>
  <w:p w:rsidR="005030AC" w:rsidRDefault="005030AC">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600C" w:rsidRDefault="0081600C" w:rsidP="005030AC">
      <w:pPr>
        <w:spacing w:after="0" w:line="240" w:lineRule="auto"/>
      </w:pPr>
      <w:r>
        <w:separator/>
      </w:r>
    </w:p>
  </w:footnote>
  <w:footnote w:type="continuationSeparator" w:id="0">
    <w:p w:rsidR="0081600C" w:rsidRDefault="0081600C" w:rsidP="005030A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26043B"/>
    <w:multiLevelType w:val="hybridMultilevel"/>
    <w:tmpl w:val="7E5E467A"/>
    <w:lvl w:ilvl="0" w:tplc="1009000F">
      <w:start w:val="1"/>
      <w:numFmt w:val="decimal"/>
      <w:lvlText w:val="%1."/>
      <w:lvlJc w:val="left"/>
      <w:pPr>
        <w:ind w:left="720" w:hanging="36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1">
    <w:nsid w:val="054427B7"/>
    <w:multiLevelType w:val="hybridMultilevel"/>
    <w:tmpl w:val="7E5E467A"/>
    <w:lvl w:ilvl="0" w:tplc="1009000F">
      <w:start w:val="1"/>
      <w:numFmt w:val="decimal"/>
      <w:lvlText w:val="%1."/>
      <w:lvlJc w:val="left"/>
      <w:pPr>
        <w:ind w:left="720" w:hanging="36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2">
    <w:nsid w:val="333D6C3F"/>
    <w:multiLevelType w:val="hybridMultilevel"/>
    <w:tmpl w:val="F94EA636"/>
    <w:lvl w:ilvl="0" w:tplc="09C2BBD2">
      <w:start w:val="1"/>
      <w:numFmt w:val="bullet"/>
      <w:lvlText w:val=""/>
      <w:lvlJc w:val="left"/>
      <w:pPr>
        <w:tabs>
          <w:tab w:val="num" w:pos="432"/>
        </w:tabs>
        <w:ind w:left="432" w:hanging="216"/>
      </w:pPr>
      <w:rPr>
        <w:rFonts w:ascii="Symbol" w:hAnsi="Symbol" w:hint="default"/>
      </w:rPr>
    </w:lvl>
    <w:lvl w:ilvl="1" w:tplc="04090003">
      <w:start w:val="1"/>
      <w:numFmt w:val="bullet"/>
      <w:lvlText w:val="o"/>
      <w:lvlJc w:val="left"/>
      <w:pPr>
        <w:tabs>
          <w:tab w:val="num" w:pos="1656"/>
        </w:tabs>
        <w:ind w:left="1656" w:hanging="360"/>
      </w:pPr>
      <w:rPr>
        <w:rFonts w:ascii="Courier New" w:hAnsi="Courier New" w:cs="Courier New" w:hint="default"/>
      </w:rPr>
    </w:lvl>
    <w:lvl w:ilvl="2" w:tplc="04090005" w:tentative="1">
      <w:start w:val="1"/>
      <w:numFmt w:val="bullet"/>
      <w:lvlText w:val=""/>
      <w:lvlJc w:val="left"/>
      <w:pPr>
        <w:tabs>
          <w:tab w:val="num" w:pos="2376"/>
        </w:tabs>
        <w:ind w:left="2376" w:hanging="360"/>
      </w:pPr>
      <w:rPr>
        <w:rFonts w:ascii="Wingdings" w:hAnsi="Wingdings" w:hint="default"/>
      </w:rPr>
    </w:lvl>
    <w:lvl w:ilvl="3" w:tplc="04090001" w:tentative="1">
      <w:start w:val="1"/>
      <w:numFmt w:val="bullet"/>
      <w:lvlText w:val=""/>
      <w:lvlJc w:val="left"/>
      <w:pPr>
        <w:tabs>
          <w:tab w:val="num" w:pos="3096"/>
        </w:tabs>
        <w:ind w:left="3096" w:hanging="360"/>
      </w:pPr>
      <w:rPr>
        <w:rFonts w:ascii="Symbol" w:hAnsi="Symbol" w:hint="default"/>
      </w:rPr>
    </w:lvl>
    <w:lvl w:ilvl="4" w:tplc="04090003" w:tentative="1">
      <w:start w:val="1"/>
      <w:numFmt w:val="bullet"/>
      <w:lvlText w:val="o"/>
      <w:lvlJc w:val="left"/>
      <w:pPr>
        <w:tabs>
          <w:tab w:val="num" w:pos="3816"/>
        </w:tabs>
        <w:ind w:left="3816" w:hanging="360"/>
      </w:pPr>
      <w:rPr>
        <w:rFonts w:ascii="Courier New" w:hAnsi="Courier New" w:cs="Courier New" w:hint="default"/>
      </w:rPr>
    </w:lvl>
    <w:lvl w:ilvl="5" w:tplc="04090005" w:tentative="1">
      <w:start w:val="1"/>
      <w:numFmt w:val="bullet"/>
      <w:lvlText w:val=""/>
      <w:lvlJc w:val="left"/>
      <w:pPr>
        <w:tabs>
          <w:tab w:val="num" w:pos="4536"/>
        </w:tabs>
        <w:ind w:left="4536" w:hanging="360"/>
      </w:pPr>
      <w:rPr>
        <w:rFonts w:ascii="Wingdings" w:hAnsi="Wingdings" w:hint="default"/>
      </w:rPr>
    </w:lvl>
    <w:lvl w:ilvl="6" w:tplc="04090001" w:tentative="1">
      <w:start w:val="1"/>
      <w:numFmt w:val="bullet"/>
      <w:lvlText w:val=""/>
      <w:lvlJc w:val="left"/>
      <w:pPr>
        <w:tabs>
          <w:tab w:val="num" w:pos="5256"/>
        </w:tabs>
        <w:ind w:left="5256" w:hanging="360"/>
      </w:pPr>
      <w:rPr>
        <w:rFonts w:ascii="Symbol" w:hAnsi="Symbol" w:hint="default"/>
      </w:rPr>
    </w:lvl>
    <w:lvl w:ilvl="7" w:tplc="04090003" w:tentative="1">
      <w:start w:val="1"/>
      <w:numFmt w:val="bullet"/>
      <w:lvlText w:val="o"/>
      <w:lvlJc w:val="left"/>
      <w:pPr>
        <w:tabs>
          <w:tab w:val="num" w:pos="5976"/>
        </w:tabs>
        <w:ind w:left="5976" w:hanging="360"/>
      </w:pPr>
      <w:rPr>
        <w:rFonts w:ascii="Courier New" w:hAnsi="Courier New" w:cs="Courier New" w:hint="default"/>
      </w:rPr>
    </w:lvl>
    <w:lvl w:ilvl="8" w:tplc="04090005" w:tentative="1">
      <w:start w:val="1"/>
      <w:numFmt w:val="bullet"/>
      <w:lvlText w:val=""/>
      <w:lvlJc w:val="left"/>
      <w:pPr>
        <w:tabs>
          <w:tab w:val="num" w:pos="6696"/>
        </w:tabs>
        <w:ind w:left="6696" w:hanging="360"/>
      </w:pPr>
      <w:rPr>
        <w:rFonts w:ascii="Wingdings" w:hAnsi="Wingdings" w:hint="default"/>
      </w:rPr>
    </w:lvl>
  </w:abstractNum>
  <w:abstractNum w:abstractNumId="3">
    <w:nsid w:val="38973399"/>
    <w:multiLevelType w:val="hybridMultilevel"/>
    <w:tmpl w:val="78C0DEA2"/>
    <w:lvl w:ilvl="0" w:tplc="09C2BBD2">
      <w:start w:val="1"/>
      <w:numFmt w:val="bullet"/>
      <w:lvlText w:val=""/>
      <w:lvlJc w:val="left"/>
      <w:pPr>
        <w:tabs>
          <w:tab w:val="num" w:pos="432"/>
        </w:tabs>
        <w:ind w:left="432" w:hanging="216"/>
      </w:pPr>
      <w:rPr>
        <w:rFonts w:ascii="Symbol" w:hAnsi="Symbol" w:hint="default"/>
      </w:rPr>
    </w:lvl>
    <w:lvl w:ilvl="1" w:tplc="04090003">
      <w:start w:val="1"/>
      <w:numFmt w:val="bullet"/>
      <w:lvlText w:val="o"/>
      <w:lvlJc w:val="left"/>
      <w:pPr>
        <w:tabs>
          <w:tab w:val="num" w:pos="1656"/>
        </w:tabs>
        <w:ind w:left="1656" w:hanging="360"/>
      </w:pPr>
      <w:rPr>
        <w:rFonts w:ascii="Courier New" w:hAnsi="Courier New" w:cs="Courier New" w:hint="default"/>
      </w:rPr>
    </w:lvl>
    <w:lvl w:ilvl="2" w:tplc="04090005" w:tentative="1">
      <w:start w:val="1"/>
      <w:numFmt w:val="bullet"/>
      <w:lvlText w:val=""/>
      <w:lvlJc w:val="left"/>
      <w:pPr>
        <w:tabs>
          <w:tab w:val="num" w:pos="2376"/>
        </w:tabs>
        <w:ind w:left="2376" w:hanging="360"/>
      </w:pPr>
      <w:rPr>
        <w:rFonts w:ascii="Wingdings" w:hAnsi="Wingdings" w:hint="default"/>
      </w:rPr>
    </w:lvl>
    <w:lvl w:ilvl="3" w:tplc="04090001" w:tentative="1">
      <w:start w:val="1"/>
      <w:numFmt w:val="bullet"/>
      <w:lvlText w:val=""/>
      <w:lvlJc w:val="left"/>
      <w:pPr>
        <w:tabs>
          <w:tab w:val="num" w:pos="3096"/>
        </w:tabs>
        <w:ind w:left="3096" w:hanging="360"/>
      </w:pPr>
      <w:rPr>
        <w:rFonts w:ascii="Symbol" w:hAnsi="Symbol" w:hint="default"/>
      </w:rPr>
    </w:lvl>
    <w:lvl w:ilvl="4" w:tplc="04090003" w:tentative="1">
      <w:start w:val="1"/>
      <w:numFmt w:val="bullet"/>
      <w:lvlText w:val="o"/>
      <w:lvlJc w:val="left"/>
      <w:pPr>
        <w:tabs>
          <w:tab w:val="num" w:pos="3816"/>
        </w:tabs>
        <w:ind w:left="3816" w:hanging="360"/>
      </w:pPr>
      <w:rPr>
        <w:rFonts w:ascii="Courier New" w:hAnsi="Courier New" w:cs="Courier New" w:hint="default"/>
      </w:rPr>
    </w:lvl>
    <w:lvl w:ilvl="5" w:tplc="04090005" w:tentative="1">
      <w:start w:val="1"/>
      <w:numFmt w:val="bullet"/>
      <w:lvlText w:val=""/>
      <w:lvlJc w:val="left"/>
      <w:pPr>
        <w:tabs>
          <w:tab w:val="num" w:pos="4536"/>
        </w:tabs>
        <w:ind w:left="4536" w:hanging="360"/>
      </w:pPr>
      <w:rPr>
        <w:rFonts w:ascii="Wingdings" w:hAnsi="Wingdings" w:hint="default"/>
      </w:rPr>
    </w:lvl>
    <w:lvl w:ilvl="6" w:tplc="04090001" w:tentative="1">
      <w:start w:val="1"/>
      <w:numFmt w:val="bullet"/>
      <w:lvlText w:val=""/>
      <w:lvlJc w:val="left"/>
      <w:pPr>
        <w:tabs>
          <w:tab w:val="num" w:pos="5256"/>
        </w:tabs>
        <w:ind w:left="5256" w:hanging="360"/>
      </w:pPr>
      <w:rPr>
        <w:rFonts w:ascii="Symbol" w:hAnsi="Symbol" w:hint="default"/>
      </w:rPr>
    </w:lvl>
    <w:lvl w:ilvl="7" w:tplc="04090003" w:tentative="1">
      <w:start w:val="1"/>
      <w:numFmt w:val="bullet"/>
      <w:lvlText w:val="o"/>
      <w:lvlJc w:val="left"/>
      <w:pPr>
        <w:tabs>
          <w:tab w:val="num" w:pos="5976"/>
        </w:tabs>
        <w:ind w:left="5976" w:hanging="360"/>
      </w:pPr>
      <w:rPr>
        <w:rFonts w:ascii="Courier New" w:hAnsi="Courier New" w:cs="Courier New" w:hint="default"/>
      </w:rPr>
    </w:lvl>
    <w:lvl w:ilvl="8" w:tplc="04090005" w:tentative="1">
      <w:start w:val="1"/>
      <w:numFmt w:val="bullet"/>
      <w:lvlText w:val=""/>
      <w:lvlJc w:val="left"/>
      <w:pPr>
        <w:tabs>
          <w:tab w:val="num" w:pos="6696"/>
        </w:tabs>
        <w:ind w:left="6696"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0AC"/>
    <w:rsid w:val="00165AEF"/>
    <w:rsid w:val="00201D66"/>
    <w:rsid w:val="00237889"/>
    <w:rsid w:val="004C441F"/>
    <w:rsid w:val="004F5373"/>
    <w:rsid w:val="005030AC"/>
    <w:rsid w:val="00687C0A"/>
    <w:rsid w:val="006F01C5"/>
    <w:rsid w:val="0081600C"/>
    <w:rsid w:val="008C5D8A"/>
    <w:rsid w:val="008D3FC9"/>
    <w:rsid w:val="00975C0A"/>
    <w:rsid w:val="00BC6A28"/>
    <w:rsid w:val="00C03D0C"/>
    <w:rsid w:val="00C30942"/>
    <w:rsid w:val="00DA6035"/>
    <w:rsid w:val="00DD3EE7"/>
    <w:rsid w:val="00EF3593"/>
    <w:rsid w:val="00F801A1"/>
    <w:rsid w:val="00F86FF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5:docId w15:val="{20C2129C-A26B-4406-9964-A56211F3C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30AC"/>
    <w:rPr>
      <w:rFonts w:ascii="Calibri" w:eastAsia="Times New Roman" w:hAnsi="Calibri" w:cs="Times New Roman"/>
      <w:lang w:eastAsia="en-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5030AC"/>
    <w:pPr>
      <w:tabs>
        <w:tab w:val="center" w:pos="4680"/>
        <w:tab w:val="right" w:pos="9360"/>
      </w:tabs>
      <w:spacing w:after="0" w:line="240" w:lineRule="auto"/>
    </w:pPr>
  </w:style>
  <w:style w:type="character" w:customStyle="1" w:styleId="En-tteCar">
    <w:name w:val="En-tête Car"/>
    <w:basedOn w:val="Policepardfaut"/>
    <w:link w:val="En-tte"/>
    <w:uiPriority w:val="99"/>
    <w:semiHidden/>
    <w:rsid w:val="005030AC"/>
    <w:rPr>
      <w:rFonts w:ascii="Calibri" w:eastAsia="Times New Roman" w:hAnsi="Calibri" w:cs="Times New Roman"/>
      <w:lang w:eastAsia="en-CA"/>
    </w:rPr>
  </w:style>
  <w:style w:type="paragraph" w:styleId="Pieddepage">
    <w:name w:val="footer"/>
    <w:basedOn w:val="Normal"/>
    <w:link w:val="PieddepageCar"/>
    <w:uiPriority w:val="99"/>
    <w:unhideWhenUsed/>
    <w:rsid w:val="005030AC"/>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5030AC"/>
    <w:rPr>
      <w:rFonts w:ascii="Calibri" w:eastAsia="Times New Roman" w:hAnsi="Calibri" w:cs="Times New Roman"/>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3207</Words>
  <Characters>17640</Characters>
  <Application>Microsoft Office Word</Application>
  <DocSecurity>0</DocSecurity>
  <Lines>147</Lines>
  <Paragraphs>41</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20806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dc:creator>
  <cp:lastModifiedBy>alexandre tah</cp:lastModifiedBy>
  <cp:revision>2</cp:revision>
  <dcterms:created xsi:type="dcterms:W3CDTF">2013-12-14T02:44:00Z</dcterms:created>
  <dcterms:modified xsi:type="dcterms:W3CDTF">2013-12-14T02:44:00Z</dcterms:modified>
</cp:coreProperties>
</file>