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05974410"/>
        <w:docPartObj>
          <w:docPartGallery w:val="Cover Pages"/>
          <w:docPartUnique/>
        </w:docPartObj>
      </w:sdtPr>
      <w:sdtEndPr>
        <w:rPr>
          <w:rFonts w:asciiTheme="majorHAnsi" w:eastAsiaTheme="majorEastAsia" w:hAnsiTheme="majorHAnsi" w:cstheme="majorBidi"/>
          <w:sz w:val="72"/>
          <w:szCs w:val="72"/>
          <w:lang w:eastAsia="ja-JP"/>
        </w:rPr>
      </w:sdtEndPr>
      <w:sdtContent>
        <w:p w:rsidR="006D4CC1" w:rsidRDefault="006D4CC1">
          <w:r>
            <w:rPr>
              <w:noProof/>
              <w:lang w:eastAsia="en-US" w:bidi="ta-IN"/>
            </w:rPr>
            <mc:AlternateContent>
              <mc:Choice Requires="wps">
                <w:drawing>
                  <wp:anchor distT="0" distB="0" distL="114300" distR="114300" simplePos="0" relativeHeight="251659264" behindDoc="0" locked="0" layoutInCell="1" allowOverlap="1" wp14:anchorId="69F54A9C" wp14:editId="023C30C4">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716905" cy="9653270"/>
                    <wp:effectExtent l="0" t="0" r="8890" b="254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6905" cy="96532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72"/>
                                    <w:szCs w:val="72"/>
                                  </w:rPr>
                                  <w:alias w:val="Title"/>
                                  <w:id w:val="-1070349389"/>
                                  <w:dataBinding w:prefixMappings="xmlns:ns0='http://schemas.openxmlformats.org/package/2006/metadata/core-properties' xmlns:ns1='http://purl.org/dc/elements/1.1/'" w:xpath="/ns0:coreProperties[1]/ns1:title[1]" w:storeItemID="{6C3C8BC8-F283-45AE-878A-BAB7291924A1}"/>
                                  <w:text/>
                                </w:sdtPr>
                                <w:sdtEndPr/>
                                <w:sdtContent>
                                  <w:p w:rsidR="006D4CC1" w:rsidRDefault="00F62C12" w:rsidP="006D4CC1">
                                    <w:pPr>
                                      <w:pStyle w:val="Title"/>
                                      <w:pBdr>
                                        <w:bottom w:val="none" w:sz="0" w:space="0" w:color="auto"/>
                                      </w:pBdr>
                                      <w:jc w:val="center"/>
                                      <w:rPr>
                                        <w:caps/>
                                        <w:color w:val="FFFFFF" w:themeColor="background1"/>
                                        <w:sz w:val="72"/>
                                        <w:szCs w:val="72"/>
                                      </w:rPr>
                                    </w:pPr>
                                    <w:r>
                                      <w:rPr>
                                        <w:caps/>
                                        <w:color w:val="FFFFFF" w:themeColor="background1"/>
                                        <w:sz w:val="72"/>
                                        <w:szCs w:val="72"/>
                                      </w:rPr>
                                      <w:t xml:space="preserve">Assignment 2: Lakeview hotel investment corp. </w:t>
                                    </w:r>
                                  </w:p>
                                </w:sdtContent>
                              </w:sdt>
                              <w:p w:rsidR="006D4CC1" w:rsidRDefault="006D4CC1">
                                <w:pPr>
                                  <w:spacing w:before="240"/>
                                  <w:ind w:left="720"/>
                                  <w:jc w:val="right"/>
                                  <w:rPr>
                                    <w:color w:val="FFFFFF" w:themeColor="background1"/>
                                  </w:rPr>
                                </w:pPr>
                              </w:p>
                              <w:bookmarkStart w:id="0" w:name="_GoBack" w:displacedByCustomXml="next"/>
                              <w:sdt>
                                <w:sdtPr>
                                  <w:rPr>
                                    <w:color w:val="FFFFFF" w:themeColor="background1"/>
                                    <w:sz w:val="21"/>
                                    <w:szCs w:val="21"/>
                                  </w:rPr>
                                  <w:alias w:val="Abstract"/>
                                  <w:id w:val="307982498"/>
                                  <w:showingPlcHdr/>
                                  <w:dataBinding w:prefixMappings="xmlns:ns0='http://schemas.microsoft.com/office/2006/coverPageProps'" w:xpath="/ns0:CoverPageProperties[1]/ns0:Abstract[1]" w:storeItemID="{55AF091B-3C7A-41E3-B477-F2FDAA23CFDA}"/>
                                  <w:text/>
                                </w:sdtPr>
                                <w:sdtEndPr/>
                                <w:sdtContent>
                                  <w:p w:rsidR="006D4CC1" w:rsidRDefault="006D4CC1">
                                    <w:pPr>
                                      <w:spacing w:before="240"/>
                                      <w:ind w:left="1008"/>
                                      <w:jc w:val="right"/>
                                      <w:rPr>
                                        <w:color w:val="FFFFFF" w:themeColor="background1"/>
                                      </w:rPr>
                                    </w:pPr>
                                    <w:r>
                                      <w:rPr>
                                        <w:color w:val="FFFFFF" w:themeColor="background1"/>
                                        <w:sz w:val="21"/>
                                        <w:szCs w:val="21"/>
                                      </w:rPr>
                                      <w:t xml:space="preserve">     </w:t>
                                    </w:r>
                                  </w:p>
                                </w:sdtContent>
                              </w:sdt>
                              <w:bookmarkEnd w:id="0" w:displacedByCustomXml="prev"/>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w14:anchorId="69F54A9C" id="Rectangle 47" o:spid="_x0000_s1026" style="position:absolute;margin-left:0;margin-top:0;width:450.15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" fillcolor="#4f81bd [3204]" stroked="f" strokeweight="2pt">
                    <v:path arrowok="t"/>
                    <v:textbox inset="21.6pt,1in,21.6pt">
                      <w:txbxContent>
                        <w:sdt>
                          <w:sdtPr>
                            <w:rPr>
                              <w:caps/>
                              <w:color w:val="FFFFFF" w:themeColor="background1"/>
                              <w:sz w:val="72"/>
                              <w:szCs w:val="72"/>
                            </w:rPr>
                            <w:alias w:val="Title"/>
                            <w:id w:val="-1070349389"/>
                            <w:dataBinding w:prefixMappings="xmlns:ns0='http://schemas.openxmlformats.org/package/2006/metadata/core-properties' xmlns:ns1='http://purl.org/dc/elements/1.1/'" w:xpath="/ns0:coreProperties[1]/ns1:title[1]" w:storeItemID="{6C3C8BC8-F283-45AE-878A-BAB7291924A1}"/>
                            <w:text/>
                          </w:sdtPr>
                          <w:sdtEndPr/>
                          <w:sdtContent>
                            <w:p w:rsidR="006D4CC1" w:rsidRDefault="00F62C12" w:rsidP="006D4CC1">
                              <w:pPr>
                                <w:pStyle w:val="Title"/>
                                <w:pBdr>
                                  <w:bottom w:val="none" w:sz="0" w:space="0" w:color="auto"/>
                                </w:pBdr>
                                <w:jc w:val="center"/>
                                <w:rPr>
                                  <w:caps/>
                                  <w:color w:val="FFFFFF" w:themeColor="background1"/>
                                  <w:sz w:val="72"/>
                                  <w:szCs w:val="72"/>
                                </w:rPr>
                              </w:pPr>
                              <w:r>
                                <w:rPr>
                                  <w:caps/>
                                  <w:color w:val="FFFFFF" w:themeColor="background1"/>
                                  <w:sz w:val="72"/>
                                  <w:szCs w:val="72"/>
                                </w:rPr>
                                <w:t xml:space="preserve">Assignment 2: Lakeview hotel investment corp. </w:t>
                              </w:r>
                            </w:p>
                          </w:sdtContent>
                        </w:sdt>
                        <w:p w:rsidR="006D4CC1" w:rsidRDefault="006D4CC1">
                          <w:pPr>
                            <w:spacing w:before="240"/>
                            <w:ind w:left="720"/>
                            <w:jc w:val="right"/>
                            <w:rPr>
                              <w:color w:val="FFFFFF" w:themeColor="background1"/>
                            </w:rPr>
                          </w:pPr>
                        </w:p>
                        <w:bookmarkStart w:id="1" w:name="_GoBack" w:displacedByCustomXml="next"/>
                        <w:sdt>
                          <w:sdtPr>
                            <w:rPr>
                              <w:color w:val="FFFFFF" w:themeColor="background1"/>
                              <w:sz w:val="21"/>
                              <w:szCs w:val="21"/>
                            </w:rPr>
                            <w:alias w:val="Abstract"/>
                            <w:id w:val="307982498"/>
                            <w:showingPlcHdr/>
                            <w:dataBinding w:prefixMappings="xmlns:ns0='http://schemas.microsoft.com/office/2006/coverPageProps'" w:xpath="/ns0:CoverPageProperties[1]/ns0:Abstract[1]" w:storeItemID="{55AF091B-3C7A-41E3-B477-F2FDAA23CFDA}"/>
                            <w:text/>
                          </w:sdtPr>
                          <w:sdtEndPr/>
                          <w:sdtContent>
                            <w:p w:rsidR="006D4CC1" w:rsidRDefault="006D4CC1">
                              <w:pPr>
                                <w:spacing w:before="240"/>
                                <w:ind w:left="1008"/>
                                <w:jc w:val="right"/>
                                <w:rPr>
                                  <w:color w:val="FFFFFF" w:themeColor="background1"/>
                                </w:rPr>
                              </w:pPr>
                              <w:r>
                                <w:rPr>
                                  <w:color w:val="FFFFFF" w:themeColor="background1"/>
                                  <w:sz w:val="21"/>
                                  <w:szCs w:val="21"/>
                                </w:rPr>
                                <w:t xml:space="preserve">     </w:t>
                              </w:r>
                            </w:p>
                          </w:sdtContent>
                        </w:sdt>
                        <w:bookmarkEnd w:id="1" w:displacedByCustomXml="prev"/>
                      </w:txbxContent>
                    </v:textbox>
                    <w10:wrap anchorx="page" anchory="page"/>
                  </v:rect>
                </w:pict>
              </mc:Fallback>
            </mc:AlternateContent>
          </w:r>
          <w:r>
            <w:rPr>
              <w:noProof/>
              <w:lang w:eastAsia="en-US" w:bidi="ta-IN"/>
            </w:rPr>
            <mc:AlternateContent>
              <mc:Choice Requires="wps">
                <w:drawing>
                  <wp:anchor distT="0" distB="0" distL="114300" distR="114300" simplePos="0" relativeHeight="251660288" behindDoc="0" locked="0" layoutInCell="1" allowOverlap="1" wp14:anchorId="5A278B4B" wp14:editId="3A17B003">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0"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D4CC1" w:rsidRDefault="006D4CC1">
                                <w:pPr>
                                  <w:pStyle w:val="Subtitle"/>
                                  <w:rPr>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5A278B4B" id="Rectangle 4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" fillcolor="#1f497d [3215]" stroked="f" strokeweight="2pt">
                    <v:path arrowok="t"/>
                    <v:textbox inset="14.4pt,,14.4pt">
                      <w:txbxContent>
                        <w:p w:rsidR="006D4CC1" w:rsidRDefault="006D4CC1">
                          <w:pPr>
                            <w:pStyle w:val="Subtitle"/>
                            <w:rPr>
                              <w:color w:val="FFFFFF" w:themeColor="background1"/>
                            </w:rPr>
                          </w:pPr>
                        </w:p>
                      </w:txbxContent>
                    </v:textbox>
                    <w10:wrap anchorx="page" anchory="page"/>
                  </v:rect>
                </w:pict>
              </mc:Fallback>
            </mc:AlternateContent>
          </w:r>
        </w:p>
        <w:p w:rsidR="006D4CC1" w:rsidRDefault="006D4CC1"/>
        <w:p w:rsidR="006D4CC1" w:rsidRDefault="00F62C12">
          <w:pPr>
            <w:rPr>
              <w:rFonts w:asciiTheme="majorHAnsi" w:eastAsiaTheme="majorEastAsia" w:hAnsiTheme="majorHAnsi" w:cstheme="majorBidi"/>
              <w:sz w:val="72"/>
              <w:szCs w:val="72"/>
              <w:lang w:eastAsia="ja-JP"/>
            </w:rPr>
          </w:pPr>
          <w:r>
            <w:rPr>
              <w:rFonts w:asciiTheme="majorHAnsi" w:eastAsiaTheme="majorEastAsia" w:hAnsiTheme="majorHAnsi" w:cstheme="majorBidi"/>
              <w:noProof/>
              <w:sz w:val="72"/>
              <w:szCs w:val="72"/>
              <w:lang w:eastAsia="en-US" w:bidi="ta-IN"/>
            </w:rPr>
            <mc:AlternateContent>
              <mc:Choice Requires="wps">
                <w:drawing>
                  <wp:anchor distT="0" distB="0" distL="114300" distR="114300" simplePos="0" relativeHeight="251662336" behindDoc="0" locked="0" layoutInCell="1" allowOverlap="1">
                    <wp:simplePos x="0" y="0"/>
                    <wp:positionH relativeFrom="column">
                      <wp:posOffset>523875</wp:posOffset>
                    </wp:positionH>
                    <wp:positionV relativeFrom="paragraph">
                      <wp:posOffset>4497070</wp:posOffset>
                    </wp:positionV>
                    <wp:extent cx="3009900" cy="1952625"/>
                    <wp:effectExtent l="0" t="0" r="0" b="0"/>
                    <wp:wrapNone/>
                    <wp:docPr id="2" name="Text Box 2"/>
                    <wp:cNvGraphicFramePr/>
                    <a:graphic xmlns:a="http://schemas.openxmlformats.org/drawingml/2006/main">
                      <a:graphicData uri="http://schemas.microsoft.com/office/word/2010/wordprocessingShape">
                        <wps:wsp>
                          <wps:cNvSpPr txBox="1"/>
                          <wps:spPr>
                            <a:xfrm>
                              <a:off x="0" y="0"/>
                              <a:ext cx="3009900" cy="1952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62C12" w:rsidRPr="00F62C12" w:rsidRDefault="00F62C12">
                                <w:pPr>
                                  <w:rPr>
                                    <w:color w:val="FFFFFF" w:themeColor="background1"/>
                                    <w:sz w:val="32"/>
                                    <w:szCs w:val="32"/>
                                    <w:lang w:val="en-CA"/>
                                  </w:rPr>
                                </w:pPr>
                                <w:r w:rsidRPr="00F62C12">
                                  <w:rPr>
                                    <w:color w:val="FFFFFF" w:themeColor="background1"/>
                                    <w:sz w:val="32"/>
                                    <w:szCs w:val="32"/>
                                    <w:lang w:val="en-CA"/>
                                  </w:rPr>
                                  <w:tab/>
                                </w:r>
                              </w:p>
                              <w:p w:rsidR="00F62C12" w:rsidRDefault="00F62C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41.25pt;margin-top:354.1pt;width:237pt;height:153.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" filled="f" stroked="f" strokeweight=".5pt">
                    <v:textbox>
                      <w:txbxContent>
                        <w:p w:rsidR="00F62C12" w:rsidRPr="00F62C12" w:rsidRDefault="00F62C12">
                          <w:pPr>
                            <w:rPr>
                              <w:color w:val="FFFFFF" w:themeColor="background1"/>
                              <w:sz w:val="32"/>
                              <w:szCs w:val="32"/>
                              <w:lang w:val="en-CA"/>
                            </w:rPr>
                          </w:pPr>
                          <w:r w:rsidRPr="00F62C12">
                            <w:rPr>
                              <w:color w:val="FFFFFF" w:themeColor="background1"/>
                              <w:sz w:val="32"/>
                              <w:szCs w:val="32"/>
                              <w:lang w:val="en-CA"/>
                            </w:rPr>
                            <w:tab/>
                          </w:r>
                        </w:p>
                        <w:p w:rsidR="00F62C12" w:rsidRDefault="00F62C12"/>
                      </w:txbxContent>
                    </v:textbox>
                  </v:shape>
                </w:pict>
              </mc:Fallback>
            </mc:AlternateContent>
          </w:r>
          <w:r w:rsidR="006D4CC1">
            <w:rPr>
              <w:rFonts w:asciiTheme="majorHAnsi" w:eastAsiaTheme="majorEastAsia" w:hAnsiTheme="majorHAnsi" w:cstheme="majorBidi"/>
              <w:sz w:val="72"/>
              <w:szCs w:val="72"/>
              <w:lang w:eastAsia="ja-JP"/>
            </w:rPr>
            <w:br w:type="page"/>
          </w:r>
        </w:p>
      </w:sdtContent>
    </w:sdt>
    <w:p w:rsidR="006D4CC1" w:rsidRPr="006A767D" w:rsidRDefault="006D4CC1" w:rsidP="006A767D">
      <w:pPr>
        <w:spacing w:line="360" w:lineRule="auto"/>
        <w:jc w:val="both"/>
        <w:rPr>
          <w:rFonts w:cs="Times New Roman"/>
          <w:b/>
          <w:sz w:val="24"/>
          <w:szCs w:val="24"/>
        </w:rPr>
      </w:pPr>
      <w:r w:rsidRPr="006A767D">
        <w:rPr>
          <w:rFonts w:cs="Times New Roman"/>
          <w:b/>
          <w:sz w:val="24"/>
          <w:szCs w:val="24"/>
        </w:rPr>
        <w:lastRenderedPageBreak/>
        <w:t>Overview</w:t>
      </w:r>
    </w:p>
    <w:p w:rsidR="006D4CC1" w:rsidRPr="006A767D" w:rsidRDefault="006D4CC1" w:rsidP="006A767D">
      <w:pPr>
        <w:spacing w:line="360" w:lineRule="auto"/>
        <w:jc w:val="both"/>
        <w:rPr>
          <w:rFonts w:cs="Times New Roman"/>
          <w:sz w:val="24"/>
          <w:szCs w:val="24"/>
        </w:rPr>
      </w:pPr>
      <w:r w:rsidRPr="006A767D">
        <w:rPr>
          <w:rFonts w:cs="Times New Roman"/>
          <w:sz w:val="24"/>
          <w:szCs w:val="24"/>
        </w:rPr>
        <w:t xml:space="preserve">The report aims to focus on summarizing and evaluating LHIC’s transactions with related individuals and entities by answering specific questions. As well the report provides details about how much money has been transferred between the related parties. Specific IFRS definitions are provided to explain the meaning and elaborate the discussion initiated through questions. The report takes all the reference from the case itself and the financial statements </w:t>
      </w:r>
      <w:r w:rsidR="005F21AB" w:rsidRPr="006A767D">
        <w:rPr>
          <w:rFonts w:cs="Times New Roman"/>
          <w:sz w:val="24"/>
          <w:szCs w:val="24"/>
        </w:rPr>
        <w:t>with some research from course textbook.</w:t>
      </w:r>
    </w:p>
    <w:p w:rsidR="006D4CC1" w:rsidRPr="006A767D" w:rsidRDefault="006D4CC1" w:rsidP="006A767D">
      <w:pPr>
        <w:spacing w:line="360" w:lineRule="auto"/>
        <w:jc w:val="both"/>
        <w:rPr>
          <w:rFonts w:cs="Times New Roman"/>
          <w:b/>
          <w:sz w:val="24"/>
          <w:szCs w:val="24"/>
        </w:rPr>
      </w:pPr>
      <w:r w:rsidRPr="006A767D">
        <w:rPr>
          <w:rFonts w:cs="Times New Roman"/>
          <w:b/>
          <w:sz w:val="24"/>
          <w:szCs w:val="24"/>
        </w:rPr>
        <w:t xml:space="preserve">Discussion </w:t>
      </w:r>
    </w:p>
    <w:p w:rsidR="006A767D" w:rsidRPr="006A767D" w:rsidRDefault="006A767D" w:rsidP="006A767D">
      <w:pPr>
        <w:spacing w:line="360" w:lineRule="auto"/>
        <w:jc w:val="both"/>
        <w:rPr>
          <w:rFonts w:cs="Times New Roman"/>
          <w:sz w:val="24"/>
          <w:szCs w:val="24"/>
          <w:u w:val="single"/>
        </w:rPr>
      </w:pPr>
      <w:r w:rsidRPr="006A767D">
        <w:rPr>
          <w:rFonts w:cs="Times New Roman"/>
          <w:sz w:val="24"/>
          <w:szCs w:val="24"/>
          <w:u w:val="single"/>
        </w:rPr>
        <w:t>Introduction</w:t>
      </w:r>
    </w:p>
    <w:p w:rsidR="005F21AB" w:rsidRPr="006A767D" w:rsidRDefault="005F21AB" w:rsidP="006A767D">
      <w:pPr>
        <w:pStyle w:val="Default"/>
        <w:numPr>
          <w:ilvl w:val="0"/>
          <w:numId w:val="9"/>
        </w:numPr>
        <w:tabs>
          <w:tab w:val="left" w:pos="426"/>
        </w:tabs>
        <w:spacing w:line="360" w:lineRule="auto"/>
        <w:jc w:val="both"/>
        <w:rPr>
          <w:rFonts w:asciiTheme="minorHAnsi" w:hAnsiTheme="minorHAnsi"/>
        </w:rPr>
      </w:pPr>
      <w:r w:rsidRPr="006A767D">
        <w:rPr>
          <w:rFonts w:asciiTheme="minorHAnsi" w:hAnsiTheme="minorHAnsi"/>
        </w:rPr>
        <w:t xml:space="preserve">A related party definition according to IFRS is a person or entity that is related to the entity preparing financial statements or reporting entity. [IAS 24.9] A person or family member of the person is related to reporting entity if that person has (i) control/joint control over the reporting entity (ii) has significant influence over the reporting entity (iii) member of the key management personnel of the reporting or the parent of the reporting entity. </w:t>
      </w:r>
    </w:p>
    <w:p w:rsidR="005F21AB" w:rsidRPr="006A767D" w:rsidRDefault="005F21AB" w:rsidP="006A767D">
      <w:pPr>
        <w:pStyle w:val="Default"/>
        <w:tabs>
          <w:tab w:val="left" w:pos="426"/>
        </w:tabs>
        <w:spacing w:line="360" w:lineRule="auto"/>
        <w:ind w:left="720"/>
        <w:jc w:val="both"/>
        <w:rPr>
          <w:rFonts w:asciiTheme="minorHAnsi" w:hAnsiTheme="minorHAnsi"/>
        </w:rPr>
      </w:pPr>
      <w:r w:rsidRPr="006A767D">
        <w:rPr>
          <w:rFonts w:asciiTheme="minorHAnsi" w:hAnsiTheme="minorHAnsi"/>
        </w:rPr>
        <w:tab/>
        <w:t>Related party transactions are the transfer of resources, services or obligations between related parties</w:t>
      </w:r>
      <w:r w:rsidR="00381300">
        <w:rPr>
          <w:rFonts w:asciiTheme="minorHAnsi" w:hAnsiTheme="minorHAnsi"/>
        </w:rPr>
        <w:t xml:space="preserve"> and does not get affected by the price change</w:t>
      </w:r>
      <w:r w:rsidRPr="006A767D">
        <w:rPr>
          <w:rFonts w:asciiTheme="minorHAnsi" w:hAnsiTheme="minorHAnsi"/>
        </w:rPr>
        <w:t xml:space="preserve"> [IAS 24.6] Hence, </w:t>
      </w:r>
      <w:r w:rsidR="00381300">
        <w:rPr>
          <w:rFonts w:asciiTheme="minorHAnsi" w:hAnsiTheme="minorHAnsi"/>
        </w:rPr>
        <w:t xml:space="preserve">all the </w:t>
      </w:r>
      <w:r w:rsidRPr="006A767D">
        <w:rPr>
          <w:rFonts w:asciiTheme="minorHAnsi" w:hAnsiTheme="minorHAnsi"/>
        </w:rPr>
        <w:t xml:space="preserve">information in relation to transactions and balances which would affect the financial statement needs to be disclosed. </w:t>
      </w:r>
    </w:p>
    <w:p w:rsidR="005F21AB" w:rsidRPr="006A767D" w:rsidRDefault="005F21AB" w:rsidP="006A767D">
      <w:pPr>
        <w:pStyle w:val="Default"/>
        <w:tabs>
          <w:tab w:val="left" w:pos="426"/>
        </w:tabs>
        <w:spacing w:line="360" w:lineRule="auto"/>
        <w:ind w:left="720"/>
        <w:jc w:val="both"/>
        <w:rPr>
          <w:rFonts w:asciiTheme="minorHAnsi" w:hAnsiTheme="minorHAnsi"/>
        </w:rPr>
      </w:pPr>
      <w:r w:rsidRPr="006A767D">
        <w:rPr>
          <w:rFonts w:asciiTheme="minorHAnsi" w:hAnsiTheme="minorHAnsi"/>
        </w:rPr>
        <w:t xml:space="preserve">Disclosures adequate for related party transactions under IFRS are: </w:t>
      </w:r>
    </w:p>
    <w:p w:rsidR="005F21AB" w:rsidRPr="006A767D" w:rsidRDefault="005F21AB" w:rsidP="006A767D">
      <w:pPr>
        <w:pStyle w:val="Default"/>
        <w:numPr>
          <w:ilvl w:val="0"/>
          <w:numId w:val="2"/>
        </w:numPr>
        <w:tabs>
          <w:tab w:val="left" w:pos="426"/>
        </w:tabs>
        <w:spacing w:line="360" w:lineRule="auto"/>
        <w:ind w:left="1014"/>
        <w:jc w:val="both"/>
        <w:rPr>
          <w:rFonts w:asciiTheme="minorHAnsi" w:hAnsiTheme="minorHAnsi"/>
        </w:rPr>
      </w:pPr>
      <w:r w:rsidRPr="006A767D">
        <w:rPr>
          <w:rFonts w:asciiTheme="minorHAnsi" w:hAnsiTheme="minorHAnsi"/>
        </w:rPr>
        <w:t xml:space="preserve">Disclosing the nature of related party relationship </w:t>
      </w:r>
    </w:p>
    <w:p w:rsidR="005F21AB" w:rsidRPr="006A767D" w:rsidRDefault="005F21AB" w:rsidP="006A767D">
      <w:pPr>
        <w:pStyle w:val="Default"/>
        <w:numPr>
          <w:ilvl w:val="0"/>
          <w:numId w:val="2"/>
        </w:numPr>
        <w:tabs>
          <w:tab w:val="left" w:pos="426"/>
        </w:tabs>
        <w:spacing w:line="360" w:lineRule="auto"/>
        <w:ind w:left="1014"/>
        <w:jc w:val="both"/>
        <w:rPr>
          <w:rFonts w:asciiTheme="minorHAnsi" w:hAnsiTheme="minorHAnsi"/>
        </w:rPr>
      </w:pPr>
      <w:r w:rsidRPr="006A767D">
        <w:rPr>
          <w:rFonts w:asciiTheme="minorHAnsi" w:hAnsiTheme="minorHAnsi"/>
        </w:rPr>
        <w:t>Number of transactions</w:t>
      </w:r>
    </w:p>
    <w:p w:rsidR="005F21AB" w:rsidRPr="006A767D" w:rsidRDefault="005F21AB" w:rsidP="006A767D">
      <w:pPr>
        <w:pStyle w:val="Default"/>
        <w:numPr>
          <w:ilvl w:val="0"/>
          <w:numId w:val="2"/>
        </w:numPr>
        <w:tabs>
          <w:tab w:val="left" w:pos="426"/>
        </w:tabs>
        <w:spacing w:line="360" w:lineRule="auto"/>
        <w:ind w:left="1014"/>
        <w:jc w:val="both"/>
        <w:rPr>
          <w:rFonts w:asciiTheme="minorHAnsi" w:hAnsiTheme="minorHAnsi"/>
        </w:rPr>
      </w:pPr>
      <w:r w:rsidRPr="006A767D">
        <w:rPr>
          <w:rFonts w:asciiTheme="minorHAnsi" w:hAnsiTheme="minorHAnsi"/>
        </w:rPr>
        <w:t>Amount of outstanding balances  which would include the terms, conditions and guarantees</w:t>
      </w:r>
    </w:p>
    <w:p w:rsidR="005F21AB" w:rsidRPr="006A767D" w:rsidRDefault="005F21AB" w:rsidP="006A767D">
      <w:pPr>
        <w:pStyle w:val="Default"/>
        <w:numPr>
          <w:ilvl w:val="0"/>
          <w:numId w:val="2"/>
        </w:numPr>
        <w:tabs>
          <w:tab w:val="left" w:pos="426"/>
        </w:tabs>
        <w:spacing w:line="360" w:lineRule="auto"/>
        <w:ind w:left="1014"/>
        <w:jc w:val="both"/>
        <w:rPr>
          <w:rFonts w:asciiTheme="minorHAnsi" w:hAnsiTheme="minorHAnsi"/>
        </w:rPr>
      </w:pPr>
      <w:r w:rsidRPr="006A767D">
        <w:rPr>
          <w:rFonts w:asciiTheme="minorHAnsi" w:hAnsiTheme="minorHAnsi"/>
        </w:rPr>
        <w:t>Doubtful accounts in relation to outstanding balance</w:t>
      </w:r>
    </w:p>
    <w:p w:rsidR="005F21AB" w:rsidRPr="006A767D" w:rsidRDefault="005F21AB" w:rsidP="006A767D">
      <w:pPr>
        <w:pStyle w:val="Default"/>
        <w:numPr>
          <w:ilvl w:val="0"/>
          <w:numId w:val="2"/>
        </w:numPr>
        <w:tabs>
          <w:tab w:val="left" w:pos="426"/>
        </w:tabs>
        <w:spacing w:line="360" w:lineRule="auto"/>
        <w:ind w:left="1014"/>
        <w:jc w:val="both"/>
        <w:rPr>
          <w:rFonts w:asciiTheme="minorHAnsi" w:hAnsiTheme="minorHAnsi"/>
        </w:rPr>
      </w:pPr>
      <w:r w:rsidRPr="006A767D">
        <w:rPr>
          <w:rFonts w:asciiTheme="minorHAnsi" w:hAnsiTheme="minorHAnsi"/>
        </w:rPr>
        <w:t>Expense of doubtful accounts recognized during the period arising due to related parties</w:t>
      </w:r>
    </w:p>
    <w:p w:rsidR="005F21AB" w:rsidRPr="006A767D" w:rsidRDefault="005F21AB" w:rsidP="006A767D">
      <w:pPr>
        <w:pStyle w:val="Default"/>
        <w:tabs>
          <w:tab w:val="left" w:pos="426"/>
        </w:tabs>
        <w:spacing w:line="360" w:lineRule="auto"/>
        <w:ind w:left="720"/>
        <w:jc w:val="both"/>
        <w:rPr>
          <w:rFonts w:asciiTheme="minorHAnsi" w:hAnsiTheme="minorHAnsi"/>
        </w:rPr>
      </w:pPr>
    </w:p>
    <w:p w:rsidR="005F21AB" w:rsidRPr="006A767D" w:rsidRDefault="005F21AB" w:rsidP="006A767D">
      <w:pPr>
        <w:spacing w:line="360" w:lineRule="auto"/>
        <w:ind w:left="654"/>
        <w:jc w:val="both"/>
        <w:rPr>
          <w:rFonts w:cs="Times New Roman"/>
          <w:b/>
          <w:sz w:val="24"/>
          <w:szCs w:val="24"/>
        </w:rPr>
      </w:pPr>
      <w:r w:rsidRPr="006A767D">
        <w:rPr>
          <w:rFonts w:cs="Times New Roman"/>
          <w:sz w:val="24"/>
          <w:szCs w:val="24"/>
        </w:rPr>
        <w:lastRenderedPageBreak/>
        <w:t xml:space="preserve">The standards require disclosure about related party transactions because information and user objective are correlated.  Disclosure information can change and impact the users of financial statements in a certain manner. Therefore, in related party transactions it is necessary </w:t>
      </w:r>
      <w:r w:rsidR="00381300">
        <w:rPr>
          <w:rFonts w:cs="Times New Roman"/>
          <w:sz w:val="24"/>
          <w:szCs w:val="24"/>
        </w:rPr>
        <w:t xml:space="preserve">to be transparent so that there is avoidance of </w:t>
      </w:r>
      <w:r w:rsidRPr="006A767D">
        <w:rPr>
          <w:rFonts w:cs="Times New Roman"/>
          <w:sz w:val="24"/>
          <w:szCs w:val="24"/>
        </w:rPr>
        <w:t>frauds and</w:t>
      </w:r>
      <w:r w:rsidR="00381300">
        <w:rPr>
          <w:rFonts w:cs="Times New Roman"/>
          <w:sz w:val="24"/>
          <w:szCs w:val="24"/>
        </w:rPr>
        <w:t>,</w:t>
      </w:r>
      <w:r w:rsidRPr="006A767D">
        <w:rPr>
          <w:rFonts w:cs="Times New Roman"/>
          <w:sz w:val="24"/>
          <w:szCs w:val="24"/>
        </w:rPr>
        <w:t xml:space="preserve"> parties dealing with each other are truly aware of the balances and value of the accounts.</w:t>
      </w:r>
    </w:p>
    <w:p w:rsidR="005F21AB" w:rsidRPr="006A767D" w:rsidRDefault="005F21AB" w:rsidP="006A767D">
      <w:pPr>
        <w:pStyle w:val="Default"/>
        <w:numPr>
          <w:ilvl w:val="0"/>
          <w:numId w:val="9"/>
        </w:numPr>
        <w:tabs>
          <w:tab w:val="left" w:pos="426"/>
        </w:tabs>
        <w:spacing w:line="360" w:lineRule="auto"/>
        <w:jc w:val="both"/>
        <w:rPr>
          <w:rFonts w:asciiTheme="minorHAnsi" w:hAnsiTheme="minorHAnsi"/>
        </w:rPr>
      </w:pPr>
      <w:r w:rsidRPr="006A767D">
        <w:rPr>
          <w:rFonts w:asciiTheme="minorHAnsi" w:hAnsiTheme="minorHAnsi"/>
        </w:rPr>
        <w:t xml:space="preserve">Related party transactions (RPTs) are measured at either the carrying amount or the exchange amount. IFRS does not require the transactions of related party to be specifically measured at fair value. Explaining carrying amount and exchange amount as follow: </w:t>
      </w:r>
    </w:p>
    <w:p w:rsidR="005F21AB" w:rsidRPr="006A767D" w:rsidRDefault="005F21AB" w:rsidP="006A767D">
      <w:pPr>
        <w:pStyle w:val="Default"/>
        <w:tabs>
          <w:tab w:val="left" w:pos="426"/>
        </w:tabs>
        <w:spacing w:line="360" w:lineRule="auto"/>
        <w:ind w:left="720"/>
        <w:jc w:val="both"/>
        <w:rPr>
          <w:rFonts w:asciiTheme="minorHAnsi" w:hAnsiTheme="minorHAnsi"/>
        </w:rPr>
      </w:pPr>
      <w:r w:rsidRPr="006A767D">
        <w:rPr>
          <w:rFonts w:asciiTheme="minorHAnsi" w:hAnsiTheme="minorHAnsi"/>
          <w:u w:val="single"/>
        </w:rPr>
        <w:t xml:space="preserve">Carrying Amount </w:t>
      </w:r>
      <w:r w:rsidRPr="006A767D">
        <w:rPr>
          <w:rFonts w:asciiTheme="minorHAnsi" w:hAnsiTheme="minorHAnsi"/>
        </w:rPr>
        <w:t>- It is the amount at which an item is transferred, cost of service is provided or recorded in the accounts of the transferor. It includes the adjustment of amortization or impairment value for each year. When related party transactions are measured at the carrying amount, any difference between the carrying amounts of items exchanged is included as a charge to equity.</w:t>
      </w:r>
    </w:p>
    <w:p w:rsidR="005F21AB" w:rsidRPr="006A767D" w:rsidRDefault="005F21AB" w:rsidP="006A767D">
      <w:pPr>
        <w:pStyle w:val="Default"/>
        <w:tabs>
          <w:tab w:val="left" w:pos="426"/>
        </w:tabs>
        <w:spacing w:line="360" w:lineRule="auto"/>
        <w:ind w:left="720"/>
        <w:jc w:val="both"/>
        <w:rPr>
          <w:rFonts w:asciiTheme="minorHAnsi" w:hAnsiTheme="minorHAnsi"/>
        </w:rPr>
      </w:pPr>
      <w:r w:rsidRPr="006A767D">
        <w:rPr>
          <w:rFonts w:asciiTheme="minorHAnsi" w:hAnsiTheme="minorHAnsi"/>
          <w:u w:val="single"/>
        </w:rPr>
        <w:t>Exchange Amount</w:t>
      </w:r>
      <w:r w:rsidRPr="006A767D">
        <w:rPr>
          <w:rFonts w:asciiTheme="minorHAnsi" w:hAnsiTheme="minorHAnsi"/>
        </w:rPr>
        <w:t xml:space="preserve"> – It is the agreed amount or the amount of consideration paid or received by related parties. When related party transactions are measured at the exchange amount, the gain or loss is recognized in income for the period. </w:t>
      </w:r>
    </w:p>
    <w:p w:rsidR="005F21AB" w:rsidRPr="006A767D" w:rsidRDefault="005F21AB" w:rsidP="006A767D">
      <w:pPr>
        <w:pStyle w:val="Default"/>
        <w:tabs>
          <w:tab w:val="left" w:pos="426"/>
        </w:tabs>
        <w:spacing w:line="360" w:lineRule="auto"/>
        <w:ind w:left="720"/>
        <w:rPr>
          <w:rFonts w:asciiTheme="minorHAnsi" w:hAnsiTheme="minorHAnsi"/>
        </w:rPr>
      </w:pPr>
    </w:p>
    <w:p w:rsidR="005F21AB" w:rsidRPr="006A767D" w:rsidRDefault="005F21AB" w:rsidP="006A767D">
      <w:pPr>
        <w:pStyle w:val="Default"/>
        <w:numPr>
          <w:ilvl w:val="0"/>
          <w:numId w:val="9"/>
        </w:numPr>
        <w:tabs>
          <w:tab w:val="left" w:pos="426"/>
        </w:tabs>
        <w:spacing w:line="360" w:lineRule="auto"/>
        <w:rPr>
          <w:rFonts w:asciiTheme="minorHAnsi" w:hAnsiTheme="minorHAnsi"/>
        </w:rPr>
      </w:pPr>
      <w:r w:rsidRPr="006A767D">
        <w:rPr>
          <w:rFonts w:asciiTheme="minorHAnsi" w:hAnsiTheme="minorHAnsi"/>
        </w:rPr>
        <w:t>Comparing between subsidiary, joint venture and associate under IFRS</w:t>
      </w:r>
      <w:r w:rsidR="006A767D" w:rsidRPr="006A767D">
        <w:rPr>
          <w:rFonts w:asciiTheme="minorHAnsi" w:hAnsiTheme="minorHAnsi"/>
        </w:rPr>
        <w:t>:</w:t>
      </w:r>
      <w:r w:rsidRPr="006A767D">
        <w:rPr>
          <w:rFonts w:asciiTheme="minorHAnsi" w:hAnsiTheme="minorHAnsi"/>
        </w:rPr>
        <w:t xml:space="preserve"> </w:t>
      </w:r>
    </w:p>
    <w:p w:rsidR="005F21AB" w:rsidRPr="006A767D" w:rsidRDefault="005F21AB" w:rsidP="006A767D">
      <w:pPr>
        <w:pStyle w:val="Default"/>
        <w:tabs>
          <w:tab w:val="left" w:pos="426"/>
        </w:tabs>
        <w:spacing w:line="360" w:lineRule="auto"/>
        <w:ind w:left="720"/>
        <w:rPr>
          <w:rFonts w:asciiTheme="minorHAnsi" w:hAnsiTheme="minorHAnsi"/>
        </w:rPr>
      </w:pPr>
    </w:p>
    <w:p w:rsidR="005F21AB" w:rsidRPr="006A767D" w:rsidRDefault="005F21AB" w:rsidP="006A767D">
      <w:pPr>
        <w:pStyle w:val="Default"/>
        <w:tabs>
          <w:tab w:val="left" w:pos="426"/>
        </w:tabs>
        <w:spacing w:line="360" w:lineRule="auto"/>
        <w:ind w:left="720"/>
        <w:jc w:val="both"/>
        <w:rPr>
          <w:rFonts w:asciiTheme="minorHAnsi" w:hAnsiTheme="minorHAnsi"/>
        </w:rPr>
      </w:pPr>
      <w:r w:rsidRPr="006A767D">
        <w:rPr>
          <w:rFonts w:asciiTheme="minorHAnsi" w:hAnsiTheme="minorHAnsi"/>
          <w:u w:val="single"/>
        </w:rPr>
        <w:t xml:space="preserve">Subsidiary </w:t>
      </w:r>
      <w:r w:rsidRPr="006A767D">
        <w:rPr>
          <w:rFonts w:asciiTheme="minorHAnsi" w:hAnsiTheme="minorHAnsi"/>
        </w:rPr>
        <w:t>– A subsidiary is a company which is partly or completely owned by another company (parent) that holds a controlling interest in the subsidiary company. [IAS 27]</w:t>
      </w:r>
    </w:p>
    <w:p w:rsidR="005F21AB" w:rsidRPr="006A767D" w:rsidRDefault="005F21AB" w:rsidP="006A767D">
      <w:pPr>
        <w:pStyle w:val="Default"/>
        <w:tabs>
          <w:tab w:val="left" w:pos="426"/>
        </w:tabs>
        <w:spacing w:line="360" w:lineRule="auto"/>
        <w:ind w:left="720"/>
        <w:jc w:val="both"/>
        <w:rPr>
          <w:rFonts w:asciiTheme="minorHAnsi" w:hAnsiTheme="minorHAnsi"/>
        </w:rPr>
      </w:pPr>
      <w:r w:rsidRPr="006A767D">
        <w:rPr>
          <w:rFonts w:asciiTheme="minorHAnsi" w:hAnsiTheme="minorHAnsi"/>
        </w:rPr>
        <w:t>Subsidiary is controlled by the parent company and that control is gained when parent gains more than 50% voting rights of subsidiary company. Parent company can control subsidiary to govern financial and operating policies or to gain benefits.</w:t>
      </w:r>
    </w:p>
    <w:p w:rsidR="005F21AB" w:rsidRPr="006A767D" w:rsidRDefault="003B18E2" w:rsidP="006A767D">
      <w:pPr>
        <w:pStyle w:val="Default"/>
        <w:tabs>
          <w:tab w:val="left" w:pos="426"/>
        </w:tabs>
        <w:spacing w:line="360" w:lineRule="auto"/>
        <w:ind w:left="720"/>
        <w:jc w:val="both"/>
        <w:rPr>
          <w:rFonts w:asciiTheme="minorHAnsi" w:hAnsiTheme="minorHAnsi"/>
        </w:rPr>
      </w:pPr>
      <w:r>
        <w:rPr>
          <w:rFonts w:asciiTheme="minorHAnsi" w:hAnsiTheme="minorHAnsi"/>
        </w:rPr>
        <w:tab/>
      </w:r>
      <w:r w:rsidR="005F21AB" w:rsidRPr="006A767D">
        <w:rPr>
          <w:rFonts w:asciiTheme="minorHAnsi" w:hAnsiTheme="minorHAnsi"/>
        </w:rPr>
        <w:t>IFRS requires that parent companies (controlling entities with greater than 50% of voting rights) needs to prepare consolidated financial statements under IFRS 10</w:t>
      </w:r>
      <w:r>
        <w:rPr>
          <w:rFonts w:asciiTheme="minorHAnsi" w:hAnsiTheme="minorHAnsi"/>
        </w:rPr>
        <w:t>.</w:t>
      </w:r>
    </w:p>
    <w:p w:rsidR="005F21AB" w:rsidRPr="006A767D" w:rsidRDefault="005F21AB" w:rsidP="006A767D">
      <w:pPr>
        <w:pStyle w:val="Default"/>
        <w:tabs>
          <w:tab w:val="left" w:pos="426"/>
        </w:tabs>
        <w:spacing w:line="360" w:lineRule="auto"/>
        <w:ind w:left="720"/>
        <w:jc w:val="both"/>
        <w:rPr>
          <w:rFonts w:asciiTheme="minorHAnsi" w:hAnsiTheme="minorHAnsi"/>
          <w:u w:val="single"/>
        </w:rPr>
      </w:pPr>
    </w:p>
    <w:p w:rsidR="005F21AB" w:rsidRPr="006A767D" w:rsidRDefault="005F21AB" w:rsidP="006A767D">
      <w:pPr>
        <w:pStyle w:val="Default"/>
        <w:tabs>
          <w:tab w:val="left" w:pos="426"/>
        </w:tabs>
        <w:spacing w:line="360" w:lineRule="auto"/>
        <w:ind w:left="720"/>
        <w:jc w:val="both"/>
        <w:rPr>
          <w:rFonts w:asciiTheme="minorHAnsi" w:hAnsiTheme="minorHAnsi"/>
        </w:rPr>
      </w:pPr>
      <w:r w:rsidRPr="006A767D">
        <w:rPr>
          <w:rFonts w:asciiTheme="minorHAnsi" w:hAnsiTheme="minorHAnsi"/>
          <w:u w:val="single"/>
        </w:rPr>
        <w:lastRenderedPageBreak/>
        <w:t xml:space="preserve">Joint Venture </w:t>
      </w:r>
      <w:r w:rsidRPr="006A767D">
        <w:rPr>
          <w:rFonts w:asciiTheme="minorHAnsi" w:hAnsiTheme="minorHAnsi"/>
        </w:rPr>
        <w:t>- A joint venture requires a contractual agreement under which two entities or parties undertake an economic activity which is controlled jointly. If there is no contractual agreement then the joint venture does not deem to exist.</w:t>
      </w:r>
      <w:r w:rsidR="006A767D" w:rsidRPr="006A767D">
        <w:rPr>
          <w:rFonts w:asciiTheme="minorHAnsi" w:hAnsiTheme="minorHAnsi"/>
        </w:rPr>
        <w:t xml:space="preserve"> Parties jointly share control while governing</w:t>
      </w:r>
      <w:r w:rsidRPr="006A767D">
        <w:rPr>
          <w:rFonts w:asciiTheme="minorHAnsi" w:hAnsiTheme="minorHAnsi"/>
        </w:rPr>
        <w:t xml:space="preserve"> over the economic activities. [IAS 31]</w:t>
      </w:r>
    </w:p>
    <w:p w:rsidR="005F21AB" w:rsidRPr="006A767D" w:rsidRDefault="003B18E2" w:rsidP="006A767D">
      <w:pPr>
        <w:pStyle w:val="Default"/>
        <w:tabs>
          <w:tab w:val="left" w:pos="426"/>
        </w:tabs>
        <w:spacing w:line="360" w:lineRule="auto"/>
        <w:ind w:left="720"/>
        <w:jc w:val="both"/>
        <w:rPr>
          <w:rFonts w:asciiTheme="minorHAnsi" w:hAnsiTheme="minorHAnsi"/>
        </w:rPr>
      </w:pPr>
      <w:r>
        <w:rPr>
          <w:rFonts w:asciiTheme="minorHAnsi" w:hAnsiTheme="minorHAnsi"/>
        </w:rPr>
        <w:tab/>
      </w:r>
      <w:r w:rsidR="005F21AB" w:rsidRPr="006A767D">
        <w:rPr>
          <w:rFonts w:asciiTheme="minorHAnsi" w:hAnsiTheme="minorHAnsi"/>
        </w:rPr>
        <w:t xml:space="preserve">IAS 28 requires that investment in joint ventures must be accounted by equity method where initial investment is recognized at cost and adjusted after the post-acquisition in the investor’s share of investee’s net assets. The investor’s profit/loss and comprehensive income include its share of investee’s profit and loss. </w:t>
      </w:r>
    </w:p>
    <w:p w:rsidR="005F21AB" w:rsidRPr="006A767D" w:rsidRDefault="005F21AB" w:rsidP="006A767D">
      <w:pPr>
        <w:pStyle w:val="NormalWeb"/>
        <w:spacing w:before="0" w:beforeAutospacing="0" w:after="0" w:afterAutospacing="0" w:line="360" w:lineRule="auto"/>
        <w:ind w:left="720"/>
        <w:jc w:val="both"/>
        <w:rPr>
          <w:rFonts w:asciiTheme="minorHAnsi" w:hAnsiTheme="minorHAnsi"/>
        </w:rPr>
      </w:pPr>
      <w:r w:rsidRPr="006A767D">
        <w:rPr>
          <w:rFonts w:asciiTheme="minorHAnsi" w:hAnsiTheme="minorHAnsi"/>
          <w:u w:val="single"/>
        </w:rPr>
        <w:t xml:space="preserve">Associate </w:t>
      </w:r>
      <w:r w:rsidRPr="006A767D">
        <w:rPr>
          <w:rFonts w:asciiTheme="minorHAnsi" w:hAnsiTheme="minorHAnsi"/>
        </w:rPr>
        <w:t xml:space="preserve">– An associate is an entity, over which investor has significant influence and that is neither a subsidiary nor an interest in a joint venture. Significant influence means that the party has power to participate in decision making of financial and operational policies but do not have the power to control over those decisions. Significant influence can be acquired by purchasing more than 20% voting power but less than 50%. </w:t>
      </w:r>
    </w:p>
    <w:p w:rsidR="005F21AB" w:rsidRPr="006A767D" w:rsidRDefault="005F21AB" w:rsidP="003B18E2">
      <w:pPr>
        <w:pStyle w:val="NormalWeb"/>
        <w:spacing w:before="0" w:beforeAutospacing="0" w:after="0" w:afterAutospacing="0" w:line="360" w:lineRule="auto"/>
        <w:ind w:left="720" w:firstLine="720"/>
        <w:jc w:val="both"/>
        <w:rPr>
          <w:rFonts w:asciiTheme="minorHAnsi" w:hAnsiTheme="minorHAnsi"/>
        </w:rPr>
      </w:pPr>
      <w:r w:rsidRPr="006A767D">
        <w:rPr>
          <w:rFonts w:asciiTheme="minorHAnsi" w:hAnsiTheme="minorHAnsi"/>
        </w:rPr>
        <w:t xml:space="preserve">Similar to Joint venture, investment in associate is accounted by equity method as mentioned above. </w:t>
      </w:r>
    </w:p>
    <w:p w:rsidR="006D4CC1" w:rsidRPr="006A767D" w:rsidRDefault="006A767D" w:rsidP="006A767D">
      <w:pPr>
        <w:spacing w:line="360" w:lineRule="auto"/>
        <w:rPr>
          <w:sz w:val="24"/>
          <w:szCs w:val="24"/>
          <w:u w:val="single"/>
        </w:rPr>
      </w:pPr>
      <w:r w:rsidRPr="006A767D">
        <w:rPr>
          <w:sz w:val="24"/>
          <w:szCs w:val="24"/>
          <w:u w:val="single"/>
        </w:rPr>
        <w:t xml:space="preserve">Financial Statement Analysis </w:t>
      </w:r>
    </w:p>
    <w:p w:rsidR="006D4CC1" w:rsidRPr="006A767D" w:rsidRDefault="003B18E2" w:rsidP="006A767D">
      <w:pPr>
        <w:pStyle w:val="ListParagraph"/>
        <w:numPr>
          <w:ilvl w:val="0"/>
          <w:numId w:val="11"/>
        </w:numPr>
        <w:spacing w:line="360" w:lineRule="auto"/>
        <w:rPr>
          <w:sz w:val="24"/>
          <w:szCs w:val="24"/>
        </w:rPr>
      </w:pPr>
      <w:r w:rsidRPr="006A767D">
        <w:rPr>
          <w:noProof/>
          <w:sz w:val="24"/>
          <w:szCs w:val="24"/>
          <w:lang w:eastAsia="en-US" w:bidi="ta-IN"/>
        </w:rPr>
        <w:drawing>
          <wp:anchor distT="0" distB="0" distL="114300" distR="114300" simplePos="0" relativeHeight="251661312" behindDoc="0" locked="0" layoutInCell="1" allowOverlap="1" wp14:anchorId="1E0A4AEF" wp14:editId="0BE96BA0">
            <wp:simplePos x="0" y="0"/>
            <wp:positionH relativeFrom="column">
              <wp:posOffset>1028700</wp:posOffset>
            </wp:positionH>
            <wp:positionV relativeFrom="paragraph">
              <wp:posOffset>483235</wp:posOffset>
            </wp:positionV>
            <wp:extent cx="4147820" cy="2752725"/>
            <wp:effectExtent l="0" t="0" r="508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7820" cy="27527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6A767D" w:rsidRPr="006A767D">
        <w:rPr>
          <w:sz w:val="24"/>
          <w:szCs w:val="24"/>
        </w:rPr>
        <w:t xml:space="preserve">The schematic diagram representing the relationship is as follow: </w:t>
      </w:r>
    </w:p>
    <w:p w:rsidR="006D4CC1" w:rsidRPr="006A767D" w:rsidRDefault="006D4CC1" w:rsidP="006A767D">
      <w:pPr>
        <w:spacing w:line="360" w:lineRule="auto"/>
        <w:rPr>
          <w:sz w:val="24"/>
          <w:szCs w:val="24"/>
        </w:rPr>
      </w:pPr>
    </w:p>
    <w:p w:rsidR="00F932D7" w:rsidRPr="006A767D" w:rsidRDefault="00F932D7" w:rsidP="006A767D">
      <w:pPr>
        <w:spacing w:line="360" w:lineRule="auto"/>
        <w:rPr>
          <w:sz w:val="24"/>
          <w:szCs w:val="24"/>
        </w:rPr>
      </w:pPr>
    </w:p>
    <w:p w:rsidR="00F932D7" w:rsidRPr="006A767D" w:rsidRDefault="00F932D7" w:rsidP="006A767D">
      <w:pPr>
        <w:spacing w:line="360" w:lineRule="auto"/>
        <w:rPr>
          <w:sz w:val="24"/>
          <w:szCs w:val="24"/>
        </w:rPr>
      </w:pPr>
    </w:p>
    <w:p w:rsidR="006D4CC1" w:rsidRPr="006A767D" w:rsidRDefault="006D4CC1" w:rsidP="006A767D">
      <w:pPr>
        <w:spacing w:line="360" w:lineRule="auto"/>
        <w:rPr>
          <w:sz w:val="24"/>
          <w:szCs w:val="24"/>
        </w:rPr>
      </w:pPr>
    </w:p>
    <w:p w:rsidR="006D4CC1" w:rsidRPr="006A767D" w:rsidRDefault="006D4CC1" w:rsidP="006A767D">
      <w:pPr>
        <w:spacing w:line="360" w:lineRule="auto"/>
        <w:rPr>
          <w:sz w:val="24"/>
          <w:szCs w:val="24"/>
        </w:rPr>
      </w:pPr>
    </w:p>
    <w:p w:rsidR="006D4CC1" w:rsidRDefault="006D4CC1" w:rsidP="006A767D">
      <w:pPr>
        <w:spacing w:line="360" w:lineRule="auto"/>
        <w:rPr>
          <w:sz w:val="24"/>
          <w:szCs w:val="24"/>
        </w:rPr>
      </w:pPr>
    </w:p>
    <w:p w:rsidR="003B18E2" w:rsidRPr="006A767D" w:rsidRDefault="003B18E2" w:rsidP="006A767D">
      <w:pPr>
        <w:spacing w:line="360" w:lineRule="auto"/>
        <w:rPr>
          <w:sz w:val="24"/>
          <w:szCs w:val="24"/>
        </w:rPr>
      </w:pPr>
    </w:p>
    <w:p w:rsidR="00E62D10" w:rsidRPr="006A767D" w:rsidRDefault="00E62D10" w:rsidP="006A767D">
      <w:pPr>
        <w:pStyle w:val="ListParagraph"/>
        <w:numPr>
          <w:ilvl w:val="0"/>
          <w:numId w:val="11"/>
        </w:numPr>
        <w:spacing w:line="360" w:lineRule="auto"/>
        <w:ind w:hanging="720"/>
        <w:jc w:val="both"/>
        <w:rPr>
          <w:sz w:val="24"/>
          <w:szCs w:val="24"/>
        </w:rPr>
      </w:pPr>
      <w:r w:rsidRPr="006A767D">
        <w:rPr>
          <w:sz w:val="24"/>
          <w:szCs w:val="24"/>
        </w:rPr>
        <w:lastRenderedPageBreak/>
        <w:t xml:space="preserve">The related parties with which LHIC had transactions in 2013 are LMI, </w:t>
      </w:r>
      <w:r w:rsidR="005F17A3" w:rsidRPr="006A767D">
        <w:rPr>
          <w:sz w:val="24"/>
          <w:szCs w:val="24"/>
        </w:rPr>
        <w:t>Free to Guest Movies Ltd.</w:t>
      </w:r>
      <w:r w:rsidR="00381300">
        <w:rPr>
          <w:sz w:val="24"/>
          <w:szCs w:val="24"/>
        </w:rPr>
        <w:t>,</w:t>
      </w:r>
      <w:r w:rsidR="005F17A3" w:rsidRPr="006A767D">
        <w:rPr>
          <w:sz w:val="24"/>
          <w:szCs w:val="24"/>
        </w:rPr>
        <w:t xml:space="preserve"> Lakeview Flag licensing general partnership, Lakeview Flag management general partnership, XYZ Design Inc, and</w:t>
      </w:r>
      <w:r w:rsidRPr="006A767D">
        <w:rPr>
          <w:sz w:val="24"/>
          <w:szCs w:val="24"/>
        </w:rPr>
        <w:t xml:space="preserve"> Keith Levit Photography. </w:t>
      </w:r>
    </w:p>
    <w:p w:rsidR="00127926" w:rsidRPr="006A767D" w:rsidRDefault="009B2C10" w:rsidP="006A767D">
      <w:pPr>
        <w:pStyle w:val="ListParagraph"/>
        <w:numPr>
          <w:ilvl w:val="0"/>
          <w:numId w:val="1"/>
        </w:numPr>
        <w:spacing w:line="360" w:lineRule="auto"/>
        <w:jc w:val="both"/>
        <w:rPr>
          <w:sz w:val="24"/>
          <w:szCs w:val="24"/>
        </w:rPr>
      </w:pPr>
      <w:r w:rsidRPr="006A767D">
        <w:rPr>
          <w:sz w:val="24"/>
          <w:szCs w:val="24"/>
        </w:rPr>
        <w:t xml:space="preserve">Hotel real estate ownership: </w:t>
      </w:r>
      <w:r w:rsidR="00127926" w:rsidRPr="006A767D">
        <w:rPr>
          <w:sz w:val="24"/>
          <w:szCs w:val="24"/>
        </w:rPr>
        <w:t>LMI</w:t>
      </w:r>
      <w:r w:rsidR="00D61E89" w:rsidRPr="006A767D">
        <w:rPr>
          <w:sz w:val="24"/>
          <w:szCs w:val="24"/>
        </w:rPr>
        <w:t xml:space="preserve"> owns 42 hotels and LHIC owns 1</w:t>
      </w:r>
      <w:r w:rsidR="00E75DE5" w:rsidRPr="006A767D">
        <w:rPr>
          <w:sz w:val="24"/>
          <w:szCs w:val="24"/>
        </w:rPr>
        <w:t>6</w:t>
      </w:r>
      <w:r w:rsidR="00D61E89" w:rsidRPr="006A767D">
        <w:rPr>
          <w:sz w:val="24"/>
          <w:szCs w:val="24"/>
        </w:rPr>
        <w:t xml:space="preserve"> hotels.</w:t>
      </w:r>
    </w:p>
    <w:p w:rsidR="006312FF" w:rsidRPr="006A767D" w:rsidRDefault="006312FF" w:rsidP="006A767D">
      <w:pPr>
        <w:pStyle w:val="ListParagraph"/>
        <w:numPr>
          <w:ilvl w:val="0"/>
          <w:numId w:val="1"/>
        </w:numPr>
        <w:spacing w:line="360" w:lineRule="auto"/>
        <w:jc w:val="both"/>
        <w:rPr>
          <w:sz w:val="24"/>
          <w:szCs w:val="24"/>
        </w:rPr>
      </w:pPr>
      <w:r w:rsidRPr="006A767D">
        <w:rPr>
          <w:sz w:val="24"/>
          <w:szCs w:val="24"/>
        </w:rPr>
        <w:t>Hotel management services:</w:t>
      </w:r>
    </w:p>
    <w:p w:rsidR="00127926" w:rsidRPr="006A767D" w:rsidRDefault="000740C8" w:rsidP="006A767D">
      <w:pPr>
        <w:pStyle w:val="ListParagraph"/>
        <w:spacing w:line="360" w:lineRule="auto"/>
        <w:jc w:val="both"/>
        <w:rPr>
          <w:sz w:val="24"/>
          <w:szCs w:val="24"/>
        </w:rPr>
      </w:pPr>
      <w:r w:rsidRPr="006A767D">
        <w:rPr>
          <w:sz w:val="24"/>
          <w:szCs w:val="24"/>
        </w:rPr>
        <w:t>Lakeview Flag Management General Partnership (LFMGP)</w:t>
      </w:r>
      <w:r w:rsidR="003822C4" w:rsidRPr="006A767D">
        <w:rPr>
          <w:sz w:val="24"/>
          <w:szCs w:val="24"/>
        </w:rPr>
        <w:t xml:space="preserve"> receives </w:t>
      </w:r>
      <w:r w:rsidR="003D69F4" w:rsidRPr="006A767D">
        <w:rPr>
          <w:sz w:val="24"/>
          <w:szCs w:val="24"/>
        </w:rPr>
        <w:t>fee for management services to each limited service company property which equal to 5% of gross revenue and to each full service company property for a fee equal to 4% of gross revenue. The LFLGP’s net income is $ 1,880,767</w:t>
      </w:r>
      <w:r w:rsidRPr="006A767D">
        <w:rPr>
          <w:sz w:val="24"/>
          <w:szCs w:val="24"/>
        </w:rPr>
        <w:t xml:space="preserve"> and LHIC entitles $ 470,192 which represents 25% of LFMGP’s net income. </w:t>
      </w:r>
    </w:p>
    <w:p w:rsidR="006312FF" w:rsidRPr="006A767D" w:rsidRDefault="006312FF" w:rsidP="006A767D">
      <w:pPr>
        <w:pStyle w:val="ListParagraph"/>
        <w:numPr>
          <w:ilvl w:val="0"/>
          <w:numId w:val="1"/>
        </w:numPr>
        <w:spacing w:line="360" w:lineRule="auto"/>
        <w:jc w:val="both"/>
        <w:rPr>
          <w:sz w:val="24"/>
          <w:szCs w:val="24"/>
        </w:rPr>
      </w:pPr>
      <w:r w:rsidRPr="006A767D">
        <w:rPr>
          <w:sz w:val="24"/>
          <w:szCs w:val="24"/>
        </w:rPr>
        <w:t>Franchising the brand and trademarks for “Lakeview Inn&amp; Suites” and “Lakeview Resorts”</w:t>
      </w:r>
    </w:p>
    <w:p w:rsidR="006312FF" w:rsidRPr="006A767D" w:rsidRDefault="006312FF" w:rsidP="006A767D">
      <w:pPr>
        <w:pStyle w:val="ListParagraph"/>
        <w:spacing w:line="360" w:lineRule="auto"/>
        <w:jc w:val="both"/>
        <w:rPr>
          <w:sz w:val="24"/>
          <w:szCs w:val="24"/>
        </w:rPr>
      </w:pPr>
      <w:r w:rsidRPr="006A767D">
        <w:rPr>
          <w:sz w:val="24"/>
          <w:szCs w:val="24"/>
        </w:rPr>
        <w:t xml:space="preserve">Lakeview Flag Licensing General Partnership </w:t>
      </w:r>
      <w:r w:rsidR="00127926" w:rsidRPr="006A767D">
        <w:rPr>
          <w:sz w:val="24"/>
          <w:szCs w:val="24"/>
        </w:rPr>
        <w:t>holds</w:t>
      </w:r>
      <w:r w:rsidRPr="006A767D">
        <w:rPr>
          <w:sz w:val="24"/>
          <w:szCs w:val="24"/>
        </w:rPr>
        <w:t xml:space="preserve"> the </w:t>
      </w:r>
      <w:r w:rsidR="00127926" w:rsidRPr="006A767D">
        <w:rPr>
          <w:sz w:val="24"/>
          <w:szCs w:val="24"/>
        </w:rPr>
        <w:t>trademarks</w:t>
      </w:r>
      <w:r w:rsidRPr="006A767D">
        <w:rPr>
          <w:sz w:val="24"/>
          <w:szCs w:val="24"/>
        </w:rPr>
        <w:t xml:space="preserve"> and </w:t>
      </w:r>
      <w:r w:rsidR="00127926" w:rsidRPr="006A767D">
        <w:rPr>
          <w:sz w:val="24"/>
          <w:szCs w:val="24"/>
        </w:rPr>
        <w:t>trade</w:t>
      </w:r>
      <w:r w:rsidRPr="006A767D">
        <w:rPr>
          <w:sz w:val="24"/>
          <w:szCs w:val="24"/>
        </w:rPr>
        <w:t xml:space="preserve"> </w:t>
      </w:r>
      <w:r w:rsidR="00127926" w:rsidRPr="006A767D">
        <w:rPr>
          <w:sz w:val="24"/>
          <w:szCs w:val="24"/>
        </w:rPr>
        <w:t>names of “Lakeview Inn &amp; Suites” and “Lakeview resorts”</w:t>
      </w:r>
    </w:p>
    <w:p w:rsidR="00E62D10" w:rsidRPr="006A767D" w:rsidRDefault="00E23426" w:rsidP="006A767D">
      <w:pPr>
        <w:spacing w:line="360" w:lineRule="auto"/>
        <w:rPr>
          <w:sz w:val="24"/>
          <w:szCs w:val="24"/>
        </w:rPr>
      </w:pPr>
      <w:r w:rsidRPr="006A767D">
        <w:rPr>
          <w:b/>
          <w:sz w:val="24"/>
          <w:szCs w:val="24"/>
        </w:rPr>
        <w:t>4</w:t>
      </w:r>
      <w:r w:rsidR="006A767D" w:rsidRPr="006A767D">
        <w:rPr>
          <w:b/>
          <w:sz w:val="24"/>
          <w:szCs w:val="24"/>
        </w:rPr>
        <w:t>)</w:t>
      </w:r>
      <w:r w:rsidR="006A767D" w:rsidRPr="006A767D">
        <w:rPr>
          <w:b/>
          <w:sz w:val="24"/>
          <w:szCs w:val="24"/>
        </w:rPr>
        <w:tab/>
      </w:r>
      <w:r w:rsidRPr="006A767D">
        <w:rPr>
          <w:sz w:val="24"/>
          <w:szCs w:val="24"/>
        </w:rPr>
        <w:t xml:space="preserve"> </w:t>
      </w:r>
      <w:r w:rsidR="00424956" w:rsidRPr="006A767D">
        <w:rPr>
          <w:sz w:val="24"/>
          <w:szCs w:val="24"/>
        </w:rPr>
        <w:t>The transa</w:t>
      </w:r>
      <w:r w:rsidR="006A767D" w:rsidRPr="006A767D">
        <w:rPr>
          <w:sz w:val="24"/>
          <w:szCs w:val="24"/>
        </w:rPr>
        <w:t xml:space="preserve">ctions between LHIC and LMI are: </w:t>
      </w:r>
    </w:p>
    <w:p w:rsidR="00424956" w:rsidRPr="006A767D" w:rsidRDefault="00424956" w:rsidP="006A767D">
      <w:pPr>
        <w:spacing w:line="360" w:lineRule="auto"/>
        <w:ind w:firstLine="720"/>
        <w:rPr>
          <w:sz w:val="24"/>
          <w:szCs w:val="24"/>
        </w:rPr>
      </w:pPr>
      <w:r w:rsidRPr="006A767D">
        <w:rPr>
          <w:sz w:val="24"/>
          <w:szCs w:val="24"/>
        </w:rPr>
        <w:t>Marketing expense</w:t>
      </w:r>
      <w:r w:rsidR="00E75DE5" w:rsidRPr="006A767D">
        <w:rPr>
          <w:sz w:val="24"/>
          <w:szCs w:val="24"/>
        </w:rPr>
        <w:t xml:space="preserve"> fee</w:t>
      </w:r>
      <w:r w:rsidRPr="006A767D">
        <w:rPr>
          <w:sz w:val="24"/>
          <w:szCs w:val="24"/>
        </w:rPr>
        <w:t>: $256,845</w:t>
      </w:r>
    </w:p>
    <w:p w:rsidR="00424956" w:rsidRPr="006A767D" w:rsidRDefault="00424956" w:rsidP="006A767D">
      <w:pPr>
        <w:spacing w:line="360" w:lineRule="auto"/>
        <w:ind w:firstLine="720"/>
        <w:rPr>
          <w:sz w:val="24"/>
          <w:szCs w:val="24"/>
        </w:rPr>
      </w:pPr>
      <w:r w:rsidRPr="006A767D">
        <w:rPr>
          <w:sz w:val="24"/>
          <w:szCs w:val="24"/>
        </w:rPr>
        <w:t>Accounting fees paid: $577,686</w:t>
      </w:r>
    </w:p>
    <w:p w:rsidR="00E75DE5" w:rsidRPr="006A767D" w:rsidRDefault="00E75DE5" w:rsidP="006A767D">
      <w:pPr>
        <w:spacing w:line="360" w:lineRule="auto"/>
        <w:ind w:firstLine="720"/>
        <w:rPr>
          <w:sz w:val="24"/>
          <w:szCs w:val="24"/>
        </w:rPr>
      </w:pPr>
      <w:r w:rsidRPr="006A767D">
        <w:rPr>
          <w:sz w:val="24"/>
          <w:szCs w:val="24"/>
        </w:rPr>
        <w:t>Management fees: 1,410,981</w:t>
      </w:r>
    </w:p>
    <w:p w:rsidR="00424956" w:rsidRPr="006A767D" w:rsidRDefault="00424956" w:rsidP="006A767D">
      <w:pPr>
        <w:spacing w:line="360" w:lineRule="auto"/>
        <w:ind w:firstLine="720"/>
        <w:rPr>
          <w:sz w:val="24"/>
          <w:szCs w:val="24"/>
        </w:rPr>
      </w:pPr>
      <w:r w:rsidRPr="006A767D">
        <w:rPr>
          <w:sz w:val="24"/>
          <w:szCs w:val="24"/>
        </w:rPr>
        <w:t>Asset management fee: $289,992</w:t>
      </w:r>
    </w:p>
    <w:p w:rsidR="00424956" w:rsidRPr="006A767D" w:rsidRDefault="00424956" w:rsidP="006A767D">
      <w:pPr>
        <w:spacing w:line="360" w:lineRule="auto"/>
        <w:ind w:firstLine="720"/>
        <w:rPr>
          <w:sz w:val="24"/>
          <w:szCs w:val="24"/>
        </w:rPr>
      </w:pPr>
      <w:r w:rsidRPr="006A767D">
        <w:rPr>
          <w:sz w:val="24"/>
          <w:szCs w:val="24"/>
        </w:rPr>
        <w:t>Reservation fees: $ 385,270</w:t>
      </w:r>
    </w:p>
    <w:p w:rsidR="00E75DE5" w:rsidRPr="006A767D" w:rsidRDefault="00E75DE5" w:rsidP="006A767D">
      <w:pPr>
        <w:spacing w:line="360" w:lineRule="auto"/>
        <w:ind w:firstLine="720"/>
        <w:rPr>
          <w:sz w:val="24"/>
          <w:szCs w:val="24"/>
        </w:rPr>
      </w:pPr>
      <w:r w:rsidRPr="006A767D">
        <w:rPr>
          <w:sz w:val="24"/>
          <w:szCs w:val="24"/>
        </w:rPr>
        <w:t>License fee: $ 524,332</w:t>
      </w:r>
    </w:p>
    <w:p w:rsidR="00381300" w:rsidRDefault="00424956" w:rsidP="006A767D">
      <w:pPr>
        <w:spacing w:line="360" w:lineRule="auto"/>
        <w:ind w:left="720" w:hanging="720"/>
        <w:jc w:val="both"/>
        <w:rPr>
          <w:sz w:val="24"/>
          <w:szCs w:val="24"/>
        </w:rPr>
      </w:pPr>
      <w:r w:rsidRPr="006A767D">
        <w:rPr>
          <w:b/>
          <w:sz w:val="24"/>
          <w:szCs w:val="24"/>
        </w:rPr>
        <w:t>5</w:t>
      </w:r>
      <w:r w:rsidR="006A767D" w:rsidRPr="006A767D">
        <w:rPr>
          <w:b/>
          <w:sz w:val="24"/>
          <w:szCs w:val="24"/>
        </w:rPr>
        <w:t>)</w:t>
      </w:r>
      <w:r w:rsidRPr="006A767D">
        <w:rPr>
          <w:sz w:val="24"/>
          <w:szCs w:val="24"/>
        </w:rPr>
        <w:t xml:space="preserve"> </w:t>
      </w:r>
      <w:r w:rsidR="006A767D" w:rsidRPr="006A767D">
        <w:rPr>
          <w:sz w:val="24"/>
          <w:szCs w:val="24"/>
        </w:rPr>
        <w:tab/>
      </w:r>
      <w:r w:rsidR="00381300">
        <w:rPr>
          <w:sz w:val="24"/>
          <w:szCs w:val="24"/>
        </w:rPr>
        <w:t xml:space="preserve">The nature and amount of transactions are as follow: </w:t>
      </w:r>
    </w:p>
    <w:p w:rsidR="00424956" w:rsidRPr="006A767D" w:rsidRDefault="00381300" w:rsidP="00381300">
      <w:pPr>
        <w:spacing w:line="360" w:lineRule="auto"/>
        <w:ind w:left="720"/>
        <w:jc w:val="both"/>
        <w:rPr>
          <w:sz w:val="24"/>
          <w:szCs w:val="24"/>
        </w:rPr>
      </w:pPr>
      <w:r>
        <w:rPr>
          <w:sz w:val="24"/>
          <w:szCs w:val="24"/>
        </w:rPr>
        <w:t xml:space="preserve">(i) </w:t>
      </w:r>
      <w:r w:rsidR="00424956" w:rsidRPr="006A767D">
        <w:rPr>
          <w:sz w:val="24"/>
          <w:szCs w:val="24"/>
        </w:rPr>
        <w:t xml:space="preserve">The </w:t>
      </w:r>
      <w:r w:rsidR="002D13A6" w:rsidRPr="006A767D">
        <w:rPr>
          <w:sz w:val="24"/>
          <w:szCs w:val="24"/>
        </w:rPr>
        <w:t>management fees paid to</w:t>
      </w:r>
      <w:r w:rsidR="00424956" w:rsidRPr="006A767D">
        <w:rPr>
          <w:sz w:val="24"/>
          <w:szCs w:val="24"/>
        </w:rPr>
        <w:t xml:space="preserve"> LFMGP is $ 1,881,</w:t>
      </w:r>
      <w:r w:rsidR="00D61E89" w:rsidRPr="006A767D">
        <w:rPr>
          <w:sz w:val="24"/>
          <w:szCs w:val="24"/>
        </w:rPr>
        <w:t>767</w:t>
      </w:r>
      <w:r w:rsidR="00424956" w:rsidRPr="006A767D">
        <w:rPr>
          <w:sz w:val="24"/>
          <w:szCs w:val="24"/>
        </w:rPr>
        <w:t xml:space="preserve">. </w:t>
      </w:r>
      <w:r>
        <w:rPr>
          <w:sz w:val="24"/>
          <w:szCs w:val="24"/>
        </w:rPr>
        <w:t>(ii)</w:t>
      </w:r>
      <w:r w:rsidR="00307FDB" w:rsidRPr="006A767D">
        <w:rPr>
          <w:sz w:val="24"/>
          <w:szCs w:val="24"/>
        </w:rPr>
        <w:t>The equity income from LF</w:t>
      </w:r>
      <w:r w:rsidR="008F6169" w:rsidRPr="006A767D">
        <w:rPr>
          <w:sz w:val="24"/>
          <w:szCs w:val="24"/>
        </w:rPr>
        <w:t>M</w:t>
      </w:r>
      <w:r w:rsidR="00307FDB" w:rsidRPr="006A767D">
        <w:rPr>
          <w:sz w:val="24"/>
          <w:szCs w:val="24"/>
        </w:rPr>
        <w:t xml:space="preserve">GP in accrual base is $470,102 and the cash distribution received from LFLGP is $464,500. </w:t>
      </w:r>
      <w:r w:rsidR="00E43EDD" w:rsidRPr="006A767D">
        <w:rPr>
          <w:sz w:val="24"/>
          <w:szCs w:val="24"/>
        </w:rPr>
        <w:t xml:space="preserve"> </w:t>
      </w:r>
      <w:r>
        <w:rPr>
          <w:sz w:val="24"/>
          <w:szCs w:val="24"/>
        </w:rPr>
        <w:t xml:space="preserve">(iii) </w:t>
      </w:r>
      <w:r w:rsidR="00E43EDD" w:rsidRPr="006A767D">
        <w:rPr>
          <w:sz w:val="24"/>
          <w:szCs w:val="24"/>
        </w:rPr>
        <w:t xml:space="preserve">The transfer of fund into LFMGP is the licenses fees of $1,881,309. The Funds </w:t>
      </w:r>
      <w:r w:rsidR="00D61E89" w:rsidRPr="006A767D">
        <w:rPr>
          <w:sz w:val="24"/>
          <w:szCs w:val="24"/>
        </w:rPr>
        <w:t>transfer out of LFMGP includes</w:t>
      </w:r>
      <w:r w:rsidR="00E43EDD" w:rsidRPr="006A767D">
        <w:rPr>
          <w:sz w:val="24"/>
          <w:szCs w:val="24"/>
        </w:rPr>
        <w:t xml:space="preserve"> the distribution of $464,500 to LHIC and </w:t>
      </w:r>
      <w:r w:rsidR="00D61E89" w:rsidRPr="006A767D">
        <w:rPr>
          <w:sz w:val="24"/>
          <w:szCs w:val="24"/>
        </w:rPr>
        <w:t xml:space="preserve">the LMI </w:t>
      </w:r>
      <w:r w:rsidR="00D61E89" w:rsidRPr="006A767D">
        <w:rPr>
          <w:sz w:val="24"/>
          <w:szCs w:val="24"/>
        </w:rPr>
        <w:lastRenderedPageBreak/>
        <w:t>shares 75% of $1,881,767 of net income</w:t>
      </w:r>
      <w:r w:rsidR="008F6169" w:rsidRPr="006A767D">
        <w:rPr>
          <w:sz w:val="24"/>
          <w:szCs w:val="24"/>
        </w:rPr>
        <w:t xml:space="preserve"> which equals to $1,41</w:t>
      </w:r>
      <w:r w:rsidR="002043DB" w:rsidRPr="006A767D">
        <w:rPr>
          <w:sz w:val="24"/>
          <w:szCs w:val="24"/>
        </w:rPr>
        <w:t>0,57</w:t>
      </w:r>
      <w:r w:rsidR="008F6169" w:rsidRPr="006A767D">
        <w:rPr>
          <w:sz w:val="24"/>
          <w:szCs w:val="24"/>
        </w:rPr>
        <w:t>5.25</w:t>
      </w:r>
      <w:r w:rsidR="00D61E89" w:rsidRPr="006A767D">
        <w:rPr>
          <w:sz w:val="24"/>
          <w:szCs w:val="24"/>
        </w:rPr>
        <w:t xml:space="preserve">.  The actual </w:t>
      </w:r>
      <w:r w:rsidR="008F6169" w:rsidRPr="006A767D">
        <w:rPr>
          <w:sz w:val="24"/>
          <w:szCs w:val="24"/>
        </w:rPr>
        <w:t xml:space="preserve">cash </w:t>
      </w:r>
      <w:r w:rsidR="00D61E89" w:rsidRPr="006A767D">
        <w:rPr>
          <w:sz w:val="24"/>
          <w:szCs w:val="24"/>
        </w:rPr>
        <w:t xml:space="preserve">amount that transfer to LMI is not disclosed. </w:t>
      </w:r>
    </w:p>
    <w:p w:rsidR="002D13A6" w:rsidRPr="006A767D" w:rsidRDefault="00307FDB" w:rsidP="00381300">
      <w:pPr>
        <w:spacing w:line="360" w:lineRule="auto"/>
        <w:ind w:left="720" w:firstLine="720"/>
        <w:jc w:val="both"/>
        <w:rPr>
          <w:sz w:val="24"/>
          <w:szCs w:val="24"/>
        </w:rPr>
      </w:pPr>
      <w:r w:rsidRPr="006A767D">
        <w:rPr>
          <w:sz w:val="24"/>
          <w:szCs w:val="24"/>
        </w:rPr>
        <w:t xml:space="preserve">Lakeview Flag Management General Partnership is collectively owned by LMI and LHIC. </w:t>
      </w:r>
      <w:r w:rsidR="00F64568" w:rsidRPr="006A767D">
        <w:rPr>
          <w:sz w:val="24"/>
          <w:szCs w:val="24"/>
        </w:rPr>
        <w:t xml:space="preserve">LFMGP earns management fee from LHIC.  According to schematic diagram, the income earned by LFMGP is distributed to LHIC and LMI. </w:t>
      </w:r>
      <w:r w:rsidRPr="006A767D">
        <w:rPr>
          <w:sz w:val="24"/>
          <w:szCs w:val="24"/>
        </w:rPr>
        <w:t xml:space="preserve">The General Partnership manages LHIC hotels and is designed to provide LHIC with an ongoing source of management fee revenue and to lessen LHIC’s requirements for employees and office space. </w:t>
      </w:r>
      <w:r w:rsidR="002D13A6" w:rsidRPr="006A767D">
        <w:rPr>
          <w:sz w:val="24"/>
          <w:szCs w:val="24"/>
        </w:rPr>
        <w:t>All the revenue of LFMGP was driven from LHIC. Thus, the LHIC is very significant to LFMGP’s operation.</w:t>
      </w:r>
    </w:p>
    <w:p w:rsidR="00424956" w:rsidRPr="006A767D" w:rsidRDefault="002D13A6" w:rsidP="006A767D">
      <w:pPr>
        <w:spacing w:line="360" w:lineRule="auto"/>
        <w:ind w:left="720" w:hanging="720"/>
        <w:jc w:val="both"/>
        <w:rPr>
          <w:sz w:val="24"/>
          <w:szCs w:val="24"/>
        </w:rPr>
      </w:pPr>
      <w:r w:rsidRPr="006A767D">
        <w:rPr>
          <w:b/>
          <w:sz w:val="24"/>
          <w:szCs w:val="24"/>
        </w:rPr>
        <w:t>6</w:t>
      </w:r>
      <w:r w:rsidR="006A767D" w:rsidRPr="006A767D">
        <w:rPr>
          <w:sz w:val="24"/>
          <w:szCs w:val="24"/>
        </w:rPr>
        <w:t>)</w:t>
      </w:r>
      <w:r w:rsidRPr="006A767D">
        <w:rPr>
          <w:sz w:val="24"/>
          <w:szCs w:val="24"/>
        </w:rPr>
        <w:t xml:space="preserve"> </w:t>
      </w:r>
      <w:r w:rsidR="006A767D" w:rsidRPr="006A767D">
        <w:rPr>
          <w:sz w:val="24"/>
          <w:szCs w:val="24"/>
        </w:rPr>
        <w:tab/>
      </w:r>
      <w:r w:rsidRPr="006A767D">
        <w:rPr>
          <w:sz w:val="24"/>
          <w:szCs w:val="24"/>
        </w:rPr>
        <w:t xml:space="preserve">The transaction between LHIC and LFLGP includes license fees paid to LFLGP </w:t>
      </w:r>
      <w:r w:rsidR="00381300">
        <w:rPr>
          <w:sz w:val="24"/>
          <w:szCs w:val="24"/>
        </w:rPr>
        <w:t xml:space="preserve">for the amount of </w:t>
      </w:r>
      <w:r w:rsidRPr="006A767D">
        <w:rPr>
          <w:sz w:val="24"/>
          <w:szCs w:val="24"/>
        </w:rPr>
        <w:t xml:space="preserve">$1,028,102. The income from </w:t>
      </w:r>
      <w:r w:rsidR="008F6169" w:rsidRPr="006A767D">
        <w:rPr>
          <w:sz w:val="24"/>
          <w:szCs w:val="24"/>
        </w:rPr>
        <w:t xml:space="preserve">LFLGP in accrual base is $704,265 and the cash distribution received from LFLGP is $570,360. The funds transfer into LFLGP is $1,028,102 of license fees; the fund transfer out of LFLGP to LHIC is $570,360 of distribution.  LMI entitles 51% of income from LFLGP which is $733,010. The actual cash amount that transfer to LMI is not disclosed. </w:t>
      </w:r>
    </w:p>
    <w:p w:rsidR="005C6166" w:rsidRPr="006A767D" w:rsidRDefault="005C6166" w:rsidP="00381300">
      <w:pPr>
        <w:spacing w:line="360" w:lineRule="auto"/>
        <w:ind w:left="720" w:firstLine="720"/>
        <w:jc w:val="both"/>
        <w:rPr>
          <w:sz w:val="24"/>
          <w:szCs w:val="24"/>
        </w:rPr>
      </w:pPr>
      <w:r w:rsidRPr="006A767D">
        <w:rPr>
          <w:sz w:val="24"/>
          <w:szCs w:val="24"/>
        </w:rPr>
        <w:t xml:space="preserve">Lakeview Flag Licensing General partnership is jointly owned by LMI and LHIC. </w:t>
      </w:r>
      <w:r w:rsidR="00F64568" w:rsidRPr="006A767D">
        <w:rPr>
          <w:sz w:val="24"/>
          <w:szCs w:val="24"/>
        </w:rPr>
        <w:t xml:space="preserve">LFLGP earns licensing fee from LHIC and LMI.  According to schematic diagram, the income earned by LFLGP is distributed to LHIC and LMI. The </w:t>
      </w:r>
      <w:r w:rsidRPr="006A767D">
        <w:rPr>
          <w:sz w:val="24"/>
          <w:szCs w:val="24"/>
        </w:rPr>
        <w:t xml:space="preserve">license fees equal to 4% of gross room revenue. </w:t>
      </w:r>
      <w:r w:rsidR="00102B53" w:rsidRPr="006A767D">
        <w:rPr>
          <w:sz w:val="24"/>
          <w:szCs w:val="24"/>
        </w:rPr>
        <w:t>The principal purpose of the LFLGP is to hold the t</w:t>
      </w:r>
      <w:r w:rsidR="00F64568" w:rsidRPr="006A767D">
        <w:rPr>
          <w:sz w:val="24"/>
          <w:szCs w:val="24"/>
        </w:rPr>
        <w:t>rademarks, trade names ,operating procedures</w:t>
      </w:r>
      <w:r w:rsidR="00102B53" w:rsidRPr="006A767D">
        <w:rPr>
          <w:sz w:val="24"/>
          <w:szCs w:val="24"/>
        </w:rPr>
        <w:t>, systems, related items and goodwill associated with the hotel flags known as “Lakev</w:t>
      </w:r>
      <w:r w:rsidR="00381300">
        <w:rPr>
          <w:sz w:val="24"/>
          <w:szCs w:val="24"/>
        </w:rPr>
        <w:t>iew Inn&amp; Suites” and “</w:t>
      </w:r>
      <w:r w:rsidR="00102B53" w:rsidRPr="006A767D">
        <w:rPr>
          <w:sz w:val="24"/>
          <w:szCs w:val="24"/>
        </w:rPr>
        <w:t xml:space="preserve">Lakeview </w:t>
      </w:r>
      <w:r w:rsidR="00F64568" w:rsidRPr="006A767D">
        <w:rPr>
          <w:sz w:val="24"/>
          <w:szCs w:val="24"/>
        </w:rPr>
        <w:t xml:space="preserve">Resorts”. </w:t>
      </w:r>
      <w:r w:rsidR="00102B53" w:rsidRPr="006A767D">
        <w:rPr>
          <w:sz w:val="24"/>
          <w:szCs w:val="24"/>
        </w:rPr>
        <w:t>Some</w:t>
      </w:r>
      <w:r w:rsidRPr="006A767D">
        <w:rPr>
          <w:sz w:val="24"/>
          <w:szCs w:val="24"/>
        </w:rPr>
        <w:t xml:space="preserve"> of the license fees came from the properties </w:t>
      </w:r>
      <w:r w:rsidR="00102B53" w:rsidRPr="006A767D">
        <w:rPr>
          <w:sz w:val="24"/>
          <w:szCs w:val="24"/>
        </w:rPr>
        <w:t>owned by LMI and the rest came from the properties owned by LHIC. LHIC is less significant to LFLGP’s operation</w:t>
      </w:r>
      <w:r w:rsidR="00381300">
        <w:rPr>
          <w:sz w:val="24"/>
          <w:szCs w:val="24"/>
        </w:rPr>
        <w:t>s</w:t>
      </w:r>
      <w:r w:rsidR="00102B53" w:rsidRPr="006A767D">
        <w:rPr>
          <w:sz w:val="24"/>
          <w:szCs w:val="24"/>
        </w:rPr>
        <w:t xml:space="preserve"> compare</w:t>
      </w:r>
      <w:r w:rsidR="00381300">
        <w:rPr>
          <w:sz w:val="24"/>
          <w:szCs w:val="24"/>
        </w:rPr>
        <w:t>d to the significance</w:t>
      </w:r>
      <w:r w:rsidR="00102B53" w:rsidRPr="006A767D">
        <w:rPr>
          <w:sz w:val="24"/>
          <w:szCs w:val="24"/>
        </w:rPr>
        <w:t xml:space="preserve"> </w:t>
      </w:r>
      <w:r w:rsidR="00381300">
        <w:rPr>
          <w:sz w:val="24"/>
          <w:szCs w:val="24"/>
        </w:rPr>
        <w:t xml:space="preserve">of </w:t>
      </w:r>
      <w:r w:rsidR="00102B53" w:rsidRPr="006A767D">
        <w:rPr>
          <w:sz w:val="24"/>
          <w:szCs w:val="24"/>
        </w:rPr>
        <w:t xml:space="preserve">LHIC to LFLGP’s operation. The reason is </w:t>
      </w:r>
      <w:r w:rsidR="00F64568" w:rsidRPr="006A767D">
        <w:rPr>
          <w:sz w:val="24"/>
          <w:szCs w:val="24"/>
        </w:rPr>
        <w:t xml:space="preserve">that considerable amount of licensing fee was </w:t>
      </w:r>
      <w:r w:rsidR="00381300">
        <w:rPr>
          <w:sz w:val="24"/>
          <w:szCs w:val="24"/>
        </w:rPr>
        <w:t xml:space="preserve">derived </w:t>
      </w:r>
      <w:r w:rsidR="00F64568" w:rsidRPr="006A767D">
        <w:rPr>
          <w:sz w:val="24"/>
          <w:szCs w:val="24"/>
        </w:rPr>
        <w:t xml:space="preserve">from properties owned by LMI. </w:t>
      </w:r>
    </w:p>
    <w:p w:rsidR="00971FF8" w:rsidRPr="006A767D" w:rsidRDefault="006A767D" w:rsidP="006A767D">
      <w:pPr>
        <w:spacing w:line="360" w:lineRule="auto"/>
        <w:ind w:left="720" w:hanging="720"/>
        <w:jc w:val="both"/>
        <w:rPr>
          <w:sz w:val="24"/>
          <w:szCs w:val="24"/>
        </w:rPr>
      </w:pPr>
      <w:r w:rsidRPr="006A767D">
        <w:rPr>
          <w:b/>
          <w:sz w:val="24"/>
          <w:szCs w:val="24"/>
        </w:rPr>
        <w:t>7)</w:t>
      </w:r>
      <w:r w:rsidRPr="006A767D">
        <w:rPr>
          <w:b/>
          <w:sz w:val="24"/>
          <w:szCs w:val="24"/>
        </w:rPr>
        <w:tab/>
      </w:r>
      <w:r w:rsidRPr="006A767D">
        <w:rPr>
          <w:sz w:val="24"/>
          <w:szCs w:val="24"/>
        </w:rPr>
        <w:t xml:space="preserve"> </w:t>
      </w:r>
      <w:r w:rsidR="00971FF8" w:rsidRPr="006A767D">
        <w:rPr>
          <w:sz w:val="24"/>
          <w:szCs w:val="24"/>
        </w:rPr>
        <w:t xml:space="preserve">LHIC received management </w:t>
      </w:r>
      <w:r w:rsidR="009E20F9" w:rsidRPr="006A767D">
        <w:rPr>
          <w:sz w:val="24"/>
          <w:szCs w:val="24"/>
        </w:rPr>
        <w:t>advisory, administration, assets management, human resource, office space, equipment necessary clerical and secretarial personnel, accounting,</w:t>
      </w:r>
      <w:r w:rsidR="00971FF8" w:rsidRPr="006A767D">
        <w:rPr>
          <w:sz w:val="24"/>
          <w:szCs w:val="24"/>
        </w:rPr>
        <w:t xml:space="preserve"> marketing service</w:t>
      </w:r>
      <w:r w:rsidR="009E20F9" w:rsidRPr="006A767D">
        <w:rPr>
          <w:sz w:val="24"/>
          <w:szCs w:val="24"/>
        </w:rPr>
        <w:t xml:space="preserve">, and reservation service from LMI. </w:t>
      </w:r>
    </w:p>
    <w:p w:rsidR="009E20F9" w:rsidRPr="006A767D" w:rsidRDefault="009E20F9" w:rsidP="003B18E2">
      <w:pPr>
        <w:spacing w:line="360" w:lineRule="auto"/>
        <w:ind w:left="720" w:firstLine="720"/>
        <w:jc w:val="both"/>
        <w:rPr>
          <w:sz w:val="24"/>
          <w:szCs w:val="24"/>
        </w:rPr>
      </w:pPr>
      <w:r w:rsidRPr="006A767D">
        <w:rPr>
          <w:sz w:val="24"/>
          <w:szCs w:val="24"/>
        </w:rPr>
        <w:lastRenderedPageBreak/>
        <w:t xml:space="preserve">LHIC received movie rental service from Free to Guest Movies Ltd and also received supply of artwork from Keith Levit Photography. </w:t>
      </w:r>
    </w:p>
    <w:p w:rsidR="008B6E1F" w:rsidRPr="006A767D" w:rsidRDefault="00477F6D" w:rsidP="003B18E2">
      <w:pPr>
        <w:spacing w:line="360" w:lineRule="auto"/>
        <w:ind w:left="720" w:firstLine="45"/>
        <w:jc w:val="both"/>
        <w:rPr>
          <w:sz w:val="24"/>
          <w:szCs w:val="24"/>
        </w:rPr>
      </w:pPr>
      <w:r w:rsidRPr="006A767D">
        <w:rPr>
          <w:sz w:val="24"/>
          <w:szCs w:val="24"/>
        </w:rPr>
        <w:t>The fair value is the consideration received from selling an asset or paying a liability if the transaction is conducted in a principal market and measured at current market condition</w:t>
      </w:r>
      <w:r w:rsidR="008B6E1F" w:rsidRPr="006A767D">
        <w:rPr>
          <w:sz w:val="24"/>
          <w:szCs w:val="24"/>
        </w:rPr>
        <w:t xml:space="preserve">. </w:t>
      </w:r>
      <w:r w:rsidR="00B73DFB" w:rsidRPr="006A767D">
        <w:rPr>
          <w:sz w:val="24"/>
          <w:szCs w:val="24"/>
        </w:rPr>
        <w:t xml:space="preserve"> </w:t>
      </w:r>
    </w:p>
    <w:p w:rsidR="008B6E1F" w:rsidRPr="006A767D" w:rsidRDefault="008B6E1F" w:rsidP="003B18E2">
      <w:pPr>
        <w:spacing w:line="360" w:lineRule="auto"/>
        <w:ind w:left="720" w:firstLine="720"/>
        <w:jc w:val="both"/>
        <w:rPr>
          <w:sz w:val="24"/>
          <w:szCs w:val="24"/>
        </w:rPr>
      </w:pPr>
      <w:r w:rsidRPr="006A767D">
        <w:rPr>
          <w:sz w:val="24"/>
          <w:szCs w:val="24"/>
        </w:rPr>
        <w:t xml:space="preserve">The management fee charged by LMI and LFMGP </w:t>
      </w:r>
      <w:r w:rsidR="00E167CD" w:rsidRPr="006A767D">
        <w:rPr>
          <w:sz w:val="24"/>
          <w:szCs w:val="24"/>
        </w:rPr>
        <w:t xml:space="preserve">could be </w:t>
      </w:r>
      <w:r w:rsidRPr="006A767D">
        <w:rPr>
          <w:sz w:val="24"/>
          <w:szCs w:val="24"/>
        </w:rPr>
        <w:t xml:space="preserve">considered as fair value since the 4% of gross room revenue is within the 3%-5% of industry average. The licensing fee which equals to 4% of gross room revenue </w:t>
      </w:r>
      <w:r w:rsidR="00E167CD" w:rsidRPr="006A767D">
        <w:rPr>
          <w:sz w:val="24"/>
          <w:szCs w:val="24"/>
        </w:rPr>
        <w:t xml:space="preserve">could </w:t>
      </w:r>
      <w:r w:rsidRPr="006A767D">
        <w:rPr>
          <w:sz w:val="24"/>
          <w:szCs w:val="24"/>
        </w:rPr>
        <w:t xml:space="preserve">also </w:t>
      </w:r>
      <w:r w:rsidR="00E167CD" w:rsidRPr="006A767D">
        <w:rPr>
          <w:sz w:val="24"/>
          <w:szCs w:val="24"/>
        </w:rPr>
        <w:t xml:space="preserve">be </w:t>
      </w:r>
      <w:r w:rsidRPr="006A767D">
        <w:rPr>
          <w:sz w:val="24"/>
          <w:szCs w:val="24"/>
        </w:rPr>
        <w:t>considered as fair value since the industry average of franchise fee is 3%-15% of room revenues.</w:t>
      </w:r>
      <w:r w:rsidR="00E167CD" w:rsidRPr="006A767D">
        <w:rPr>
          <w:sz w:val="24"/>
          <w:szCs w:val="24"/>
        </w:rPr>
        <w:t xml:space="preserve"> </w:t>
      </w:r>
      <w:r w:rsidRPr="006A767D">
        <w:rPr>
          <w:sz w:val="24"/>
          <w:szCs w:val="24"/>
        </w:rPr>
        <w:t xml:space="preserve"> </w:t>
      </w:r>
    </w:p>
    <w:p w:rsidR="004D75AE" w:rsidRPr="006A767D" w:rsidRDefault="008B6E1F" w:rsidP="003B18E2">
      <w:pPr>
        <w:spacing w:line="360" w:lineRule="auto"/>
        <w:ind w:left="720" w:firstLine="720"/>
        <w:jc w:val="both"/>
        <w:rPr>
          <w:sz w:val="24"/>
          <w:szCs w:val="24"/>
        </w:rPr>
      </w:pPr>
      <w:r w:rsidRPr="006A767D">
        <w:rPr>
          <w:sz w:val="24"/>
          <w:szCs w:val="24"/>
        </w:rPr>
        <w:t xml:space="preserve">The remuneration of 50,000 </w:t>
      </w:r>
      <w:r w:rsidR="00BF7703" w:rsidRPr="006A767D">
        <w:rPr>
          <w:sz w:val="24"/>
          <w:szCs w:val="24"/>
        </w:rPr>
        <w:t>trusts</w:t>
      </w:r>
      <w:r w:rsidRPr="006A767D">
        <w:rPr>
          <w:sz w:val="24"/>
          <w:szCs w:val="24"/>
        </w:rPr>
        <w:t xml:space="preserve"> units of t</w:t>
      </w:r>
      <w:r w:rsidR="00381300">
        <w:rPr>
          <w:sz w:val="24"/>
          <w:szCs w:val="24"/>
        </w:rPr>
        <w:t xml:space="preserve">he Trust is </w:t>
      </w:r>
      <w:r w:rsidR="00381300" w:rsidRPr="006A767D">
        <w:rPr>
          <w:sz w:val="24"/>
          <w:szCs w:val="24"/>
        </w:rPr>
        <w:t>$</w:t>
      </w:r>
      <w:r w:rsidRPr="006A767D">
        <w:rPr>
          <w:sz w:val="24"/>
          <w:szCs w:val="24"/>
        </w:rPr>
        <w:t>1.00</w:t>
      </w:r>
      <w:r w:rsidR="00BF7703" w:rsidRPr="006A767D">
        <w:rPr>
          <w:sz w:val="24"/>
          <w:szCs w:val="24"/>
        </w:rPr>
        <w:t xml:space="preserve">. Such remuneration is considered as fair value since the shares are traded in stock exchange and the share prices have never reached $1.00 since 2010.  Therefore, $1.00 of exercise price </w:t>
      </w:r>
      <w:r w:rsidR="00262F56" w:rsidRPr="006A767D">
        <w:rPr>
          <w:sz w:val="24"/>
          <w:szCs w:val="24"/>
        </w:rPr>
        <w:t xml:space="preserve">should </w:t>
      </w:r>
      <w:r w:rsidR="00381300">
        <w:rPr>
          <w:sz w:val="24"/>
          <w:szCs w:val="24"/>
        </w:rPr>
        <w:t xml:space="preserve">be </w:t>
      </w:r>
      <w:r w:rsidR="00262F56" w:rsidRPr="006A767D">
        <w:rPr>
          <w:sz w:val="24"/>
          <w:szCs w:val="24"/>
        </w:rPr>
        <w:t>consider</w:t>
      </w:r>
      <w:r w:rsidR="00381300">
        <w:rPr>
          <w:sz w:val="24"/>
          <w:szCs w:val="24"/>
        </w:rPr>
        <w:t>ed</w:t>
      </w:r>
      <w:r w:rsidR="00262F56" w:rsidRPr="006A767D">
        <w:rPr>
          <w:sz w:val="24"/>
          <w:szCs w:val="24"/>
        </w:rPr>
        <w:t xml:space="preserve"> as fair value. </w:t>
      </w:r>
    </w:p>
    <w:p w:rsidR="004D75AE" w:rsidRPr="006A767D" w:rsidRDefault="00477F6D" w:rsidP="003B18E2">
      <w:pPr>
        <w:spacing w:line="360" w:lineRule="auto"/>
        <w:ind w:left="720" w:firstLine="720"/>
        <w:jc w:val="both"/>
        <w:rPr>
          <w:sz w:val="24"/>
          <w:szCs w:val="24"/>
        </w:rPr>
      </w:pPr>
      <w:r w:rsidRPr="006A767D">
        <w:rPr>
          <w:sz w:val="24"/>
          <w:szCs w:val="24"/>
        </w:rPr>
        <w:t xml:space="preserve">For asset management, LMI is remunerated for its services with an asset management fee based on 0.3% of the net book value of income properties. Such remuneration is not recorded at fair value and the deprecation policy of assets could affect the amount of total remuneration.  </w:t>
      </w:r>
    </w:p>
    <w:p w:rsidR="006152EA" w:rsidRPr="004C15AE" w:rsidRDefault="006152EA" w:rsidP="003B18E2">
      <w:pPr>
        <w:spacing w:line="360" w:lineRule="auto"/>
        <w:ind w:left="720" w:firstLine="720"/>
        <w:jc w:val="both"/>
        <w:rPr>
          <w:color w:val="FF0000"/>
          <w:sz w:val="24"/>
          <w:szCs w:val="24"/>
        </w:rPr>
      </w:pPr>
      <w:r w:rsidRPr="006A767D">
        <w:rPr>
          <w:sz w:val="24"/>
          <w:szCs w:val="24"/>
        </w:rPr>
        <w:t xml:space="preserve">The financial statement does not provide any information related </w:t>
      </w:r>
      <w:r w:rsidR="00381300">
        <w:rPr>
          <w:sz w:val="24"/>
          <w:szCs w:val="24"/>
        </w:rPr>
        <w:t xml:space="preserve">to the </w:t>
      </w:r>
      <w:r w:rsidRPr="006A767D">
        <w:rPr>
          <w:sz w:val="24"/>
          <w:szCs w:val="24"/>
        </w:rPr>
        <w:t xml:space="preserve">rational or method about how the price of management fee and licensing fee is determined.  </w:t>
      </w:r>
      <w:r w:rsidR="00E167CD" w:rsidRPr="006A767D">
        <w:rPr>
          <w:sz w:val="24"/>
          <w:szCs w:val="24"/>
        </w:rPr>
        <w:t>According to note 15, the total amount of related party transactions is $4, 646, 879, which account</w:t>
      </w:r>
      <w:r w:rsidR="00381300">
        <w:rPr>
          <w:sz w:val="24"/>
          <w:szCs w:val="24"/>
        </w:rPr>
        <w:t>s for</w:t>
      </w:r>
      <w:r w:rsidR="00E167CD" w:rsidRPr="006A767D">
        <w:rPr>
          <w:sz w:val="24"/>
          <w:szCs w:val="24"/>
        </w:rPr>
        <w:t xml:space="preserve"> 20% of total expense and 12% of gross revenue. The amount is also more than the net income of the year. </w:t>
      </w:r>
      <w:r w:rsidR="00E167CD" w:rsidRPr="004C15AE">
        <w:rPr>
          <w:sz w:val="24"/>
          <w:szCs w:val="24"/>
          <w:highlight w:val="yellow"/>
        </w:rPr>
        <w:t xml:space="preserve">Thus, creditor should pay special attention to </w:t>
      </w:r>
      <w:r w:rsidR="004C15AE" w:rsidRPr="004C15AE">
        <w:rPr>
          <w:sz w:val="24"/>
          <w:szCs w:val="24"/>
          <w:highlight w:val="yellow"/>
        </w:rPr>
        <w:t>………</w:t>
      </w:r>
      <w:r w:rsidR="004C15AE">
        <w:rPr>
          <w:sz w:val="24"/>
          <w:szCs w:val="24"/>
        </w:rPr>
        <w:t xml:space="preserve"> </w:t>
      </w:r>
      <w:r w:rsidR="004C15AE" w:rsidRPr="004C15AE">
        <w:rPr>
          <w:color w:val="FF0000"/>
          <w:sz w:val="24"/>
          <w:szCs w:val="24"/>
        </w:rPr>
        <w:t xml:space="preserve">(line missing here…please have a look) </w:t>
      </w:r>
    </w:p>
    <w:p w:rsidR="00FE6856" w:rsidRPr="006A767D" w:rsidRDefault="006A767D" w:rsidP="006A767D">
      <w:pPr>
        <w:spacing w:line="360" w:lineRule="auto"/>
        <w:ind w:left="720" w:hanging="720"/>
        <w:jc w:val="both"/>
        <w:rPr>
          <w:sz w:val="24"/>
          <w:szCs w:val="24"/>
        </w:rPr>
      </w:pPr>
      <w:r w:rsidRPr="006A767D">
        <w:rPr>
          <w:b/>
          <w:sz w:val="24"/>
          <w:szCs w:val="24"/>
        </w:rPr>
        <w:t>8)</w:t>
      </w:r>
      <w:r w:rsidR="00111F38" w:rsidRPr="006A767D">
        <w:rPr>
          <w:sz w:val="24"/>
          <w:szCs w:val="24"/>
        </w:rPr>
        <w:t xml:space="preserve"> </w:t>
      </w:r>
      <w:r w:rsidRPr="006A767D">
        <w:rPr>
          <w:sz w:val="24"/>
          <w:szCs w:val="24"/>
        </w:rPr>
        <w:tab/>
      </w:r>
      <w:r w:rsidR="007113EF" w:rsidRPr="006A767D">
        <w:rPr>
          <w:sz w:val="24"/>
          <w:szCs w:val="24"/>
        </w:rPr>
        <w:t xml:space="preserve">According to IFRS 12, the objective of disclosure of interests in other entities should enable financial statement user to evaluate the nature of, and risks associated with, its interest in other entities and the effects of those interests on its financial position, financial performance and cash flows.  </w:t>
      </w:r>
    </w:p>
    <w:p w:rsidR="00111F38" w:rsidRPr="006A767D" w:rsidRDefault="007113EF" w:rsidP="003B18E2">
      <w:pPr>
        <w:spacing w:line="360" w:lineRule="auto"/>
        <w:ind w:left="720" w:firstLine="720"/>
        <w:jc w:val="both"/>
        <w:rPr>
          <w:sz w:val="24"/>
          <w:szCs w:val="24"/>
        </w:rPr>
      </w:pPr>
      <w:r w:rsidRPr="006A767D">
        <w:rPr>
          <w:sz w:val="24"/>
          <w:szCs w:val="24"/>
        </w:rPr>
        <w:lastRenderedPageBreak/>
        <w:t xml:space="preserve">The financial statement of LHIC has disclosed all the </w:t>
      </w:r>
      <w:r w:rsidR="00F679C9" w:rsidRPr="006A767D">
        <w:rPr>
          <w:sz w:val="24"/>
          <w:szCs w:val="24"/>
        </w:rPr>
        <w:t xml:space="preserve">names, nature of relationship and nature of business </w:t>
      </w:r>
      <w:r w:rsidR="007E12E8" w:rsidRPr="006A767D">
        <w:rPr>
          <w:sz w:val="24"/>
          <w:szCs w:val="24"/>
        </w:rPr>
        <w:t xml:space="preserve">of </w:t>
      </w:r>
      <w:r w:rsidRPr="006A767D">
        <w:rPr>
          <w:sz w:val="24"/>
          <w:szCs w:val="24"/>
        </w:rPr>
        <w:t>rel</w:t>
      </w:r>
      <w:r w:rsidR="007E12E8" w:rsidRPr="006A767D">
        <w:rPr>
          <w:sz w:val="24"/>
          <w:szCs w:val="24"/>
        </w:rPr>
        <w:t>ated parties</w:t>
      </w:r>
      <w:r w:rsidRPr="006A767D">
        <w:rPr>
          <w:sz w:val="24"/>
          <w:szCs w:val="24"/>
        </w:rPr>
        <w:t xml:space="preserve"> (note 1[j]</w:t>
      </w:r>
      <w:r w:rsidR="00F679C9" w:rsidRPr="006A767D">
        <w:rPr>
          <w:sz w:val="24"/>
          <w:szCs w:val="24"/>
        </w:rPr>
        <w:t xml:space="preserve">).  LHIC also has separate notes for detail disclosure </w:t>
      </w:r>
      <w:r w:rsidR="00FE6856" w:rsidRPr="006A767D">
        <w:rPr>
          <w:sz w:val="24"/>
          <w:szCs w:val="24"/>
        </w:rPr>
        <w:t>of LFLGP</w:t>
      </w:r>
      <w:r w:rsidR="00F679C9" w:rsidRPr="006A767D">
        <w:rPr>
          <w:sz w:val="24"/>
          <w:szCs w:val="24"/>
        </w:rPr>
        <w:t xml:space="preserve"> and LFMGP which are t</w:t>
      </w:r>
      <w:r w:rsidR="007E12E8" w:rsidRPr="006A767D">
        <w:rPr>
          <w:sz w:val="24"/>
          <w:szCs w:val="24"/>
        </w:rPr>
        <w:t xml:space="preserve">he most significant related parties of LHIC. </w:t>
      </w:r>
      <w:r w:rsidR="00FE6856" w:rsidRPr="006A767D">
        <w:rPr>
          <w:sz w:val="24"/>
          <w:szCs w:val="24"/>
        </w:rPr>
        <w:t xml:space="preserve">We can evaluate the related party disclosure on both </w:t>
      </w:r>
      <w:r w:rsidR="004C15AE">
        <w:rPr>
          <w:sz w:val="24"/>
          <w:szCs w:val="24"/>
        </w:rPr>
        <w:t xml:space="preserve">the </w:t>
      </w:r>
      <w:r w:rsidR="00FE6856" w:rsidRPr="006A767D">
        <w:rPr>
          <w:sz w:val="24"/>
          <w:szCs w:val="24"/>
        </w:rPr>
        <w:t xml:space="preserve">principal level and detail level. </w:t>
      </w:r>
      <w:r w:rsidR="007E12E8" w:rsidRPr="006A767D">
        <w:rPr>
          <w:sz w:val="24"/>
          <w:szCs w:val="24"/>
        </w:rPr>
        <w:t>In the detail level, the financial statement of LHIC has disclosed the nature, extent, contractual relationship, proportion of ownership, principal of business and financial position and financial performances of LFLGP and LFMGP.</w:t>
      </w:r>
      <w:r w:rsidR="00AD1136" w:rsidRPr="006A767D">
        <w:rPr>
          <w:sz w:val="24"/>
          <w:szCs w:val="24"/>
        </w:rPr>
        <w:t xml:space="preserve"> </w:t>
      </w:r>
      <w:r w:rsidR="00FE6856" w:rsidRPr="006A767D">
        <w:rPr>
          <w:sz w:val="24"/>
          <w:szCs w:val="24"/>
        </w:rPr>
        <w:t xml:space="preserve">According to IFRS 12, para.21, the amount of detail disclosure of LHIC should consider to be adequate. From the perspective of principal level, </w:t>
      </w:r>
      <w:r w:rsidR="00F679C9" w:rsidRPr="006A767D">
        <w:rPr>
          <w:sz w:val="24"/>
          <w:szCs w:val="24"/>
        </w:rPr>
        <w:t xml:space="preserve">the risks associated with the interests in joint control partnership are rarely mentioned in financial statement. </w:t>
      </w:r>
      <w:r w:rsidR="00BA38B1" w:rsidRPr="006A767D">
        <w:rPr>
          <w:sz w:val="24"/>
          <w:szCs w:val="24"/>
        </w:rPr>
        <w:t>It is worth to notice that significant amount of expenses has been paid to LFLGP and LFMGP and shareholders’ interest to the company’s income were reduced accordingly.</w:t>
      </w:r>
      <w:r w:rsidR="00AD1136" w:rsidRPr="006A767D">
        <w:rPr>
          <w:sz w:val="24"/>
          <w:szCs w:val="24"/>
        </w:rPr>
        <w:t xml:space="preserve"> Although the amount of transaction was significant</w:t>
      </w:r>
      <w:r w:rsidR="00731C84" w:rsidRPr="006A767D">
        <w:rPr>
          <w:sz w:val="24"/>
          <w:szCs w:val="24"/>
        </w:rPr>
        <w:t xml:space="preserve"> and the company has going concern problem</w:t>
      </w:r>
      <w:r w:rsidR="00AD1136" w:rsidRPr="006A767D">
        <w:rPr>
          <w:sz w:val="24"/>
          <w:szCs w:val="24"/>
        </w:rPr>
        <w:t>, the</w:t>
      </w:r>
      <w:r w:rsidR="00BA38B1" w:rsidRPr="006A767D">
        <w:rPr>
          <w:sz w:val="24"/>
          <w:szCs w:val="24"/>
        </w:rPr>
        <w:t xml:space="preserve"> related risks that associated with the related transaction are not discussed in financial statement. </w:t>
      </w:r>
      <w:r w:rsidR="00731C84" w:rsidRPr="006A767D">
        <w:rPr>
          <w:sz w:val="24"/>
          <w:szCs w:val="24"/>
        </w:rPr>
        <w:t xml:space="preserve">The company also provides no explanations about why it only receives 25% of LFMGP’s net income when it has 50% of interest. </w:t>
      </w:r>
      <w:r w:rsidR="00AD1136" w:rsidRPr="006A767D">
        <w:rPr>
          <w:sz w:val="24"/>
          <w:szCs w:val="24"/>
        </w:rPr>
        <w:t>Consequently</w:t>
      </w:r>
      <w:r w:rsidR="00731C84" w:rsidRPr="006A767D">
        <w:rPr>
          <w:sz w:val="24"/>
          <w:szCs w:val="24"/>
        </w:rPr>
        <w:t>, the</w:t>
      </w:r>
      <w:r w:rsidR="00AD1136" w:rsidRPr="006A767D">
        <w:rPr>
          <w:sz w:val="24"/>
          <w:szCs w:val="24"/>
        </w:rPr>
        <w:t xml:space="preserve"> users of financial statement are not able to evaluate the effects of </w:t>
      </w:r>
      <w:r w:rsidR="00731C84" w:rsidRPr="006A767D">
        <w:rPr>
          <w:sz w:val="24"/>
          <w:szCs w:val="24"/>
        </w:rPr>
        <w:t xml:space="preserve">the company’s financial position, financial performance and cash flows. </w:t>
      </w:r>
    </w:p>
    <w:p w:rsidR="008B6E1F" w:rsidRPr="006A767D" w:rsidRDefault="003D5983" w:rsidP="006A767D">
      <w:pPr>
        <w:spacing w:line="360" w:lineRule="auto"/>
        <w:ind w:left="720" w:hanging="720"/>
        <w:jc w:val="both"/>
        <w:rPr>
          <w:sz w:val="24"/>
          <w:szCs w:val="24"/>
        </w:rPr>
      </w:pPr>
      <w:r w:rsidRPr="006A767D">
        <w:rPr>
          <w:b/>
          <w:sz w:val="24"/>
          <w:szCs w:val="24"/>
        </w:rPr>
        <w:t>9</w:t>
      </w:r>
      <w:r w:rsidR="006A767D" w:rsidRPr="006A767D">
        <w:rPr>
          <w:b/>
          <w:sz w:val="24"/>
          <w:szCs w:val="24"/>
        </w:rPr>
        <w:t>)</w:t>
      </w:r>
      <w:r w:rsidRPr="006A767D">
        <w:rPr>
          <w:sz w:val="24"/>
          <w:szCs w:val="24"/>
        </w:rPr>
        <w:t xml:space="preserve"> </w:t>
      </w:r>
      <w:r w:rsidR="006A767D" w:rsidRPr="006A767D">
        <w:rPr>
          <w:sz w:val="24"/>
          <w:szCs w:val="24"/>
        </w:rPr>
        <w:tab/>
      </w:r>
      <w:r w:rsidR="007E579B" w:rsidRPr="006A767D">
        <w:rPr>
          <w:sz w:val="24"/>
          <w:szCs w:val="24"/>
        </w:rPr>
        <w:t xml:space="preserve">Comparing to LHIC </w:t>
      </w:r>
      <w:r w:rsidR="00606C84" w:rsidRPr="006A767D">
        <w:rPr>
          <w:sz w:val="24"/>
          <w:szCs w:val="24"/>
        </w:rPr>
        <w:t>that</w:t>
      </w:r>
      <w:r w:rsidR="007E579B" w:rsidRPr="006A767D">
        <w:rPr>
          <w:sz w:val="24"/>
          <w:szCs w:val="24"/>
        </w:rPr>
        <w:t xml:space="preserve"> owns only 16 hote</w:t>
      </w:r>
      <w:r w:rsidR="004C15AE">
        <w:rPr>
          <w:sz w:val="24"/>
          <w:szCs w:val="24"/>
        </w:rPr>
        <w:t>ls to</w:t>
      </w:r>
      <w:r w:rsidR="007E579B" w:rsidRPr="006A767D">
        <w:rPr>
          <w:sz w:val="24"/>
          <w:szCs w:val="24"/>
        </w:rPr>
        <w:t xml:space="preserve"> </w:t>
      </w:r>
      <w:r w:rsidR="00606C84" w:rsidRPr="006A767D">
        <w:rPr>
          <w:sz w:val="24"/>
          <w:szCs w:val="24"/>
        </w:rPr>
        <w:t>LMI</w:t>
      </w:r>
      <w:r w:rsidR="004C15AE">
        <w:rPr>
          <w:sz w:val="24"/>
          <w:szCs w:val="24"/>
        </w:rPr>
        <w:t xml:space="preserve"> who</w:t>
      </w:r>
      <w:r w:rsidR="00606C84" w:rsidRPr="006A767D">
        <w:rPr>
          <w:sz w:val="24"/>
          <w:szCs w:val="24"/>
        </w:rPr>
        <w:t xml:space="preserve"> owns 42 hotels. Thus, t</w:t>
      </w:r>
      <w:r w:rsidRPr="006A767D">
        <w:rPr>
          <w:sz w:val="24"/>
          <w:szCs w:val="24"/>
        </w:rPr>
        <w:t xml:space="preserve">he </w:t>
      </w:r>
      <w:r w:rsidR="007E579B" w:rsidRPr="006A767D">
        <w:rPr>
          <w:sz w:val="24"/>
          <w:szCs w:val="24"/>
        </w:rPr>
        <w:t>purpose</w:t>
      </w:r>
      <w:r w:rsidRPr="006A767D">
        <w:rPr>
          <w:sz w:val="24"/>
          <w:szCs w:val="24"/>
        </w:rPr>
        <w:t xml:space="preserve"> of</w:t>
      </w:r>
      <w:r w:rsidR="007E579B" w:rsidRPr="006A767D">
        <w:rPr>
          <w:sz w:val="24"/>
          <w:szCs w:val="24"/>
        </w:rPr>
        <w:t xml:space="preserve"> the</w:t>
      </w:r>
      <w:r w:rsidRPr="006A767D">
        <w:rPr>
          <w:sz w:val="24"/>
          <w:szCs w:val="24"/>
        </w:rPr>
        <w:t xml:space="preserve"> establishment of LFLGP and LFMGP </w:t>
      </w:r>
      <w:r w:rsidR="007E579B" w:rsidRPr="006A767D">
        <w:rPr>
          <w:sz w:val="24"/>
          <w:szCs w:val="24"/>
        </w:rPr>
        <w:t>could be</w:t>
      </w:r>
      <w:r w:rsidR="00606C84" w:rsidRPr="006A767D">
        <w:rPr>
          <w:sz w:val="24"/>
          <w:szCs w:val="24"/>
        </w:rPr>
        <w:t xml:space="preserve">, apparently, </w:t>
      </w:r>
      <w:r w:rsidR="007E579B" w:rsidRPr="006A767D">
        <w:rPr>
          <w:sz w:val="24"/>
          <w:szCs w:val="24"/>
        </w:rPr>
        <w:t>to integrate</w:t>
      </w:r>
      <w:r w:rsidRPr="006A767D">
        <w:rPr>
          <w:sz w:val="24"/>
          <w:szCs w:val="24"/>
        </w:rPr>
        <w:t xml:space="preserve"> management and franchise business of</w:t>
      </w:r>
      <w:r w:rsidR="007E579B" w:rsidRPr="006A767D">
        <w:rPr>
          <w:sz w:val="24"/>
          <w:szCs w:val="24"/>
        </w:rPr>
        <w:t xml:space="preserve"> the</w:t>
      </w:r>
      <w:r w:rsidRPr="006A767D">
        <w:rPr>
          <w:sz w:val="24"/>
          <w:szCs w:val="24"/>
        </w:rPr>
        <w:t xml:space="preserve"> hotel</w:t>
      </w:r>
      <w:r w:rsidR="007E579B" w:rsidRPr="006A767D">
        <w:rPr>
          <w:sz w:val="24"/>
          <w:szCs w:val="24"/>
        </w:rPr>
        <w:t>s</w:t>
      </w:r>
      <w:r w:rsidRPr="006A767D">
        <w:rPr>
          <w:sz w:val="24"/>
          <w:szCs w:val="24"/>
        </w:rPr>
        <w:t xml:space="preserve"> that Levit family</w:t>
      </w:r>
      <w:r w:rsidR="007E579B" w:rsidRPr="006A767D">
        <w:rPr>
          <w:sz w:val="24"/>
          <w:szCs w:val="24"/>
        </w:rPr>
        <w:t xml:space="preserve"> directly and indirectly owns</w:t>
      </w:r>
      <w:r w:rsidRPr="006A767D">
        <w:rPr>
          <w:sz w:val="24"/>
          <w:szCs w:val="24"/>
        </w:rPr>
        <w:t xml:space="preserve">. </w:t>
      </w:r>
      <w:r w:rsidR="00606C84" w:rsidRPr="006A767D">
        <w:rPr>
          <w:sz w:val="24"/>
          <w:szCs w:val="24"/>
        </w:rPr>
        <w:t>However</w:t>
      </w:r>
      <w:r w:rsidRPr="006A767D">
        <w:rPr>
          <w:sz w:val="24"/>
          <w:szCs w:val="24"/>
        </w:rPr>
        <w:t>,</w:t>
      </w:r>
      <w:r w:rsidR="00606C84" w:rsidRPr="006A767D">
        <w:rPr>
          <w:sz w:val="24"/>
          <w:szCs w:val="24"/>
        </w:rPr>
        <w:t xml:space="preserve"> one potential issue is that </w:t>
      </w:r>
      <w:r w:rsidR="006A77CE" w:rsidRPr="006A767D">
        <w:rPr>
          <w:sz w:val="24"/>
          <w:szCs w:val="24"/>
        </w:rPr>
        <w:t>the</w:t>
      </w:r>
      <w:r w:rsidR="00606C84" w:rsidRPr="006A767D">
        <w:rPr>
          <w:sz w:val="24"/>
          <w:szCs w:val="24"/>
        </w:rPr>
        <w:t>se two</w:t>
      </w:r>
      <w:r w:rsidR="006A77CE" w:rsidRPr="006A767D">
        <w:rPr>
          <w:sz w:val="24"/>
          <w:szCs w:val="24"/>
        </w:rPr>
        <w:t xml:space="preserve"> </w:t>
      </w:r>
      <w:r w:rsidRPr="006A767D">
        <w:rPr>
          <w:sz w:val="24"/>
          <w:szCs w:val="24"/>
        </w:rPr>
        <w:t>partnership</w:t>
      </w:r>
      <w:r w:rsidR="006A77CE" w:rsidRPr="006A767D">
        <w:rPr>
          <w:sz w:val="24"/>
          <w:szCs w:val="24"/>
        </w:rPr>
        <w:t>s could serve</w:t>
      </w:r>
      <w:r w:rsidRPr="006A767D">
        <w:rPr>
          <w:sz w:val="24"/>
          <w:szCs w:val="24"/>
        </w:rPr>
        <w:t xml:space="preserve"> as vehicles </w:t>
      </w:r>
      <w:r w:rsidR="006A77CE" w:rsidRPr="006A767D">
        <w:rPr>
          <w:sz w:val="24"/>
          <w:szCs w:val="24"/>
        </w:rPr>
        <w:t>that</w:t>
      </w:r>
      <w:r w:rsidRPr="006A767D">
        <w:rPr>
          <w:sz w:val="24"/>
          <w:szCs w:val="24"/>
        </w:rPr>
        <w:t xml:space="preserve"> transfer the benefit </w:t>
      </w:r>
      <w:r w:rsidR="00606C84" w:rsidRPr="006A767D">
        <w:rPr>
          <w:sz w:val="24"/>
          <w:szCs w:val="24"/>
        </w:rPr>
        <w:t xml:space="preserve">of LHIC to </w:t>
      </w:r>
      <w:r w:rsidRPr="006A767D">
        <w:rPr>
          <w:sz w:val="24"/>
          <w:szCs w:val="24"/>
        </w:rPr>
        <w:t xml:space="preserve">LMI which </w:t>
      </w:r>
      <w:r w:rsidR="006A77CE" w:rsidRPr="006A767D">
        <w:rPr>
          <w:sz w:val="24"/>
          <w:szCs w:val="24"/>
        </w:rPr>
        <w:t>is</w:t>
      </w:r>
      <w:r w:rsidRPr="006A767D">
        <w:rPr>
          <w:sz w:val="24"/>
          <w:szCs w:val="24"/>
        </w:rPr>
        <w:t xml:space="preserve"> </w:t>
      </w:r>
      <w:r w:rsidR="006A77CE" w:rsidRPr="006A767D">
        <w:rPr>
          <w:sz w:val="24"/>
          <w:szCs w:val="24"/>
        </w:rPr>
        <w:t xml:space="preserve">owned by Levit family. </w:t>
      </w:r>
      <w:r w:rsidR="00606C84" w:rsidRPr="006A767D">
        <w:rPr>
          <w:sz w:val="24"/>
          <w:szCs w:val="24"/>
        </w:rPr>
        <w:t>In this way, the significant royalties</w:t>
      </w:r>
      <w:r w:rsidR="007E579B" w:rsidRPr="006A767D">
        <w:rPr>
          <w:sz w:val="24"/>
          <w:szCs w:val="24"/>
        </w:rPr>
        <w:t xml:space="preserve"> </w:t>
      </w:r>
      <w:r w:rsidR="006152EA" w:rsidRPr="006A767D">
        <w:rPr>
          <w:sz w:val="24"/>
          <w:szCs w:val="24"/>
        </w:rPr>
        <w:t xml:space="preserve">(which represent almost 12% of revenue and more than the net income) </w:t>
      </w:r>
      <w:r w:rsidR="007E579B" w:rsidRPr="006A767D">
        <w:rPr>
          <w:sz w:val="24"/>
          <w:szCs w:val="24"/>
        </w:rPr>
        <w:t>transferred</w:t>
      </w:r>
      <w:r w:rsidR="006A77CE" w:rsidRPr="006A767D">
        <w:rPr>
          <w:sz w:val="24"/>
          <w:szCs w:val="24"/>
        </w:rPr>
        <w:t xml:space="preserve"> to </w:t>
      </w:r>
      <w:r w:rsidR="00606C84" w:rsidRPr="006A767D">
        <w:rPr>
          <w:sz w:val="24"/>
          <w:szCs w:val="24"/>
        </w:rPr>
        <w:t xml:space="preserve">these two </w:t>
      </w:r>
      <w:r w:rsidR="006A77CE" w:rsidRPr="006A767D">
        <w:rPr>
          <w:sz w:val="24"/>
          <w:szCs w:val="24"/>
        </w:rPr>
        <w:t>partnership</w:t>
      </w:r>
      <w:r w:rsidR="00606C84" w:rsidRPr="006A767D">
        <w:rPr>
          <w:sz w:val="24"/>
          <w:szCs w:val="24"/>
        </w:rPr>
        <w:t>s</w:t>
      </w:r>
      <w:r w:rsidR="006A77CE" w:rsidRPr="006A767D">
        <w:rPr>
          <w:sz w:val="24"/>
          <w:szCs w:val="24"/>
        </w:rPr>
        <w:t xml:space="preserve"> </w:t>
      </w:r>
      <w:r w:rsidR="00606C84" w:rsidRPr="006A767D">
        <w:rPr>
          <w:sz w:val="24"/>
          <w:szCs w:val="24"/>
        </w:rPr>
        <w:t>are then</w:t>
      </w:r>
      <w:r w:rsidR="006A77CE" w:rsidRPr="006A767D">
        <w:rPr>
          <w:sz w:val="24"/>
          <w:szCs w:val="24"/>
        </w:rPr>
        <w:t xml:space="preserve"> </w:t>
      </w:r>
      <w:r w:rsidR="007E579B" w:rsidRPr="006A767D">
        <w:rPr>
          <w:sz w:val="24"/>
          <w:szCs w:val="24"/>
        </w:rPr>
        <w:t>remitted</w:t>
      </w:r>
      <w:r w:rsidR="006A77CE" w:rsidRPr="006A767D">
        <w:rPr>
          <w:sz w:val="24"/>
          <w:szCs w:val="24"/>
        </w:rPr>
        <w:t xml:space="preserve"> back to LHIC so that </w:t>
      </w:r>
      <w:r w:rsidR="006152EA" w:rsidRPr="006A767D">
        <w:rPr>
          <w:sz w:val="24"/>
          <w:szCs w:val="24"/>
        </w:rPr>
        <w:t>users of financial statement</w:t>
      </w:r>
      <w:r w:rsidR="006A77CE" w:rsidRPr="006A767D">
        <w:rPr>
          <w:sz w:val="24"/>
          <w:szCs w:val="24"/>
        </w:rPr>
        <w:t xml:space="preserve"> would not be able to </w:t>
      </w:r>
      <w:r w:rsidR="00606C84" w:rsidRPr="006A767D">
        <w:rPr>
          <w:sz w:val="24"/>
          <w:szCs w:val="24"/>
        </w:rPr>
        <w:t>identify any significant impact on LHIC’s net income. Moreover</w:t>
      </w:r>
      <w:r w:rsidR="006D6201" w:rsidRPr="006A767D">
        <w:rPr>
          <w:sz w:val="24"/>
          <w:szCs w:val="24"/>
        </w:rPr>
        <w:t xml:space="preserve">, </w:t>
      </w:r>
      <w:r w:rsidR="00606C84" w:rsidRPr="006A767D">
        <w:rPr>
          <w:sz w:val="24"/>
          <w:szCs w:val="24"/>
        </w:rPr>
        <w:t>cash transferred between the three entities is not</w:t>
      </w:r>
      <w:r w:rsidR="006D6201" w:rsidRPr="006A767D">
        <w:rPr>
          <w:sz w:val="24"/>
          <w:szCs w:val="24"/>
        </w:rPr>
        <w:t xml:space="preserve"> clearly presented in financial statement since the cash flow statement is prepared by indirect </w:t>
      </w:r>
      <w:r w:rsidR="006D6201" w:rsidRPr="006A767D">
        <w:rPr>
          <w:sz w:val="24"/>
          <w:szCs w:val="24"/>
        </w:rPr>
        <w:lastRenderedPageBreak/>
        <w:t>method. Hence, it is impossible for investors to evaluate the actual financial performance and financial position of LHIC.</w:t>
      </w:r>
      <w:r w:rsidR="00606C84" w:rsidRPr="006A767D">
        <w:rPr>
          <w:sz w:val="24"/>
          <w:szCs w:val="24"/>
        </w:rPr>
        <w:t xml:space="preserve"> </w:t>
      </w:r>
    </w:p>
    <w:p w:rsidR="00F26E0B" w:rsidRPr="006A767D" w:rsidRDefault="00775AD7" w:rsidP="006A767D">
      <w:pPr>
        <w:spacing w:line="360" w:lineRule="auto"/>
        <w:ind w:left="720" w:hanging="720"/>
        <w:jc w:val="both"/>
        <w:rPr>
          <w:sz w:val="24"/>
          <w:szCs w:val="24"/>
        </w:rPr>
      </w:pPr>
      <w:r w:rsidRPr="006A767D">
        <w:rPr>
          <w:b/>
          <w:sz w:val="24"/>
          <w:szCs w:val="24"/>
        </w:rPr>
        <w:t>10</w:t>
      </w:r>
      <w:r w:rsidR="006A767D" w:rsidRPr="006A767D">
        <w:rPr>
          <w:b/>
          <w:sz w:val="24"/>
          <w:szCs w:val="24"/>
        </w:rPr>
        <w:t>)</w:t>
      </w:r>
      <w:r w:rsidR="002950FD" w:rsidRPr="006A767D">
        <w:rPr>
          <w:sz w:val="24"/>
          <w:szCs w:val="24"/>
        </w:rPr>
        <w:t xml:space="preserve"> </w:t>
      </w:r>
      <w:r w:rsidR="006A767D" w:rsidRPr="006A767D">
        <w:rPr>
          <w:sz w:val="24"/>
          <w:szCs w:val="24"/>
        </w:rPr>
        <w:tab/>
      </w:r>
      <w:r w:rsidR="002950FD" w:rsidRPr="006A767D">
        <w:rPr>
          <w:sz w:val="24"/>
          <w:szCs w:val="24"/>
        </w:rPr>
        <w:t xml:space="preserve">From a </w:t>
      </w:r>
      <w:r w:rsidR="003407C8" w:rsidRPr="006A767D">
        <w:rPr>
          <w:sz w:val="24"/>
          <w:szCs w:val="24"/>
        </w:rPr>
        <w:t>creditor</w:t>
      </w:r>
      <w:r w:rsidR="002950FD" w:rsidRPr="006A767D">
        <w:rPr>
          <w:sz w:val="24"/>
          <w:szCs w:val="24"/>
        </w:rPr>
        <w:t xml:space="preserve"> perspective</w:t>
      </w:r>
      <w:r w:rsidR="003407C8" w:rsidRPr="006A767D">
        <w:rPr>
          <w:sz w:val="24"/>
          <w:szCs w:val="24"/>
        </w:rPr>
        <w:t xml:space="preserve">, </w:t>
      </w:r>
      <w:r w:rsidR="00762B3F" w:rsidRPr="006A767D">
        <w:rPr>
          <w:sz w:val="24"/>
          <w:szCs w:val="24"/>
        </w:rPr>
        <w:t xml:space="preserve">the primary concern of Bank is whether LHIC has adequate amount cash to fulfill its debt obligations at maturity. </w:t>
      </w:r>
      <w:r w:rsidR="00E44AB8" w:rsidRPr="006A767D">
        <w:rPr>
          <w:sz w:val="24"/>
          <w:szCs w:val="24"/>
        </w:rPr>
        <w:t>The cash on balance sheet is $813,099 which is not sufficient to repay debt. Therefore, LHIC must obtain refinance to survive. Thus, the ability to generate positive ca</w:t>
      </w:r>
      <w:r w:rsidR="004C15AE">
        <w:rPr>
          <w:sz w:val="24"/>
          <w:szCs w:val="24"/>
        </w:rPr>
        <w:t>sh flow is critical in determining</w:t>
      </w:r>
      <w:r w:rsidR="00E44AB8" w:rsidRPr="006A767D">
        <w:rPr>
          <w:sz w:val="24"/>
          <w:szCs w:val="24"/>
        </w:rPr>
        <w:t xml:space="preserve"> whether the loan should be granted. </w:t>
      </w:r>
    </w:p>
    <w:p w:rsidR="00E44AB8" w:rsidRPr="006A767D" w:rsidRDefault="00E44AB8" w:rsidP="003B18E2">
      <w:pPr>
        <w:spacing w:line="360" w:lineRule="auto"/>
        <w:ind w:left="720" w:firstLine="720"/>
        <w:jc w:val="both"/>
        <w:rPr>
          <w:sz w:val="24"/>
          <w:szCs w:val="24"/>
        </w:rPr>
      </w:pPr>
      <w:r w:rsidRPr="006A767D">
        <w:rPr>
          <w:sz w:val="24"/>
          <w:szCs w:val="24"/>
        </w:rPr>
        <w:t xml:space="preserve">The income statement showed that </w:t>
      </w:r>
      <w:r w:rsidR="004553CF" w:rsidRPr="006A767D">
        <w:rPr>
          <w:sz w:val="24"/>
          <w:szCs w:val="24"/>
        </w:rPr>
        <w:t>the revenue generate from</w:t>
      </w:r>
      <w:r w:rsidR="00F26E0B" w:rsidRPr="006A767D">
        <w:rPr>
          <w:sz w:val="24"/>
          <w:szCs w:val="24"/>
        </w:rPr>
        <w:t xml:space="preserve"> operation</w:t>
      </w:r>
      <w:r w:rsidR="004553CF" w:rsidRPr="006A767D">
        <w:rPr>
          <w:sz w:val="24"/>
          <w:szCs w:val="24"/>
        </w:rPr>
        <w:t xml:space="preserve"> is considerable</w:t>
      </w:r>
      <w:r w:rsidR="00F26E0B" w:rsidRPr="006A767D">
        <w:rPr>
          <w:sz w:val="24"/>
          <w:szCs w:val="24"/>
        </w:rPr>
        <w:t>. The net loss was mainly due to general and administration expenses, salaries and benefits expenses and interest expense. If the company is willing to reduce those expenses, the positive net income is achievable in the future. In addition, LHIC has 16 real estate properties and those properties could serve as collateral.  LHIC has sold income properties in 2013 for over 6 million. Thus, in the situation of default, Bank could expect the</w:t>
      </w:r>
      <w:r w:rsidR="004553CF" w:rsidRPr="006A767D">
        <w:rPr>
          <w:sz w:val="24"/>
          <w:szCs w:val="24"/>
        </w:rPr>
        <w:t xml:space="preserve"> part of</w:t>
      </w:r>
      <w:r w:rsidR="00F26E0B" w:rsidRPr="006A767D">
        <w:rPr>
          <w:sz w:val="24"/>
          <w:szCs w:val="24"/>
        </w:rPr>
        <w:t xml:space="preserve"> debt</w:t>
      </w:r>
      <w:r w:rsidR="004553CF" w:rsidRPr="006A767D">
        <w:rPr>
          <w:sz w:val="24"/>
          <w:szCs w:val="24"/>
        </w:rPr>
        <w:t xml:space="preserve"> to</w:t>
      </w:r>
      <w:r w:rsidR="00F26E0B" w:rsidRPr="006A767D">
        <w:rPr>
          <w:sz w:val="24"/>
          <w:szCs w:val="24"/>
        </w:rPr>
        <w:t xml:space="preserve"> be paid back by sale of property collateral.  </w:t>
      </w:r>
    </w:p>
    <w:p w:rsidR="00762B3F" w:rsidRPr="006A767D" w:rsidRDefault="001A5623" w:rsidP="003B18E2">
      <w:pPr>
        <w:spacing w:line="360" w:lineRule="auto"/>
        <w:ind w:left="720" w:firstLine="720"/>
        <w:jc w:val="both"/>
        <w:rPr>
          <w:sz w:val="24"/>
          <w:szCs w:val="24"/>
        </w:rPr>
      </w:pPr>
      <w:r w:rsidRPr="006A767D">
        <w:rPr>
          <w:sz w:val="24"/>
          <w:szCs w:val="24"/>
        </w:rPr>
        <w:t xml:space="preserve">As discussed above, the notes of financial statement </w:t>
      </w:r>
      <w:r w:rsidR="002950FD" w:rsidRPr="006A767D">
        <w:rPr>
          <w:sz w:val="24"/>
          <w:szCs w:val="24"/>
        </w:rPr>
        <w:t xml:space="preserve">does not provide the pricing mechanism of related party transaction as well as </w:t>
      </w:r>
      <w:r w:rsidR="0087788F" w:rsidRPr="006A767D">
        <w:rPr>
          <w:sz w:val="24"/>
          <w:szCs w:val="24"/>
        </w:rPr>
        <w:t xml:space="preserve">exact </w:t>
      </w:r>
      <w:r w:rsidR="002950FD" w:rsidRPr="006A767D">
        <w:rPr>
          <w:sz w:val="24"/>
          <w:szCs w:val="24"/>
        </w:rPr>
        <w:t xml:space="preserve">amount of cash </w:t>
      </w:r>
      <w:r w:rsidR="0087788F" w:rsidRPr="006A767D">
        <w:rPr>
          <w:sz w:val="24"/>
          <w:szCs w:val="24"/>
        </w:rPr>
        <w:t xml:space="preserve">that transferred to </w:t>
      </w:r>
      <w:r w:rsidR="002950FD" w:rsidRPr="006A767D">
        <w:rPr>
          <w:sz w:val="24"/>
          <w:szCs w:val="24"/>
        </w:rPr>
        <w:t>related entities.</w:t>
      </w:r>
      <w:r w:rsidR="00F26E0B" w:rsidRPr="006A767D">
        <w:rPr>
          <w:sz w:val="24"/>
          <w:szCs w:val="24"/>
        </w:rPr>
        <w:t xml:space="preserve"> In other words, </w:t>
      </w:r>
      <w:r w:rsidR="0087788F" w:rsidRPr="006A767D">
        <w:rPr>
          <w:sz w:val="24"/>
          <w:szCs w:val="24"/>
        </w:rPr>
        <w:t>the</w:t>
      </w:r>
      <w:r w:rsidR="00762B3F" w:rsidRPr="006A767D">
        <w:rPr>
          <w:sz w:val="24"/>
          <w:szCs w:val="24"/>
        </w:rPr>
        <w:t>re is a risk that portion of income</w:t>
      </w:r>
      <w:r w:rsidR="0087788F" w:rsidRPr="006A767D">
        <w:rPr>
          <w:sz w:val="24"/>
          <w:szCs w:val="24"/>
        </w:rPr>
        <w:t xml:space="preserve"> could be transfer</w:t>
      </w:r>
      <w:r w:rsidR="00762B3F" w:rsidRPr="006A767D">
        <w:rPr>
          <w:sz w:val="24"/>
          <w:szCs w:val="24"/>
        </w:rPr>
        <w:t>red</w:t>
      </w:r>
      <w:r w:rsidR="0087788F" w:rsidRPr="006A767D">
        <w:rPr>
          <w:sz w:val="24"/>
          <w:szCs w:val="24"/>
        </w:rPr>
        <w:t xml:space="preserve"> to the Levit family without </w:t>
      </w:r>
      <w:r w:rsidR="00762B3F" w:rsidRPr="006A767D">
        <w:rPr>
          <w:sz w:val="24"/>
          <w:szCs w:val="24"/>
        </w:rPr>
        <w:t>paying the debt.</w:t>
      </w:r>
      <w:r w:rsidR="007565B5" w:rsidRPr="006A767D">
        <w:rPr>
          <w:sz w:val="24"/>
          <w:szCs w:val="24"/>
        </w:rPr>
        <w:t xml:space="preserve"> </w:t>
      </w:r>
      <w:r w:rsidRPr="006A767D">
        <w:rPr>
          <w:sz w:val="24"/>
          <w:szCs w:val="24"/>
        </w:rPr>
        <w:t xml:space="preserve">Furthermore, even the income properties are pledged as collateral, they are illiquid and may take significant discount to sale. </w:t>
      </w:r>
      <w:r w:rsidR="007565B5" w:rsidRPr="006A767D">
        <w:rPr>
          <w:sz w:val="24"/>
          <w:szCs w:val="24"/>
        </w:rPr>
        <w:t>One of the solutions is to require LHIC to set up sink</w:t>
      </w:r>
      <w:r w:rsidRPr="006A767D">
        <w:rPr>
          <w:sz w:val="24"/>
          <w:szCs w:val="24"/>
        </w:rPr>
        <w:t>ing</w:t>
      </w:r>
      <w:r w:rsidR="007565B5" w:rsidRPr="006A767D">
        <w:rPr>
          <w:sz w:val="24"/>
          <w:szCs w:val="24"/>
        </w:rPr>
        <w:t xml:space="preserve"> fund to ensure that interest and debt obligation will be fulfilled. </w:t>
      </w:r>
      <w:r w:rsidR="00762B3F" w:rsidRPr="006A767D">
        <w:rPr>
          <w:sz w:val="24"/>
          <w:szCs w:val="24"/>
        </w:rPr>
        <w:t xml:space="preserve"> </w:t>
      </w:r>
      <w:r w:rsidR="0087788F" w:rsidRPr="006A767D">
        <w:rPr>
          <w:sz w:val="24"/>
          <w:szCs w:val="24"/>
        </w:rPr>
        <w:t xml:space="preserve"> </w:t>
      </w:r>
    </w:p>
    <w:p w:rsidR="006A767D" w:rsidRPr="006A767D" w:rsidRDefault="00762B3F" w:rsidP="003B18E2">
      <w:pPr>
        <w:spacing w:line="360" w:lineRule="auto"/>
        <w:ind w:left="720" w:firstLine="720"/>
        <w:jc w:val="both"/>
        <w:rPr>
          <w:sz w:val="24"/>
          <w:szCs w:val="24"/>
        </w:rPr>
      </w:pPr>
      <w:r w:rsidRPr="006A767D">
        <w:rPr>
          <w:sz w:val="24"/>
          <w:szCs w:val="24"/>
        </w:rPr>
        <w:t xml:space="preserve">In conclusion, provide LHIC refinance </w:t>
      </w:r>
      <w:r w:rsidR="004C15AE">
        <w:rPr>
          <w:sz w:val="24"/>
          <w:szCs w:val="24"/>
        </w:rPr>
        <w:t>a</w:t>
      </w:r>
      <w:r w:rsidR="007565B5" w:rsidRPr="006A767D">
        <w:rPr>
          <w:sz w:val="24"/>
          <w:szCs w:val="24"/>
        </w:rPr>
        <w:t xml:space="preserve">s feasible. The Bank has already committed large amount of mortgage for LHIC.  Refusing </w:t>
      </w:r>
      <w:r w:rsidR="004553CF" w:rsidRPr="006A767D">
        <w:rPr>
          <w:sz w:val="24"/>
          <w:szCs w:val="24"/>
        </w:rPr>
        <w:t xml:space="preserve">the </w:t>
      </w:r>
      <w:r w:rsidR="007565B5" w:rsidRPr="006A767D">
        <w:rPr>
          <w:sz w:val="24"/>
          <w:szCs w:val="24"/>
        </w:rPr>
        <w:t xml:space="preserve">refinance and force the company </w:t>
      </w:r>
      <w:r w:rsidR="004553CF" w:rsidRPr="006A767D">
        <w:rPr>
          <w:sz w:val="24"/>
          <w:szCs w:val="24"/>
        </w:rPr>
        <w:t xml:space="preserve">to go bankruptcy may not serve the best interest of bank since the loss in the mortgage debt would be significant. LHIC has the ability to generate positive net income and is </w:t>
      </w:r>
      <w:r w:rsidR="001A5623" w:rsidRPr="006A767D">
        <w:rPr>
          <w:sz w:val="24"/>
          <w:szCs w:val="24"/>
        </w:rPr>
        <w:t>possible</w:t>
      </w:r>
      <w:r w:rsidR="004553CF" w:rsidRPr="006A767D">
        <w:rPr>
          <w:sz w:val="24"/>
          <w:szCs w:val="24"/>
        </w:rPr>
        <w:t xml:space="preserve"> to recover in future. In the negotiation of the refinance, Bank should require LHIC to set up sinking fund and disclose more information about the related </w:t>
      </w:r>
      <w:r w:rsidR="004553CF" w:rsidRPr="006A767D">
        <w:rPr>
          <w:sz w:val="24"/>
          <w:szCs w:val="24"/>
        </w:rPr>
        <w:lastRenderedPageBreak/>
        <w:t xml:space="preserve">party transactions. </w:t>
      </w:r>
      <w:r w:rsidR="001A5623" w:rsidRPr="006A767D">
        <w:rPr>
          <w:sz w:val="24"/>
          <w:szCs w:val="24"/>
        </w:rPr>
        <w:t xml:space="preserve"> Bank should also monitor the loan and </w:t>
      </w:r>
      <w:r w:rsidR="006A767D" w:rsidRPr="006A767D">
        <w:rPr>
          <w:sz w:val="24"/>
          <w:szCs w:val="24"/>
        </w:rPr>
        <w:t>operation of LHIC closely to ensure the entire debt covenant is</w:t>
      </w:r>
      <w:r w:rsidR="001A5623" w:rsidRPr="006A767D">
        <w:rPr>
          <w:sz w:val="24"/>
          <w:szCs w:val="24"/>
        </w:rPr>
        <w:t xml:space="preserve"> maintained. </w:t>
      </w:r>
    </w:p>
    <w:p w:rsidR="006A767D" w:rsidRDefault="006A767D" w:rsidP="006A767D">
      <w:pPr>
        <w:spacing w:line="360" w:lineRule="auto"/>
        <w:rPr>
          <w:sz w:val="24"/>
          <w:szCs w:val="24"/>
          <w:u w:val="single"/>
        </w:rPr>
      </w:pPr>
    </w:p>
    <w:p w:rsidR="006A767D" w:rsidRDefault="006A767D" w:rsidP="006A767D">
      <w:pPr>
        <w:spacing w:line="360" w:lineRule="auto"/>
        <w:rPr>
          <w:sz w:val="24"/>
          <w:szCs w:val="24"/>
          <w:u w:val="single"/>
        </w:rPr>
      </w:pPr>
      <w:r w:rsidRPr="006A767D">
        <w:rPr>
          <w:sz w:val="24"/>
          <w:szCs w:val="24"/>
          <w:u w:val="single"/>
        </w:rPr>
        <w:t>Application to Accounting Theory</w:t>
      </w:r>
    </w:p>
    <w:p w:rsidR="003A5DA2" w:rsidRPr="003A5DA2" w:rsidRDefault="003A5DA2" w:rsidP="003A5DA2">
      <w:pPr>
        <w:pStyle w:val="ListParagraph"/>
        <w:numPr>
          <w:ilvl w:val="0"/>
          <w:numId w:val="13"/>
        </w:numPr>
        <w:spacing w:line="360" w:lineRule="auto"/>
        <w:rPr>
          <w:sz w:val="24"/>
          <w:szCs w:val="24"/>
        </w:rPr>
      </w:pPr>
      <w:r>
        <w:rPr>
          <w:sz w:val="24"/>
          <w:szCs w:val="24"/>
        </w:rPr>
        <w:t xml:space="preserve">Information asymmetry is present in any industry/market when one business has more information compared to others in a transaction. This results in information advantage which leads to adverse selection and moral hazards. (i) Adverse Selection: </w:t>
      </w:r>
    </w:p>
    <w:sectPr w:rsidR="003A5DA2" w:rsidRPr="003A5DA2" w:rsidSect="006A767D">
      <w:footerReference w:type="default" r:id="rId9"/>
      <w:pgSz w:w="12240" w:h="15840"/>
      <w:pgMar w:top="1440" w:right="1440" w:bottom="1440" w:left="1440" w:header="720" w:footer="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631B" w:rsidRDefault="0076631B" w:rsidP="006D4CC1">
      <w:pPr>
        <w:spacing w:after="0" w:line="240" w:lineRule="auto"/>
      </w:pPr>
      <w:r>
        <w:separator/>
      </w:r>
    </w:p>
  </w:endnote>
  <w:endnote w:type="continuationSeparator" w:id="0">
    <w:p w:rsidR="0076631B" w:rsidRDefault="0076631B" w:rsidP="006D4C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2000602"/>
      <w:docPartObj>
        <w:docPartGallery w:val="Page Numbers (Bottom of Page)"/>
        <w:docPartUnique/>
      </w:docPartObj>
    </w:sdtPr>
    <w:sdtEndPr>
      <w:rPr>
        <w:noProof/>
      </w:rPr>
    </w:sdtEndPr>
    <w:sdtContent>
      <w:p w:rsidR="006A767D" w:rsidRDefault="006A767D">
        <w:pPr>
          <w:pStyle w:val="Footer"/>
          <w:jc w:val="right"/>
        </w:pPr>
        <w:r>
          <w:fldChar w:fldCharType="begin"/>
        </w:r>
        <w:r>
          <w:instrText xml:space="preserve"> PAGE   \* MERGEFORMAT </w:instrText>
        </w:r>
        <w:r>
          <w:fldChar w:fldCharType="separate"/>
        </w:r>
        <w:r w:rsidR="008F2159">
          <w:rPr>
            <w:noProof/>
          </w:rPr>
          <w:t>4</w:t>
        </w:r>
        <w:r>
          <w:rPr>
            <w:noProof/>
          </w:rPr>
          <w:fldChar w:fldCharType="end"/>
        </w:r>
      </w:p>
    </w:sdtContent>
  </w:sdt>
  <w:p w:rsidR="006A767D" w:rsidRDefault="006A76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631B" w:rsidRDefault="0076631B" w:rsidP="006D4CC1">
      <w:pPr>
        <w:spacing w:after="0" w:line="240" w:lineRule="auto"/>
      </w:pPr>
      <w:r>
        <w:separator/>
      </w:r>
    </w:p>
  </w:footnote>
  <w:footnote w:type="continuationSeparator" w:id="0">
    <w:p w:rsidR="0076631B" w:rsidRDefault="0076631B" w:rsidP="006D4C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F0AA5"/>
    <w:multiLevelType w:val="hybridMultilevel"/>
    <w:tmpl w:val="2D547BEA"/>
    <w:lvl w:ilvl="0" w:tplc="10090017">
      <w:start w:val="1"/>
      <w:numFmt w:val="lowerLetter"/>
      <w:lvlText w:val="%1)"/>
      <w:lvlJc w:val="left"/>
      <w:pPr>
        <w:ind w:left="644"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B224E30"/>
    <w:multiLevelType w:val="hybridMultilevel"/>
    <w:tmpl w:val="A906C94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23657E1"/>
    <w:multiLevelType w:val="hybridMultilevel"/>
    <w:tmpl w:val="11AE9D90"/>
    <w:lvl w:ilvl="0" w:tplc="3AF2CFC8">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CFE6BF8"/>
    <w:multiLevelType w:val="hybridMultilevel"/>
    <w:tmpl w:val="B754892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366575D2"/>
    <w:multiLevelType w:val="hybridMultilevel"/>
    <w:tmpl w:val="7ECA88E8"/>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527236A"/>
    <w:multiLevelType w:val="hybridMultilevel"/>
    <w:tmpl w:val="0546D144"/>
    <w:lvl w:ilvl="0" w:tplc="C4C69A04">
      <w:start w:val="1"/>
      <w:numFmt w:val="low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9AD1000"/>
    <w:multiLevelType w:val="hybridMultilevel"/>
    <w:tmpl w:val="260CF3E2"/>
    <w:lvl w:ilvl="0" w:tplc="B64043B8">
      <w:start w:val="2"/>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1D9166F"/>
    <w:multiLevelType w:val="hybridMultilevel"/>
    <w:tmpl w:val="59BE34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3917C22"/>
    <w:multiLevelType w:val="hybridMultilevel"/>
    <w:tmpl w:val="B1BE46BA"/>
    <w:lvl w:ilvl="0" w:tplc="B9662738">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6DE23A8C"/>
    <w:multiLevelType w:val="hybridMultilevel"/>
    <w:tmpl w:val="1AC6A718"/>
    <w:lvl w:ilvl="0" w:tplc="03F2C2C8">
      <w:start w:val="1"/>
      <w:numFmt w:val="decimal"/>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0">
    <w:nsid w:val="73280FA3"/>
    <w:multiLevelType w:val="hybridMultilevel"/>
    <w:tmpl w:val="90AA7600"/>
    <w:lvl w:ilvl="0" w:tplc="67EEA004">
      <w:start w:val="1"/>
      <w:numFmt w:val="decimal"/>
      <w:lvlText w:val="%1)"/>
      <w:lvlJc w:val="left"/>
      <w:pPr>
        <w:ind w:left="644" w:hanging="360"/>
      </w:pPr>
      <w:rPr>
        <w:rFonts w:hint="default"/>
        <w:b/>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11">
    <w:nsid w:val="74D3019F"/>
    <w:multiLevelType w:val="hybridMultilevel"/>
    <w:tmpl w:val="488A2B88"/>
    <w:lvl w:ilvl="0" w:tplc="785024F0">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F1E699C"/>
    <w:multiLevelType w:val="hybridMultilevel"/>
    <w:tmpl w:val="D36C755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
  </w:num>
  <w:num w:numId="2">
    <w:abstractNumId w:val="5"/>
  </w:num>
  <w:num w:numId="3">
    <w:abstractNumId w:val="3"/>
  </w:num>
  <w:num w:numId="4">
    <w:abstractNumId w:val="9"/>
  </w:num>
  <w:num w:numId="5">
    <w:abstractNumId w:val="1"/>
  </w:num>
  <w:num w:numId="6">
    <w:abstractNumId w:val="12"/>
  </w:num>
  <w:num w:numId="7">
    <w:abstractNumId w:val="4"/>
  </w:num>
  <w:num w:numId="8">
    <w:abstractNumId w:val="0"/>
  </w:num>
  <w:num w:numId="9">
    <w:abstractNumId w:val="10"/>
  </w:num>
  <w:num w:numId="10">
    <w:abstractNumId w:val="2"/>
  </w:num>
  <w:num w:numId="11">
    <w:abstractNumId w:val="6"/>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CF5"/>
    <w:rsid w:val="000740C8"/>
    <w:rsid w:val="00102B53"/>
    <w:rsid w:val="00111F38"/>
    <w:rsid w:val="00127926"/>
    <w:rsid w:val="00134FC1"/>
    <w:rsid w:val="001A5623"/>
    <w:rsid w:val="001B4FED"/>
    <w:rsid w:val="001C6E1C"/>
    <w:rsid w:val="002043DB"/>
    <w:rsid w:val="0022657D"/>
    <w:rsid w:val="00262F56"/>
    <w:rsid w:val="00291B3B"/>
    <w:rsid w:val="002950FD"/>
    <w:rsid w:val="002D13A6"/>
    <w:rsid w:val="002E5CF5"/>
    <w:rsid w:val="00307FDB"/>
    <w:rsid w:val="003407C8"/>
    <w:rsid w:val="00381300"/>
    <w:rsid w:val="003822C4"/>
    <w:rsid w:val="003938C2"/>
    <w:rsid w:val="003A5DA2"/>
    <w:rsid w:val="003B18E2"/>
    <w:rsid w:val="003D5983"/>
    <w:rsid w:val="003D69F4"/>
    <w:rsid w:val="00424956"/>
    <w:rsid w:val="004553CF"/>
    <w:rsid w:val="00477F6D"/>
    <w:rsid w:val="004C15AE"/>
    <w:rsid w:val="004D75AE"/>
    <w:rsid w:val="005C6166"/>
    <w:rsid w:val="005F17A3"/>
    <w:rsid w:val="005F21AB"/>
    <w:rsid w:val="00606C84"/>
    <w:rsid w:val="006152EA"/>
    <w:rsid w:val="006312FF"/>
    <w:rsid w:val="00691494"/>
    <w:rsid w:val="006A767D"/>
    <w:rsid w:val="006A77CE"/>
    <w:rsid w:val="006D4CC1"/>
    <w:rsid w:val="006D6201"/>
    <w:rsid w:val="007113EF"/>
    <w:rsid w:val="00731C84"/>
    <w:rsid w:val="007565B5"/>
    <w:rsid w:val="00762B3F"/>
    <w:rsid w:val="0076631B"/>
    <w:rsid w:val="00775AD7"/>
    <w:rsid w:val="007E12E8"/>
    <w:rsid w:val="007E579B"/>
    <w:rsid w:val="0087788F"/>
    <w:rsid w:val="008B6E1F"/>
    <w:rsid w:val="008F2159"/>
    <w:rsid w:val="008F6169"/>
    <w:rsid w:val="00971FF8"/>
    <w:rsid w:val="009B2C10"/>
    <w:rsid w:val="009E20F9"/>
    <w:rsid w:val="00AD1136"/>
    <w:rsid w:val="00B73DFB"/>
    <w:rsid w:val="00B90878"/>
    <w:rsid w:val="00BA38B1"/>
    <w:rsid w:val="00BD67D2"/>
    <w:rsid w:val="00BF7703"/>
    <w:rsid w:val="00C37BB0"/>
    <w:rsid w:val="00D13973"/>
    <w:rsid w:val="00D27AB7"/>
    <w:rsid w:val="00D4071C"/>
    <w:rsid w:val="00D61E89"/>
    <w:rsid w:val="00E167CD"/>
    <w:rsid w:val="00E23426"/>
    <w:rsid w:val="00E43EDD"/>
    <w:rsid w:val="00E44AB8"/>
    <w:rsid w:val="00E62D10"/>
    <w:rsid w:val="00E75DE5"/>
    <w:rsid w:val="00F26E0B"/>
    <w:rsid w:val="00F62C12"/>
    <w:rsid w:val="00F64568"/>
    <w:rsid w:val="00F679C9"/>
    <w:rsid w:val="00F932D7"/>
    <w:rsid w:val="00FE6856"/>
  </w:rsids>
  <m:mathPr>
    <m:mathFont m:val="Cambria Math"/>
    <m:brkBin m:val="before"/>
    <m:brkBinSub m:val="--"/>
    <m:smallFrac m:val="0"/>
    <m:dispDef/>
    <m:lMargin m:val="0"/>
    <m:rMargin m:val="0"/>
    <m:defJc m:val="centerGroup"/>
    <m:wrapIndent m:val="1440"/>
    <m:intLim m:val="subSup"/>
    <m:naryLim m:val="undOvr"/>
  </m:mathPr>
  <w:themeFontLang w:val="en-US" w:eastAsia="zh-CN"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3938A7-18D0-4C66-A22A-E69CACBB3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9"/>
    <w:qFormat/>
    <w:rsid w:val="005F21AB"/>
    <w:pPr>
      <w:keepNext/>
      <w:keepLines/>
      <w:spacing w:before="200" w:after="0"/>
      <w:outlineLvl w:val="2"/>
    </w:pPr>
    <w:rPr>
      <w:rFonts w:ascii="Cambria" w:eastAsia="Times New Roman" w:hAnsi="Cambria" w:cs="Cambria"/>
      <w:b/>
      <w:bCs/>
      <w:color w:val="4F81BD"/>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932D7"/>
    <w:pPr>
      <w:spacing w:after="0" w:line="240" w:lineRule="auto"/>
    </w:pPr>
    <w:rPr>
      <w:rFonts w:ascii="SimSun" w:eastAsia="SimSun"/>
      <w:sz w:val="18"/>
      <w:szCs w:val="18"/>
    </w:rPr>
  </w:style>
  <w:style w:type="character" w:customStyle="1" w:styleId="BalloonTextChar">
    <w:name w:val="Balloon Text Char"/>
    <w:basedOn w:val="DefaultParagraphFont"/>
    <w:link w:val="BalloonText"/>
    <w:uiPriority w:val="99"/>
    <w:semiHidden/>
    <w:rsid w:val="00F932D7"/>
    <w:rPr>
      <w:rFonts w:ascii="SimSun" w:eastAsia="SimSun"/>
      <w:sz w:val="18"/>
      <w:szCs w:val="18"/>
    </w:rPr>
  </w:style>
  <w:style w:type="paragraph" w:styleId="ListParagraph">
    <w:name w:val="List Paragraph"/>
    <w:basedOn w:val="Normal"/>
    <w:uiPriority w:val="34"/>
    <w:qFormat/>
    <w:rsid w:val="009B2C10"/>
    <w:pPr>
      <w:ind w:left="720"/>
      <w:contextualSpacing/>
    </w:pPr>
  </w:style>
  <w:style w:type="paragraph" w:styleId="NoSpacing">
    <w:name w:val="No Spacing"/>
    <w:link w:val="NoSpacingChar"/>
    <w:uiPriority w:val="1"/>
    <w:qFormat/>
    <w:rsid w:val="006D4CC1"/>
    <w:pPr>
      <w:spacing w:after="0" w:line="240" w:lineRule="auto"/>
    </w:pPr>
    <w:rPr>
      <w:lang w:eastAsia="ja-JP"/>
    </w:rPr>
  </w:style>
  <w:style w:type="character" w:customStyle="1" w:styleId="NoSpacingChar">
    <w:name w:val="No Spacing Char"/>
    <w:basedOn w:val="DefaultParagraphFont"/>
    <w:link w:val="NoSpacing"/>
    <w:uiPriority w:val="1"/>
    <w:rsid w:val="006D4CC1"/>
    <w:rPr>
      <w:lang w:eastAsia="ja-JP"/>
    </w:rPr>
  </w:style>
  <w:style w:type="paragraph" w:styleId="Title">
    <w:name w:val="Title"/>
    <w:basedOn w:val="Normal"/>
    <w:next w:val="Normal"/>
    <w:link w:val="TitleChar"/>
    <w:uiPriority w:val="10"/>
    <w:qFormat/>
    <w:rsid w:val="006D4CC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6D4CC1"/>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6D4CC1"/>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6D4CC1"/>
    <w:rPr>
      <w:rFonts w:asciiTheme="majorHAnsi" w:eastAsiaTheme="majorEastAsia" w:hAnsiTheme="majorHAnsi" w:cstheme="majorBidi"/>
      <w:i/>
      <w:iCs/>
      <w:color w:val="4F81BD" w:themeColor="accent1"/>
      <w:spacing w:val="15"/>
      <w:sz w:val="24"/>
      <w:szCs w:val="24"/>
      <w:lang w:eastAsia="ja-JP"/>
    </w:rPr>
  </w:style>
  <w:style w:type="paragraph" w:styleId="Header">
    <w:name w:val="header"/>
    <w:basedOn w:val="Normal"/>
    <w:link w:val="HeaderChar"/>
    <w:uiPriority w:val="99"/>
    <w:unhideWhenUsed/>
    <w:rsid w:val="006D4C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4CC1"/>
  </w:style>
  <w:style w:type="paragraph" w:styleId="Footer">
    <w:name w:val="footer"/>
    <w:basedOn w:val="Normal"/>
    <w:link w:val="FooterChar"/>
    <w:uiPriority w:val="99"/>
    <w:unhideWhenUsed/>
    <w:rsid w:val="006D4C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4CC1"/>
  </w:style>
  <w:style w:type="character" w:customStyle="1" w:styleId="Heading3Char">
    <w:name w:val="Heading 3 Char"/>
    <w:basedOn w:val="DefaultParagraphFont"/>
    <w:link w:val="Heading3"/>
    <w:uiPriority w:val="99"/>
    <w:rsid w:val="005F21AB"/>
    <w:rPr>
      <w:rFonts w:ascii="Cambria" w:eastAsia="Times New Roman" w:hAnsi="Cambria" w:cs="Cambria"/>
      <w:b/>
      <w:bCs/>
      <w:color w:val="4F81BD"/>
      <w:lang w:val="en-CA" w:eastAsia="en-US"/>
    </w:rPr>
  </w:style>
  <w:style w:type="paragraph" w:customStyle="1" w:styleId="Default">
    <w:name w:val="Default"/>
    <w:rsid w:val="005F21AB"/>
    <w:pPr>
      <w:autoSpaceDE w:val="0"/>
      <w:autoSpaceDN w:val="0"/>
      <w:adjustRightInd w:val="0"/>
      <w:spacing w:after="0" w:line="240" w:lineRule="auto"/>
    </w:pPr>
    <w:rPr>
      <w:rFonts w:ascii="Times New Roman" w:eastAsia="Calibri" w:hAnsi="Times New Roman" w:cs="Times New Roman"/>
      <w:color w:val="000000"/>
      <w:sz w:val="24"/>
      <w:szCs w:val="24"/>
      <w:lang w:val="en-CA" w:eastAsia="en-US"/>
    </w:rPr>
  </w:style>
  <w:style w:type="paragraph" w:styleId="NormalWeb">
    <w:name w:val="Normal (Web)"/>
    <w:basedOn w:val="Normal"/>
    <w:uiPriority w:val="99"/>
    <w:semiHidden/>
    <w:unhideWhenUsed/>
    <w:rsid w:val="005F21AB"/>
    <w:pPr>
      <w:spacing w:before="100" w:beforeAutospacing="1" w:after="100" w:afterAutospacing="1" w:line="240" w:lineRule="auto"/>
    </w:pPr>
    <w:rPr>
      <w:rFonts w:ascii="Times New Roman" w:eastAsia="Times New Roman" w:hAnsi="Times New Roman" w:cs="Times New Roman"/>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EB00A-F415-4F5E-843E-098237A2F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10</Pages>
  <Words>2321</Words>
  <Characters>13234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Assignment 2: Lakeview hotel investment corp. </vt:lpstr>
    </vt:vector>
  </TitlesOfParts>
  <Company/>
  <LinksUpToDate>false</LinksUpToDate>
  <CharactersWithSpaces>15524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Lakeview hotel investment corp. </dc:title>
  <dc:subject/>
  <dc:creator>YUSKI</dc:creator>
  <cp:keywords/>
  <dc:description/>
  <cp:lastModifiedBy>Bibushanan</cp:lastModifiedBy>
  <cp:revision>6</cp:revision>
  <dcterms:created xsi:type="dcterms:W3CDTF">2014-07-28T05:16:00Z</dcterms:created>
  <dcterms:modified xsi:type="dcterms:W3CDTF">2014-10-16T20:45:00Z</dcterms:modified>
</cp:coreProperties>
</file>