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900DDA" w14:textId="77777777" w:rsidR="0070731A" w:rsidRDefault="00BF5841" w:rsidP="00BF5841">
      <w:pPr>
        <w:pStyle w:val="ListParagraph"/>
        <w:numPr>
          <w:ilvl w:val="0"/>
          <w:numId w:val="1"/>
        </w:numPr>
        <w:rPr>
          <w:lang w:val="fr-CA"/>
        </w:rPr>
      </w:pPr>
      <w:r w:rsidRPr="00BF5841">
        <w:rPr>
          <w:lang w:val="fr-CA"/>
        </w:rPr>
        <w:t xml:space="preserve">Inventions juridiques : </w:t>
      </w:r>
    </w:p>
    <w:p w14:paraId="11704096" w14:textId="77777777" w:rsidR="00BF5841" w:rsidRDefault="00AB3796" w:rsidP="00BF5841">
      <w:pPr>
        <w:pStyle w:val="ListParagraph"/>
        <w:numPr>
          <w:ilvl w:val="1"/>
          <w:numId w:val="1"/>
        </w:numPr>
        <w:rPr>
          <w:lang w:val="fr-CA"/>
        </w:rPr>
      </w:pPr>
      <w:r>
        <w:rPr>
          <w:lang w:val="fr-CA"/>
        </w:rPr>
        <w:t>Le procureur : représentant du roi (représente l’intérêt du roi, le roi doit être « partout »)</w:t>
      </w:r>
    </w:p>
    <w:p w14:paraId="1A6A6C8C" w14:textId="77777777" w:rsidR="00AB3796" w:rsidRDefault="00AB3796" w:rsidP="00BF5841">
      <w:pPr>
        <w:pStyle w:val="ListParagraph"/>
        <w:numPr>
          <w:ilvl w:val="1"/>
          <w:numId w:val="1"/>
        </w:numPr>
        <w:rPr>
          <w:lang w:val="fr-CA"/>
        </w:rPr>
      </w:pPr>
      <w:r>
        <w:rPr>
          <w:lang w:val="fr-CA"/>
        </w:rPr>
        <w:t>L’ « action publique » et la notion d’ « infraction » et les « cas royaux »</w:t>
      </w:r>
    </w:p>
    <w:p w14:paraId="7FD2F738" w14:textId="77777777" w:rsidR="00112534" w:rsidRDefault="00112534" w:rsidP="00112534">
      <w:pPr>
        <w:pStyle w:val="ListParagraph"/>
        <w:numPr>
          <w:ilvl w:val="2"/>
          <w:numId w:val="1"/>
        </w:numPr>
        <w:rPr>
          <w:lang w:val="fr-CA"/>
        </w:rPr>
      </w:pPr>
      <w:r>
        <w:rPr>
          <w:lang w:val="fr-CA"/>
        </w:rPr>
        <w:t>Le conflit est « volé » aux victimes</w:t>
      </w:r>
    </w:p>
    <w:p w14:paraId="5B6320AB" w14:textId="77777777" w:rsidR="00112534" w:rsidRDefault="00112534" w:rsidP="00112534">
      <w:pPr>
        <w:pStyle w:val="ListParagraph"/>
        <w:numPr>
          <w:ilvl w:val="1"/>
          <w:numId w:val="1"/>
        </w:numPr>
        <w:rPr>
          <w:lang w:val="fr-CA"/>
        </w:rPr>
      </w:pPr>
      <w:r>
        <w:rPr>
          <w:lang w:val="fr-CA"/>
        </w:rPr>
        <w:t>Offenseur – devient l’ennemi du Roi, l’ennemi de tous</w:t>
      </w:r>
    </w:p>
    <w:p w14:paraId="04E92DBF" w14:textId="77777777" w:rsidR="00112534" w:rsidRDefault="00112534" w:rsidP="00112534">
      <w:pPr>
        <w:pStyle w:val="ListParagraph"/>
        <w:numPr>
          <w:ilvl w:val="1"/>
          <w:numId w:val="1"/>
        </w:numPr>
        <w:rPr>
          <w:lang w:val="fr-CA"/>
        </w:rPr>
      </w:pPr>
      <w:r>
        <w:rPr>
          <w:lang w:val="fr-CA"/>
        </w:rPr>
        <w:t>L’amende (va dans le coffre du Roi; les pauvres se faisaient assujettis aux châtiments corporels – l’ « emprisonnement de la pauvreté »)</w:t>
      </w:r>
    </w:p>
    <w:p w14:paraId="008CA1E7" w14:textId="6486C542" w:rsidR="003B4163" w:rsidRPr="00906DB9" w:rsidRDefault="003B4163" w:rsidP="003B4163">
      <w:pPr>
        <w:pStyle w:val="ListParagraph"/>
        <w:numPr>
          <w:ilvl w:val="0"/>
          <w:numId w:val="1"/>
        </w:numPr>
        <w:rPr>
          <w:lang w:val="fr-CA"/>
        </w:rPr>
      </w:pPr>
      <w:r>
        <w:rPr>
          <w:lang w:val="fr-CA"/>
        </w:rPr>
        <w:t>Tous ces changements vont formés l</w:t>
      </w:r>
      <w:r w:rsidR="00906DB9">
        <w:rPr>
          <w:lang w:val="fr-CA"/>
        </w:rPr>
        <w:t xml:space="preserve">es bases du système judiciaire </w:t>
      </w:r>
      <w:r w:rsidRPr="00906DB9">
        <w:rPr>
          <w:lang w:val="fr-CA"/>
        </w:rPr>
        <w:t>d’aujourd’hui</w:t>
      </w:r>
    </w:p>
    <w:p w14:paraId="2E2BC029" w14:textId="77777777" w:rsidR="003B4163" w:rsidRDefault="003B4163" w:rsidP="003B4163">
      <w:pPr>
        <w:rPr>
          <w:lang w:val="fr-CA"/>
        </w:rPr>
      </w:pPr>
    </w:p>
    <w:p w14:paraId="5F77A2EF" w14:textId="77777777" w:rsidR="003B4163" w:rsidRDefault="003B4163" w:rsidP="003B4163">
      <w:pPr>
        <w:rPr>
          <w:lang w:val="fr-CA"/>
        </w:rPr>
      </w:pPr>
      <w:r>
        <w:rPr>
          <w:b/>
          <w:lang w:val="fr-CA"/>
        </w:rPr>
        <w:t>Introduction à la doctrine de la sévérité maximale</w:t>
      </w:r>
    </w:p>
    <w:p w14:paraId="0BB29F74" w14:textId="77777777" w:rsidR="003B4163" w:rsidRDefault="00F05F69" w:rsidP="003B4163">
      <w:pPr>
        <w:rPr>
          <w:lang w:val="fr-CA"/>
        </w:rPr>
      </w:pPr>
      <w:r>
        <w:rPr>
          <w:lang w:val="fr-CA"/>
        </w:rPr>
        <w:t>La philosophie pénale de la D.S.M.</w:t>
      </w:r>
    </w:p>
    <w:p w14:paraId="5E9BE13B" w14:textId="77777777" w:rsidR="00F05F69" w:rsidRDefault="00F05F69" w:rsidP="00F05F69">
      <w:pPr>
        <w:pStyle w:val="ListParagraph"/>
        <w:numPr>
          <w:ilvl w:val="0"/>
          <w:numId w:val="2"/>
        </w:numPr>
        <w:rPr>
          <w:lang w:val="fr-CA"/>
        </w:rPr>
      </w:pPr>
      <w:r w:rsidRPr="00F05F69">
        <w:rPr>
          <w:u w:val="single"/>
          <w:lang w:val="fr-CA"/>
        </w:rPr>
        <w:t>Sanction afflictive </w:t>
      </w:r>
      <w:r>
        <w:rPr>
          <w:lang w:val="fr-CA"/>
        </w:rPr>
        <w:t xml:space="preserve">: Mode étatique de résolution de conflits qui est mise en œuvre par le droit pénal de l’État et qui vise la protection de la société par l’entremise d’une souffrance distribuée contre ceux et celles qui menacent l’ordre contre la société </w:t>
      </w:r>
    </w:p>
    <w:p w14:paraId="1D1C8833" w14:textId="0231B169" w:rsidR="00F05F69" w:rsidRDefault="0073099C" w:rsidP="00F05F69">
      <w:pPr>
        <w:pStyle w:val="ListParagraph"/>
        <w:numPr>
          <w:ilvl w:val="0"/>
          <w:numId w:val="2"/>
        </w:numPr>
        <w:rPr>
          <w:lang w:val="fr-CA"/>
        </w:rPr>
      </w:pPr>
      <w:r>
        <w:rPr>
          <w:lang w:val="fr-CA"/>
        </w:rPr>
        <w:t>L’idée qu’on protège la société par des sanctions afflictives</w:t>
      </w:r>
    </w:p>
    <w:p w14:paraId="476FA83D" w14:textId="5845A321" w:rsidR="0073099C" w:rsidRDefault="0073099C" w:rsidP="00F05F69">
      <w:pPr>
        <w:pStyle w:val="ListParagraph"/>
        <w:numPr>
          <w:ilvl w:val="0"/>
          <w:numId w:val="2"/>
        </w:numPr>
        <w:rPr>
          <w:lang w:val="fr-CA"/>
        </w:rPr>
      </w:pPr>
      <w:r>
        <w:rPr>
          <w:lang w:val="fr-CA"/>
        </w:rPr>
        <w:t>On impose des sanctions dans le but de faire réparer le tort (souffrir l’offenseur)</w:t>
      </w:r>
    </w:p>
    <w:p w14:paraId="214A7016" w14:textId="140B0D7C" w:rsidR="00906DB9" w:rsidRDefault="00906DB9" w:rsidP="00906DB9">
      <w:pPr>
        <w:rPr>
          <w:lang w:val="fr-CA"/>
        </w:rPr>
      </w:pPr>
      <w:r>
        <w:rPr>
          <w:lang w:val="fr-CA"/>
        </w:rPr>
        <w:br/>
        <w:t>Quelques traits caractéristiques de la DSM :</w:t>
      </w:r>
    </w:p>
    <w:p w14:paraId="07111BFA" w14:textId="1CFCBBD8" w:rsidR="00906DB9" w:rsidRDefault="00906DB9" w:rsidP="00906DB9">
      <w:pPr>
        <w:pStyle w:val="ListParagraph"/>
        <w:numPr>
          <w:ilvl w:val="0"/>
          <w:numId w:val="3"/>
        </w:numPr>
        <w:rPr>
          <w:lang w:val="fr-CA"/>
        </w:rPr>
      </w:pPr>
      <w:r>
        <w:rPr>
          <w:lang w:val="fr-CA"/>
        </w:rPr>
        <w:t>(Sur) valorisation exclusive des sanctions afflictives appliquées par l’entremise de l’État et de son bras de fer : le droit pénal;</w:t>
      </w:r>
    </w:p>
    <w:p w14:paraId="147B5C16" w14:textId="2614AF5B" w:rsidR="00906DB9" w:rsidRDefault="00906DB9" w:rsidP="00906DB9">
      <w:pPr>
        <w:pStyle w:val="ListParagraph"/>
        <w:numPr>
          <w:ilvl w:val="1"/>
          <w:numId w:val="3"/>
        </w:numPr>
        <w:rPr>
          <w:lang w:val="fr-CA"/>
        </w:rPr>
      </w:pPr>
      <w:r>
        <w:rPr>
          <w:lang w:val="fr-CA"/>
        </w:rPr>
        <w:t>exemples contemporains tirés de la jurisprudence de la Cour suprême du Canada</w:t>
      </w:r>
    </w:p>
    <w:p w14:paraId="72BC2B87" w14:textId="4BB177C3" w:rsidR="00906DB9" w:rsidRDefault="00906DB9" w:rsidP="00906DB9">
      <w:pPr>
        <w:pStyle w:val="ListParagraph"/>
        <w:numPr>
          <w:ilvl w:val="0"/>
          <w:numId w:val="3"/>
        </w:numPr>
        <w:rPr>
          <w:lang w:val="fr-CA"/>
        </w:rPr>
      </w:pPr>
      <w:r>
        <w:rPr>
          <w:lang w:val="fr-CA"/>
        </w:rPr>
        <w:t>Philosophie dite « fermée », parce que, règle générale, elle exclut les autres modes de résolution de conflit – juridiques (drt. Civil) et non juridiques (vengeance privée, réconciliation) – lesquels sont considérés insuffisants, inappropriés, non efficaces</w:t>
      </w:r>
    </w:p>
    <w:p w14:paraId="7C8633C6" w14:textId="76BECD20" w:rsidR="004B7742" w:rsidRDefault="004B7742" w:rsidP="00906DB9">
      <w:pPr>
        <w:pStyle w:val="ListParagraph"/>
        <w:numPr>
          <w:ilvl w:val="0"/>
          <w:numId w:val="3"/>
        </w:numPr>
        <w:rPr>
          <w:lang w:val="fr-CA"/>
        </w:rPr>
      </w:pPr>
      <w:r>
        <w:rPr>
          <w:lang w:val="fr-CA"/>
        </w:rPr>
        <w:t>La DSM comme philosophie utilitariste (tournée vers l’avenir) qui s’oppose à la philosophie rétributiviste (tournée vers le passé)</w:t>
      </w:r>
    </w:p>
    <w:p w14:paraId="6C467A8B" w14:textId="77777777" w:rsidR="004B7742" w:rsidRDefault="004B7742" w:rsidP="004B7742">
      <w:pPr>
        <w:rPr>
          <w:lang w:val="fr-CA"/>
        </w:rPr>
      </w:pPr>
    </w:p>
    <w:p w14:paraId="44FFF813" w14:textId="77777777" w:rsidR="004B7742" w:rsidRDefault="004B7742" w:rsidP="004B7742">
      <w:pPr>
        <w:rPr>
          <w:lang w:val="fr-CA"/>
        </w:rPr>
      </w:pPr>
    </w:p>
    <w:p w14:paraId="1CB7F707" w14:textId="77777777" w:rsidR="004B7742" w:rsidRDefault="004B7742" w:rsidP="004B7742">
      <w:pPr>
        <w:rPr>
          <w:lang w:val="fr-CA"/>
        </w:rPr>
      </w:pPr>
    </w:p>
    <w:p w14:paraId="588C9505" w14:textId="77777777" w:rsidR="004B7742" w:rsidRDefault="004B7742" w:rsidP="004B7742">
      <w:pPr>
        <w:rPr>
          <w:lang w:val="fr-CA"/>
        </w:rPr>
      </w:pPr>
    </w:p>
    <w:p w14:paraId="243DB39D" w14:textId="77777777" w:rsidR="004B7742" w:rsidRDefault="004B7742" w:rsidP="004B7742">
      <w:pPr>
        <w:rPr>
          <w:lang w:val="fr-CA"/>
        </w:rPr>
      </w:pPr>
    </w:p>
    <w:p w14:paraId="6E205CDB" w14:textId="77777777" w:rsidR="004B7742" w:rsidRDefault="004B7742" w:rsidP="004B7742">
      <w:pPr>
        <w:rPr>
          <w:lang w:val="fr-CA"/>
        </w:rPr>
      </w:pPr>
    </w:p>
    <w:p w14:paraId="6A97410E" w14:textId="77777777" w:rsidR="004B7742" w:rsidRDefault="004B7742" w:rsidP="004B7742">
      <w:pPr>
        <w:rPr>
          <w:lang w:val="fr-CA"/>
        </w:rPr>
      </w:pPr>
    </w:p>
    <w:tbl>
      <w:tblPr>
        <w:tblStyle w:val="TableGrid"/>
        <w:tblpPr w:leftFromText="180" w:rightFromText="180" w:vertAnchor="page" w:horzAnchor="page" w:tblpX="2449" w:tblpY="1981"/>
        <w:tblW w:w="0" w:type="auto"/>
        <w:tblLook w:val="04A0" w:firstRow="1" w:lastRow="0" w:firstColumn="1" w:lastColumn="0" w:noHBand="0" w:noVBand="1"/>
      </w:tblPr>
      <w:tblGrid>
        <w:gridCol w:w="2952"/>
        <w:gridCol w:w="2952"/>
        <w:gridCol w:w="2952"/>
      </w:tblGrid>
      <w:tr w:rsidR="004B7742" w14:paraId="35A3D786" w14:textId="77777777" w:rsidTr="004B7742">
        <w:tc>
          <w:tcPr>
            <w:tcW w:w="2952" w:type="dxa"/>
          </w:tcPr>
          <w:p w14:paraId="008595C4" w14:textId="77777777" w:rsidR="004B7742" w:rsidRDefault="004B7742" w:rsidP="004B7742">
            <w:pPr>
              <w:rPr>
                <w:lang w:val="fr-CA"/>
              </w:rPr>
            </w:pPr>
            <w:r>
              <w:rPr>
                <w:lang w:val="fr-CA"/>
              </w:rPr>
              <w:lastRenderedPageBreak/>
              <w:t>Utilitarisme</w:t>
            </w:r>
          </w:p>
        </w:tc>
        <w:tc>
          <w:tcPr>
            <w:tcW w:w="2952" w:type="dxa"/>
          </w:tcPr>
          <w:p w14:paraId="1FCF32A2" w14:textId="77777777" w:rsidR="004B7742" w:rsidRDefault="004B7742" w:rsidP="004B7742">
            <w:pPr>
              <w:jc w:val="center"/>
              <w:rPr>
                <w:lang w:val="fr-CA"/>
              </w:rPr>
            </w:pPr>
            <w:r>
              <w:rPr>
                <w:lang w:val="fr-CA"/>
              </w:rPr>
              <w:t>vs</w:t>
            </w:r>
          </w:p>
        </w:tc>
        <w:tc>
          <w:tcPr>
            <w:tcW w:w="2952" w:type="dxa"/>
          </w:tcPr>
          <w:p w14:paraId="6AD62DB1" w14:textId="77777777" w:rsidR="004B7742" w:rsidRDefault="004B7742" w:rsidP="004B7742">
            <w:pPr>
              <w:rPr>
                <w:lang w:val="fr-CA"/>
              </w:rPr>
            </w:pPr>
            <w:r>
              <w:rPr>
                <w:lang w:val="fr-CA"/>
              </w:rPr>
              <w:t xml:space="preserve">Rétributivisme </w:t>
            </w:r>
          </w:p>
        </w:tc>
      </w:tr>
      <w:tr w:rsidR="004B7742" w14:paraId="25B38D86" w14:textId="77777777" w:rsidTr="004B7742">
        <w:tc>
          <w:tcPr>
            <w:tcW w:w="2952" w:type="dxa"/>
          </w:tcPr>
          <w:p w14:paraId="6990076B" w14:textId="5969D50B" w:rsidR="004B7742" w:rsidRPr="004B7742" w:rsidRDefault="004B7742" w:rsidP="004B7742">
            <w:pPr>
              <w:rPr>
                <w:lang w:val="fr-CA"/>
              </w:rPr>
            </w:pPr>
            <w:r>
              <w:rPr>
                <w:lang w:val="fr-CA"/>
              </w:rPr>
              <w:t xml:space="preserve">La souffrance étatique distribuée contre les uns n’est </w:t>
            </w:r>
            <w:r>
              <w:rPr>
                <w:lang w:val="fr-CA"/>
              </w:rPr>
              <w:t>justifiée</w:t>
            </w:r>
            <w:r>
              <w:rPr>
                <w:lang w:val="fr-CA"/>
              </w:rPr>
              <w:t xml:space="preserve"> que lorsqu’elle vise et permet, </w:t>
            </w:r>
            <w:r>
              <w:rPr>
                <w:i/>
                <w:lang w:val="fr-CA"/>
              </w:rPr>
              <w:t>concrètement</w:t>
            </w:r>
            <w:r>
              <w:rPr>
                <w:lang w:val="fr-CA"/>
              </w:rPr>
              <w:t>, le plus grand bonheur des autres. Ce n’est pas le crime commis qui justifie la peine, c’est la possibilité de le prévenir dans l’avenir</w:t>
            </w:r>
          </w:p>
        </w:tc>
        <w:tc>
          <w:tcPr>
            <w:tcW w:w="2952" w:type="dxa"/>
          </w:tcPr>
          <w:p w14:paraId="5579889C" w14:textId="77777777" w:rsidR="004B7742" w:rsidRDefault="004B7742" w:rsidP="004B7742">
            <w:pPr>
              <w:rPr>
                <w:lang w:val="fr-CA"/>
              </w:rPr>
            </w:pPr>
          </w:p>
        </w:tc>
        <w:tc>
          <w:tcPr>
            <w:tcW w:w="2952" w:type="dxa"/>
          </w:tcPr>
          <w:p w14:paraId="327AA25D" w14:textId="77777777" w:rsidR="004B7742" w:rsidRPr="004B7742" w:rsidRDefault="004B7742" w:rsidP="004B7742">
            <w:pPr>
              <w:rPr>
                <w:lang w:val="fr-CA"/>
              </w:rPr>
            </w:pPr>
            <w:r>
              <w:rPr>
                <w:lang w:val="fr-CA"/>
              </w:rPr>
              <w:t xml:space="preserve">La souffrance étatique distribuée contre les uns n’est justifiée </w:t>
            </w:r>
            <w:r>
              <w:rPr>
                <w:i/>
                <w:lang w:val="fr-CA"/>
              </w:rPr>
              <w:t>que par la faute qui a été commise </w:t>
            </w:r>
            <w:r>
              <w:rPr>
                <w:lang w:val="fr-CA"/>
              </w:rPr>
              <w:t>: les effets concrets que pourrait produire cette souffrance dans l’avenir sont sans importance pour la Justice. Seuls le crime commis et l’obligation morale d’y répondre peuvent justifier la peine</w:t>
            </w:r>
          </w:p>
        </w:tc>
      </w:tr>
      <w:tr w:rsidR="004B7742" w14:paraId="4F7FD636" w14:textId="77777777" w:rsidTr="004B7742">
        <w:tc>
          <w:tcPr>
            <w:tcW w:w="2952" w:type="dxa"/>
          </w:tcPr>
          <w:p w14:paraId="744908F2" w14:textId="71692CF4" w:rsidR="004B7742" w:rsidRPr="004B7742" w:rsidRDefault="004B7742" w:rsidP="004B7742">
            <w:pPr>
              <w:rPr>
                <w:lang w:val="fr-CA"/>
              </w:rPr>
            </w:pPr>
            <w:r>
              <w:rPr>
                <w:lang w:val="fr-CA"/>
              </w:rPr>
              <w:t xml:space="preserve">Le droit de punir relève d’une </w:t>
            </w:r>
            <w:r>
              <w:rPr>
                <w:i/>
                <w:lang w:val="fr-CA"/>
              </w:rPr>
              <w:t>obligation politique </w:t>
            </w:r>
            <w:r>
              <w:rPr>
                <w:lang w:val="fr-CA"/>
              </w:rPr>
              <w:t>: celle de protéger la société</w:t>
            </w:r>
          </w:p>
        </w:tc>
        <w:tc>
          <w:tcPr>
            <w:tcW w:w="2952" w:type="dxa"/>
          </w:tcPr>
          <w:p w14:paraId="30E91FC1" w14:textId="77777777" w:rsidR="004B7742" w:rsidRDefault="004B7742" w:rsidP="004B7742">
            <w:pPr>
              <w:rPr>
                <w:lang w:val="fr-CA"/>
              </w:rPr>
            </w:pPr>
          </w:p>
        </w:tc>
        <w:tc>
          <w:tcPr>
            <w:tcW w:w="2952" w:type="dxa"/>
          </w:tcPr>
          <w:p w14:paraId="7A74020E" w14:textId="2FA1AC78" w:rsidR="004B7742" w:rsidRPr="004B7742" w:rsidRDefault="004B7742" w:rsidP="004B7742">
            <w:pPr>
              <w:rPr>
                <w:lang w:val="fr-CA"/>
              </w:rPr>
            </w:pPr>
            <w:r>
              <w:rPr>
                <w:lang w:val="fr-CA"/>
              </w:rPr>
              <w:t xml:space="preserve">Le droit de punir relève d’une </w:t>
            </w:r>
            <w:r>
              <w:rPr>
                <w:i/>
                <w:lang w:val="fr-CA"/>
              </w:rPr>
              <w:t>obligation morale </w:t>
            </w:r>
            <w:r>
              <w:rPr>
                <w:lang w:val="fr-CA"/>
              </w:rPr>
              <w:t xml:space="preserve">: celle de rétablir </w:t>
            </w:r>
            <w:r>
              <w:rPr>
                <w:i/>
                <w:lang w:val="fr-CA"/>
              </w:rPr>
              <w:t>symboliquement</w:t>
            </w:r>
            <w:r>
              <w:rPr>
                <w:lang w:val="fr-CA"/>
              </w:rPr>
              <w:t xml:space="preserve"> l’état de la justice qui a été déséquilibr</w:t>
            </w:r>
            <w:bookmarkStart w:id="0" w:name="_GoBack"/>
            <w:bookmarkEnd w:id="0"/>
            <w:r>
              <w:rPr>
                <w:lang w:val="fr-CA"/>
              </w:rPr>
              <w:t>é par la faute commise</w:t>
            </w:r>
          </w:p>
        </w:tc>
      </w:tr>
    </w:tbl>
    <w:p w14:paraId="47A7ADE5" w14:textId="77777777" w:rsidR="004B7742" w:rsidRPr="004B7742" w:rsidRDefault="004B7742" w:rsidP="004B7742">
      <w:pPr>
        <w:rPr>
          <w:lang w:val="fr-CA"/>
        </w:rPr>
      </w:pPr>
    </w:p>
    <w:sectPr w:rsidR="004B7742" w:rsidRPr="004B7742" w:rsidSect="0070731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774E66"/>
    <w:multiLevelType w:val="hybridMultilevel"/>
    <w:tmpl w:val="B5DAFC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66A4060"/>
    <w:multiLevelType w:val="hybridMultilevel"/>
    <w:tmpl w:val="B0BCC8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643009"/>
    <w:multiLevelType w:val="hybridMultilevel"/>
    <w:tmpl w:val="04C8C24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841"/>
    <w:rsid w:val="00112534"/>
    <w:rsid w:val="003B4163"/>
    <w:rsid w:val="004B7742"/>
    <w:rsid w:val="0070731A"/>
    <w:rsid w:val="0073099C"/>
    <w:rsid w:val="00906DB9"/>
    <w:rsid w:val="00AB3796"/>
    <w:rsid w:val="00BF5841"/>
    <w:rsid w:val="00F05F6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DF5EE0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841"/>
    <w:pPr>
      <w:ind w:left="720"/>
      <w:contextualSpacing/>
    </w:pPr>
  </w:style>
  <w:style w:type="table" w:styleId="TableGrid">
    <w:name w:val="Table Grid"/>
    <w:basedOn w:val="TableNormal"/>
    <w:uiPriority w:val="59"/>
    <w:rsid w:val="004B77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841"/>
    <w:pPr>
      <w:ind w:left="720"/>
      <w:contextualSpacing/>
    </w:pPr>
  </w:style>
  <w:style w:type="table" w:styleId="TableGrid">
    <w:name w:val="Table Grid"/>
    <w:basedOn w:val="TableNormal"/>
    <w:uiPriority w:val="59"/>
    <w:rsid w:val="004B77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367</Words>
  <Characters>2095</Characters>
  <Application>Microsoft Macintosh Word</Application>
  <DocSecurity>0</DocSecurity>
  <Lines>17</Lines>
  <Paragraphs>4</Paragraphs>
  <ScaleCrop>false</ScaleCrop>
  <Company>TFS</Company>
  <LinksUpToDate>false</LinksUpToDate>
  <CharactersWithSpaces>2458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TFS – Canada’s International School</dc:creator>
  <cp:keywords/>
  <dc:description/>
  <cp:lastModifiedBy>TFS – Canada’s International School</cp:lastModifiedBy>
  <cp:revision>3</cp:revision>
  <dcterms:created xsi:type="dcterms:W3CDTF">2014-09-12T15:26:00Z</dcterms:created>
  <dcterms:modified xsi:type="dcterms:W3CDTF">2014-09-12T16:33:00Z</dcterms:modified>
</cp:coreProperties>
</file>