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EC5" w:rsidRPr="00580EC5" w:rsidRDefault="00580EC5" w:rsidP="00580EC5">
      <w:pPr>
        <w:spacing w:after="0" w:line="240" w:lineRule="auto"/>
        <w:jc w:val="both"/>
        <w:rPr>
          <w:rFonts w:ascii="Expert-Rounded" w:eastAsia="Times New Roman" w:hAnsi="Expert-Rounded" w:cs="Calibri"/>
          <w:b/>
          <w:sz w:val="24"/>
          <w:szCs w:val="24"/>
          <w:lang w:eastAsia="en-CA"/>
        </w:rPr>
      </w:pP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>COMMERCE 450</w:t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  <w:t xml:space="preserve"> </w:t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  <w:t xml:space="preserve">         ASSIGNMENT 4</w:t>
      </w:r>
      <w:r>
        <w:rPr>
          <w:rFonts w:ascii="Expert-Rounded" w:eastAsia="Times New Roman" w:hAnsi="Expert-Rounded" w:cs="Calibri"/>
          <w:b/>
          <w:sz w:val="24"/>
          <w:szCs w:val="24"/>
          <w:lang w:eastAsia="en-CA"/>
        </w:rPr>
        <w:t>B</w:t>
      </w:r>
    </w:p>
    <w:p w:rsidR="00580EC5" w:rsidRPr="00580EC5" w:rsidRDefault="00580EC5" w:rsidP="00580EC5">
      <w:pPr>
        <w:spacing w:after="0" w:line="240" w:lineRule="auto"/>
        <w:jc w:val="both"/>
        <w:rPr>
          <w:rFonts w:ascii="Expert-Rounded" w:eastAsia="Times New Roman" w:hAnsi="Expert-Rounded" w:cs="Calibri"/>
          <w:b/>
          <w:sz w:val="24"/>
          <w:szCs w:val="24"/>
          <w:lang w:eastAsia="en-CA"/>
        </w:rPr>
      </w:pP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>FALL 2012</w:t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  <w:t xml:space="preserve">  </w:t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ab/>
        <w:t xml:space="preserve">            DUE: November </w:t>
      </w:r>
      <w:r>
        <w:rPr>
          <w:rFonts w:ascii="Expert-Rounded" w:eastAsia="Times New Roman" w:hAnsi="Expert-Rounded" w:cs="Calibri"/>
          <w:b/>
          <w:sz w:val="24"/>
          <w:szCs w:val="24"/>
          <w:lang w:eastAsia="en-CA"/>
        </w:rPr>
        <w:t>8</w:t>
      </w:r>
      <w:r w:rsidRPr="00580EC5">
        <w:rPr>
          <w:rFonts w:ascii="Expert-Rounded" w:eastAsia="Times New Roman" w:hAnsi="Expert-Rounded" w:cs="Calibri"/>
          <w:b/>
          <w:sz w:val="24"/>
          <w:szCs w:val="24"/>
          <w:lang w:eastAsia="en-CA"/>
        </w:rPr>
        <w:t>, 2012</w:t>
      </w:r>
    </w:p>
    <w:p w:rsidR="00580EC5" w:rsidRDefault="00580EC5" w:rsidP="00580EC5">
      <w:pPr>
        <w:suppressAutoHyphens/>
        <w:spacing w:after="120" w:line="240" w:lineRule="auto"/>
        <w:jc w:val="both"/>
        <w:rPr>
          <w:rFonts w:eastAsia="Times New Roman" w:cstheme="minorHAnsi"/>
          <w:b/>
          <w:sz w:val="24"/>
          <w:szCs w:val="24"/>
          <w:lang w:val="en-US" w:eastAsia="ar-SA"/>
        </w:rPr>
      </w:pPr>
    </w:p>
    <w:p w:rsidR="00580EC5" w:rsidRDefault="00580EC5" w:rsidP="00580EC5">
      <w:pPr>
        <w:suppressAutoHyphens/>
        <w:spacing w:after="120" w:line="240" w:lineRule="auto"/>
        <w:jc w:val="both"/>
        <w:rPr>
          <w:rFonts w:eastAsia="Times New Roman" w:cstheme="minorHAnsi"/>
          <w:b/>
          <w:sz w:val="24"/>
          <w:szCs w:val="24"/>
          <w:lang w:val="en-US" w:eastAsia="ar-SA"/>
        </w:rPr>
      </w:pPr>
      <w:r>
        <w:rPr>
          <w:rFonts w:eastAsia="Times New Roman" w:cstheme="minorHAnsi"/>
          <w:b/>
          <w:sz w:val="24"/>
          <w:szCs w:val="24"/>
          <w:lang w:val="en-US" w:eastAsia="ar-SA"/>
        </w:rPr>
        <w:t>Question 1 (</w:t>
      </w:r>
      <w:r w:rsidR="00D72D8F">
        <w:rPr>
          <w:rFonts w:eastAsia="Times New Roman" w:cstheme="minorHAnsi"/>
          <w:b/>
          <w:sz w:val="24"/>
          <w:szCs w:val="24"/>
          <w:lang w:val="en-US" w:eastAsia="ar-SA"/>
        </w:rPr>
        <w:t>18</w:t>
      </w:r>
      <w:r>
        <w:rPr>
          <w:rFonts w:eastAsia="Times New Roman" w:cstheme="minorHAnsi"/>
          <w:b/>
          <w:sz w:val="24"/>
          <w:szCs w:val="24"/>
          <w:lang w:val="en-US" w:eastAsia="ar-SA"/>
        </w:rPr>
        <w:t xml:space="preserve"> marks)</w:t>
      </w:r>
    </w:p>
    <w:p w:rsidR="00580EC5" w:rsidRDefault="00580EC5" w:rsidP="00580EC5">
      <w:pPr>
        <w:spacing w:after="0"/>
        <w:jc w:val="both"/>
      </w:pPr>
      <w:r>
        <w:t>The following information is available with respect to the income tax accounts of Colca Corporation as at December 31, 2011:</w:t>
      </w:r>
    </w:p>
    <w:p w:rsidR="00580EC5" w:rsidRDefault="00580EC5" w:rsidP="00580EC5">
      <w:pPr>
        <w:spacing w:after="0"/>
        <w:jc w:val="both"/>
      </w:pPr>
      <w:r>
        <w:tab/>
        <w:t>Tax loss carried forward from 2010</w:t>
      </w:r>
      <w:r>
        <w:tab/>
      </w:r>
      <w:r>
        <w:tab/>
      </w:r>
      <w:r>
        <w:tab/>
      </w:r>
      <w:r>
        <w:tab/>
      </w:r>
      <w:r>
        <w:tab/>
        <w:t>$200,000</w:t>
      </w:r>
    </w:p>
    <w:p w:rsidR="00580EC5" w:rsidRDefault="00580EC5" w:rsidP="00580EC5">
      <w:pPr>
        <w:spacing w:after="0"/>
        <w:jc w:val="both"/>
      </w:pPr>
      <w:r>
        <w:tab/>
        <w:t>Undepreciated capital cost of amortizable capital assets</w:t>
      </w:r>
      <w:r>
        <w:tab/>
      </w:r>
      <w:r>
        <w:tab/>
      </w:r>
      <w:r>
        <w:tab/>
        <w:t>$600,000</w:t>
      </w:r>
    </w:p>
    <w:p w:rsidR="00580EC5" w:rsidRDefault="00580EC5" w:rsidP="00580EC5">
      <w:pPr>
        <w:spacing w:after="0"/>
        <w:jc w:val="both"/>
      </w:pPr>
      <w:r>
        <w:tab/>
        <w:t>Net book value of amortizable capital assets</w:t>
      </w:r>
      <w:r>
        <w:tab/>
      </w:r>
      <w:r>
        <w:tab/>
      </w:r>
      <w:r>
        <w:tab/>
      </w:r>
      <w:r>
        <w:tab/>
        <w:t>$750,000</w:t>
      </w:r>
    </w:p>
    <w:p w:rsidR="00580EC5" w:rsidRDefault="00580EC5" w:rsidP="00580EC5">
      <w:pPr>
        <w:spacing w:after="0"/>
        <w:jc w:val="both"/>
      </w:pPr>
      <w:r>
        <w:tab/>
        <w:t>Future income tax asset (loss carry-forward)</w:t>
      </w:r>
      <w:r>
        <w:tab/>
      </w:r>
      <w:r>
        <w:tab/>
      </w:r>
      <w:r>
        <w:tab/>
      </w:r>
      <w:r>
        <w:tab/>
      </w:r>
      <w:proofErr w:type="gramStart"/>
      <w:r>
        <w:t>$  80,000</w:t>
      </w:r>
      <w:proofErr w:type="gramEnd"/>
    </w:p>
    <w:p w:rsidR="00580EC5" w:rsidRDefault="00580EC5" w:rsidP="00580EC5">
      <w:pPr>
        <w:spacing w:after="0"/>
        <w:jc w:val="both"/>
      </w:pPr>
      <w:r>
        <w:tab/>
        <w:t>Future income tax liability (capital assets)</w:t>
      </w:r>
      <w:r>
        <w:tab/>
      </w:r>
      <w:r>
        <w:tab/>
      </w:r>
      <w:r>
        <w:tab/>
      </w:r>
      <w:r>
        <w:tab/>
      </w:r>
      <w:proofErr w:type="gramStart"/>
      <w:r>
        <w:t>$  60,000</w:t>
      </w:r>
      <w:proofErr w:type="gramEnd"/>
    </w:p>
    <w:p w:rsidR="00580EC5" w:rsidRDefault="00580EC5" w:rsidP="00580EC5">
      <w:pPr>
        <w:spacing w:after="0"/>
        <w:jc w:val="both"/>
      </w:pPr>
      <w:r>
        <w:tab/>
      </w:r>
    </w:p>
    <w:p w:rsidR="00580EC5" w:rsidRDefault="00580EC5" w:rsidP="00580EC5">
      <w:pPr>
        <w:spacing w:after="0"/>
        <w:jc w:val="both"/>
      </w:pPr>
      <w:r>
        <w:t>The following information is available with respect to the company’s year ended December 31, 2012:</w:t>
      </w:r>
    </w:p>
    <w:p w:rsidR="00580EC5" w:rsidRDefault="00580EC5" w:rsidP="00580EC5">
      <w:pPr>
        <w:spacing w:after="0"/>
        <w:jc w:val="both"/>
      </w:pPr>
      <w:r>
        <w:tab/>
        <w:t>Accounting income before income taxes</w:t>
      </w:r>
      <w:r>
        <w:tab/>
      </w:r>
      <w:r>
        <w:tab/>
      </w:r>
      <w:r>
        <w:tab/>
      </w:r>
      <w:r>
        <w:tab/>
      </w:r>
      <w:r>
        <w:tab/>
        <w:t>$950,000</w:t>
      </w:r>
    </w:p>
    <w:p w:rsidR="00580EC5" w:rsidRDefault="00580EC5" w:rsidP="00580EC5">
      <w:pPr>
        <w:spacing w:after="0"/>
        <w:jc w:val="both"/>
      </w:pPr>
      <w:r>
        <w:tab/>
        <w:t>Amortization expense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$120,000</w:t>
      </w:r>
    </w:p>
    <w:p w:rsidR="00580EC5" w:rsidRDefault="00580EC5" w:rsidP="00580EC5">
      <w:pPr>
        <w:spacing w:after="0"/>
        <w:jc w:val="both"/>
      </w:pPr>
      <w:r>
        <w:tab/>
        <w:t>Capital cost allowance claimed</w:t>
      </w:r>
      <w:r>
        <w:tab/>
      </w:r>
      <w:r>
        <w:tab/>
      </w:r>
      <w:r>
        <w:tab/>
      </w:r>
      <w:r>
        <w:tab/>
      </w:r>
      <w:r>
        <w:tab/>
      </w:r>
      <w:r>
        <w:tab/>
        <w:t>$140,000</w:t>
      </w:r>
    </w:p>
    <w:p w:rsidR="00580EC5" w:rsidRDefault="00580EC5" w:rsidP="00580EC5">
      <w:pPr>
        <w:spacing w:after="0"/>
        <w:jc w:val="both"/>
      </w:pPr>
      <w:r>
        <w:tab/>
        <w:t xml:space="preserve">Non-taxable dividend income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$  50,000</w:t>
      </w:r>
      <w:proofErr w:type="gramEnd"/>
    </w:p>
    <w:p w:rsidR="00580EC5" w:rsidRDefault="00580EC5" w:rsidP="00580EC5">
      <w:pPr>
        <w:spacing w:after="0"/>
        <w:jc w:val="both"/>
      </w:pPr>
      <w:r>
        <w:tab/>
        <w:t>Non-deductible expenses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$  10,000</w:t>
      </w:r>
      <w:proofErr w:type="gramEnd"/>
    </w:p>
    <w:p w:rsidR="00580EC5" w:rsidRDefault="00580EC5" w:rsidP="00580EC5">
      <w:pPr>
        <w:spacing w:after="0"/>
        <w:jc w:val="both"/>
      </w:pPr>
      <w:r>
        <w:tab/>
      </w:r>
      <w:r>
        <w:tab/>
      </w:r>
    </w:p>
    <w:p w:rsidR="00580EC5" w:rsidRDefault="00580EC5" w:rsidP="00580EC5">
      <w:pPr>
        <w:pStyle w:val="ListParagraph"/>
        <w:numPr>
          <w:ilvl w:val="0"/>
          <w:numId w:val="2"/>
        </w:numPr>
        <w:spacing w:after="0"/>
        <w:jc w:val="both"/>
      </w:pPr>
      <w:r>
        <w:t>The income tax rate for 2012 was 38%.  No changes had been announced with respect to changes in future income tax rates.</w:t>
      </w:r>
    </w:p>
    <w:p w:rsidR="00580EC5" w:rsidRDefault="00580EC5" w:rsidP="00580EC5">
      <w:pPr>
        <w:spacing w:after="0"/>
        <w:jc w:val="both"/>
      </w:pPr>
    </w:p>
    <w:p w:rsidR="00580EC5" w:rsidRPr="00803A34" w:rsidRDefault="00580EC5" w:rsidP="00580EC5">
      <w:pPr>
        <w:spacing w:after="120"/>
        <w:jc w:val="both"/>
        <w:rPr>
          <w:b/>
          <w:sz w:val="24"/>
          <w:szCs w:val="24"/>
        </w:rPr>
      </w:pPr>
      <w:r w:rsidRPr="00803A34">
        <w:rPr>
          <w:b/>
          <w:sz w:val="24"/>
          <w:szCs w:val="24"/>
        </w:rPr>
        <w:t>Required:</w:t>
      </w:r>
    </w:p>
    <w:p w:rsidR="00580EC5" w:rsidRDefault="00580EC5" w:rsidP="00D72D8F">
      <w:pPr>
        <w:pStyle w:val="ListParagraph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803A34">
        <w:rPr>
          <w:sz w:val="24"/>
          <w:szCs w:val="24"/>
        </w:rPr>
        <w:t xml:space="preserve">Calculate the current and deferred </w:t>
      </w:r>
      <w:r>
        <w:rPr>
          <w:sz w:val="24"/>
          <w:szCs w:val="24"/>
        </w:rPr>
        <w:t xml:space="preserve">(future) </w:t>
      </w:r>
      <w:r w:rsidRPr="00803A34">
        <w:rPr>
          <w:sz w:val="24"/>
          <w:szCs w:val="24"/>
        </w:rPr>
        <w:t xml:space="preserve">income tax expense amounts for Colca Corporation for its year ended December 31, 2012.  </w:t>
      </w:r>
    </w:p>
    <w:p w:rsidR="00D72D8F" w:rsidRPr="00D72D8F" w:rsidRDefault="00D72D8F" w:rsidP="00D72D8F">
      <w:pPr>
        <w:spacing w:after="0"/>
        <w:jc w:val="both"/>
        <w:rPr>
          <w:sz w:val="24"/>
          <w:szCs w:val="24"/>
        </w:rPr>
      </w:pPr>
    </w:p>
    <w:p w:rsidR="00580EC5" w:rsidRPr="00803A34" w:rsidRDefault="00580EC5" w:rsidP="00D72D8F">
      <w:pPr>
        <w:pStyle w:val="ListParagraph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803A34">
        <w:rPr>
          <w:sz w:val="24"/>
          <w:szCs w:val="24"/>
        </w:rPr>
        <w:t xml:space="preserve">Prepare </w:t>
      </w:r>
      <w:proofErr w:type="gramStart"/>
      <w:r w:rsidRPr="00803A34">
        <w:rPr>
          <w:sz w:val="24"/>
          <w:szCs w:val="24"/>
        </w:rPr>
        <w:t>a reconciliation</w:t>
      </w:r>
      <w:proofErr w:type="gramEnd"/>
      <w:r w:rsidRPr="00803A34">
        <w:rPr>
          <w:sz w:val="24"/>
          <w:szCs w:val="24"/>
        </w:rPr>
        <w:t xml:space="preserve"> between the accounting income before income taxes at the statutory tax rate for the year and the amount of income taxes reported in the company’s income statement.</w:t>
      </w:r>
    </w:p>
    <w:p w:rsidR="00580EC5" w:rsidRDefault="00580EC5" w:rsidP="00580EC5">
      <w:pPr>
        <w:spacing w:after="0"/>
        <w:jc w:val="center"/>
        <w:rPr>
          <w:sz w:val="24"/>
          <w:szCs w:val="24"/>
        </w:rPr>
      </w:pPr>
      <w:r w:rsidRPr="00803A34">
        <w:rPr>
          <w:sz w:val="24"/>
          <w:szCs w:val="24"/>
        </w:rPr>
        <w:t>* * * * *</w:t>
      </w:r>
    </w:p>
    <w:p w:rsidR="00580EC5" w:rsidRDefault="00580EC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bookmarkStart w:id="0" w:name="_GoBack"/>
      <w:bookmarkEnd w:id="0"/>
    </w:p>
    <w:p w:rsidR="00996BC9" w:rsidRPr="00A36699" w:rsidRDefault="00996BC9" w:rsidP="00996BC9">
      <w:pPr>
        <w:spacing w:before="100" w:beforeAutospacing="1" w:after="100" w:afterAutospacing="1" w:line="240" w:lineRule="auto"/>
        <w:rPr>
          <w:b/>
          <w:sz w:val="24"/>
          <w:szCs w:val="24"/>
        </w:rPr>
      </w:pPr>
      <w:r w:rsidRPr="00A36699">
        <w:rPr>
          <w:b/>
          <w:sz w:val="24"/>
          <w:szCs w:val="24"/>
        </w:rPr>
        <w:lastRenderedPageBreak/>
        <w:t xml:space="preserve">Question </w:t>
      </w:r>
      <w:r>
        <w:rPr>
          <w:b/>
          <w:sz w:val="24"/>
          <w:szCs w:val="24"/>
        </w:rPr>
        <w:t>2</w:t>
      </w:r>
      <w:r w:rsidRPr="00A36699">
        <w:rPr>
          <w:b/>
          <w:sz w:val="24"/>
          <w:szCs w:val="24"/>
        </w:rPr>
        <w:t xml:space="preserve"> (</w:t>
      </w:r>
      <w:r>
        <w:rPr>
          <w:b/>
          <w:sz w:val="24"/>
          <w:szCs w:val="24"/>
        </w:rPr>
        <w:t>1</w:t>
      </w:r>
      <w:r w:rsidR="00D72D8F">
        <w:rPr>
          <w:b/>
          <w:sz w:val="24"/>
          <w:szCs w:val="24"/>
        </w:rPr>
        <w:t>2</w:t>
      </w:r>
      <w:r w:rsidRPr="00A36699">
        <w:rPr>
          <w:b/>
          <w:sz w:val="24"/>
          <w:szCs w:val="24"/>
        </w:rPr>
        <w:t xml:space="preserve"> marks)</w:t>
      </w:r>
    </w:p>
    <w:p w:rsidR="00996BC9" w:rsidRDefault="00996BC9" w:rsidP="00996BC9">
      <w:pPr>
        <w:spacing w:before="100" w:beforeAutospacing="1" w:after="100" w:afterAutospacing="1" w:line="240" w:lineRule="auto"/>
        <w:jc w:val="both"/>
      </w:pPr>
      <w:r>
        <w:t>Iridium Industries Inc. commenced business on January 1, 2007.  The following information is extracted from its accounting and tax records for 2011 and 2012:</w:t>
      </w:r>
    </w:p>
    <w:tbl>
      <w:tblPr>
        <w:tblW w:w="8662" w:type="dxa"/>
        <w:tblInd w:w="93" w:type="dxa"/>
        <w:tblLook w:val="04A0" w:firstRow="1" w:lastRow="0" w:firstColumn="1" w:lastColumn="0" w:noHBand="0" w:noVBand="1"/>
      </w:tblPr>
      <w:tblGrid>
        <w:gridCol w:w="5280"/>
        <w:gridCol w:w="260"/>
        <w:gridCol w:w="1220"/>
        <w:gridCol w:w="201"/>
        <w:gridCol w:w="425"/>
        <w:gridCol w:w="1276"/>
      </w:tblGrid>
      <w:tr w:rsidR="00996BC9" w:rsidRPr="004B17A1" w:rsidTr="00674CE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BC9" w:rsidRPr="004B17A1" w:rsidRDefault="00996BC9" w:rsidP="0067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BC9" w:rsidRPr="004B17A1" w:rsidRDefault="00996BC9" w:rsidP="0067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6BC9" w:rsidRPr="004B17A1" w:rsidRDefault="00996BC9" w:rsidP="00996B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n-CA"/>
              </w:rPr>
            </w:pPr>
            <w:r w:rsidRPr="004B17A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n-CA"/>
              </w:rPr>
              <w:t>20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n-CA"/>
              </w:rPr>
              <w:t>11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BC9" w:rsidRPr="004B17A1" w:rsidRDefault="00996BC9" w:rsidP="00674C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n-C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96BC9" w:rsidRPr="004B17A1" w:rsidRDefault="00996BC9" w:rsidP="00996BC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n-CA"/>
              </w:rPr>
            </w:pPr>
            <w:r w:rsidRPr="004B17A1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n-CA"/>
              </w:rPr>
              <w:t>201</w:t>
            </w:r>
            <w:r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en-CA"/>
              </w:rPr>
              <w:t>2</w:t>
            </w:r>
          </w:p>
        </w:tc>
      </w:tr>
      <w:tr w:rsidR="00996BC9" w:rsidRPr="004B17A1" w:rsidTr="00674CE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BC9" w:rsidRPr="004B17A1" w:rsidRDefault="00996BC9" w:rsidP="0067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B17A1">
              <w:rPr>
                <w:rFonts w:ascii="Calibri" w:eastAsia="Times New Roman" w:hAnsi="Calibri" w:cs="Calibri"/>
                <w:color w:val="000000"/>
                <w:lang w:eastAsia="en-CA"/>
              </w:rPr>
              <w:t>Accounting income (loss) before income taxes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BC9" w:rsidRPr="004B17A1" w:rsidRDefault="00996BC9" w:rsidP="0067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</w:p>
        </w:tc>
        <w:tc>
          <w:tcPr>
            <w:tcW w:w="14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BC9" w:rsidRPr="004B17A1" w:rsidRDefault="00996BC9" w:rsidP="00674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B17A1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</w:t>
            </w:r>
            <w:r>
              <w:rPr>
                <w:rFonts w:ascii="Calibri" w:eastAsia="Times New Roman" w:hAnsi="Calibri" w:cs="Calibri"/>
                <w:color w:val="000000"/>
                <w:lang w:eastAsia="en-CA"/>
              </w:rPr>
              <w:t>(</w:t>
            </w:r>
            <w:r w:rsidRPr="004B17A1">
              <w:rPr>
                <w:rFonts w:ascii="Calibri" w:eastAsia="Times New Roman" w:hAnsi="Calibri" w:cs="Calibri"/>
                <w:color w:val="000000"/>
                <w:lang w:eastAsia="en-CA"/>
              </w:rPr>
              <w:t>500,000</w:t>
            </w:r>
            <w:r>
              <w:rPr>
                <w:rFonts w:ascii="Calibri" w:eastAsia="Times New Roman" w:hAnsi="Calibri" w:cs="Calibri"/>
                <w:color w:val="000000"/>
                <w:lang w:eastAsia="en-CA"/>
              </w:rPr>
              <w:t>)</w:t>
            </w:r>
            <w:r w:rsidRPr="004B17A1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BC9" w:rsidRPr="004B17A1" w:rsidRDefault="00996BC9" w:rsidP="00674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BC9" w:rsidRPr="004B17A1" w:rsidRDefault="00996BC9" w:rsidP="00674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B17A1">
              <w:rPr>
                <w:rFonts w:ascii="Calibri" w:eastAsia="Times New Roman" w:hAnsi="Calibri" w:cs="Calibri"/>
                <w:color w:val="000000"/>
                <w:lang w:eastAsia="en-CA"/>
              </w:rPr>
              <w:t xml:space="preserve">         400,000 </w:t>
            </w:r>
          </w:p>
        </w:tc>
      </w:tr>
      <w:tr w:rsidR="00996BC9" w:rsidRPr="004B17A1" w:rsidTr="00674CEA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BC9" w:rsidRPr="004B17A1" w:rsidRDefault="00996BC9" w:rsidP="0067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B17A1">
              <w:rPr>
                <w:rFonts w:ascii="Calibri" w:eastAsia="Times New Roman" w:hAnsi="Calibri" w:cs="Calibri"/>
                <w:color w:val="000000"/>
                <w:lang w:eastAsia="en-CA"/>
              </w:rPr>
              <w:t>Income tax rates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BC9" w:rsidRPr="004B17A1" w:rsidRDefault="00996BC9" w:rsidP="00674C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CA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BC9" w:rsidRPr="004B17A1" w:rsidRDefault="00996BC9" w:rsidP="00674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B17A1">
              <w:rPr>
                <w:rFonts w:ascii="Calibri" w:eastAsia="Times New Roman" w:hAnsi="Calibri" w:cs="Calibri"/>
                <w:color w:val="000000"/>
                <w:lang w:eastAsia="en-CA"/>
              </w:rPr>
              <w:t>35%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BC9" w:rsidRPr="004B17A1" w:rsidRDefault="00996BC9" w:rsidP="00674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96BC9" w:rsidRPr="004B17A1" w:rsidRDefault="00996BC9" w:rsidP="00674CE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CA"/>
              </w:rPr>
            </w:pPr>
            <w:r w:rsidRPr="004B17A1">
              <w:rPr>
                <w:rFonts w:ascii="Calibri" w:eastAsia="Times New Roman" w:hAnsi="Calibri" w:cs="Calibri"/>
                <w:color w:val="000000"/>
                <w:lang w:eastAsia="en-CA"/>
              </w:rPr>
              <w:t>35%</w:t>
            </w:r>
          </w:p>
        </w:tc>
      </w:tr>
    </w:tbl>
    <w:p w:rsidR="00996BC9" w:rsidRDefault="00996BC9" w:rsidP="00996BC9">
      <w:pPr>
        <w:spacing w:after="0" w:line="240" w:lineRule="auto"/>
        <w:jc w:val="both"/>
      </w:pPr>
    </w:p>
    <w:p w:rsidR="00996BC9" w:rsidRDefault="00996BC9" w:rsidP="00996BC9">
      <w:pPr>
        <w:spacing w:after="0" w:line="240" w:lineRule="auto"/>
        <w:jc w:val="both"/>
      </w:pPr>
      <w:r>
        <w:t>The company had taxable income in its first four years of:</w:t>
      </w:r>
    </w:p>
    <w:p w:rsidR="00996BC9" w:rsidRDefault="00996BC9" w:rsidP="00996BC9">
      <w:pPr>
        <w:spacing w:after="0" w:line="240" w:lineRule="auto"/>
        <w:ind w:left="2160" w:firstLine="720"/>
        <w:jc w:val="both"/>
      </w:pPr>
      <w:r>
        <w:t>2007</w:t>
      </w:r>
      <w:r>
        <w:tab/>
      </w:r>
      <w:r>
        <w:tab/>
        <w:t>$30,000</w:t>
      </w:r>
    </w:p>
    <w:p w:rsidR="00996BC9" w:rsidRDefault="00996BC9" w:rsidP="00996BC9">
      <w:pPr>
        <w:spacing w:after="0" w:line="240" w:lineRule="auto"/>
        <w:ind w:left="2160" w:firstLine="720"/>
        <w:jc w:val="both"/>
      </w:pPr>
      <w:r>
        <w:t>2008</w:t>
      </w:r>
      <w:r>
        <w:tab/>
      </w:r>
      <w:r>
        <w:tab/>
        <w:t>$40,000</w:t>
      </w:r>
    </w:p>
    <w:p w:rsidR="00996BC9" w:rsidRDefault="00996BC9" w:rsidP="00996BC9">
      <w:pPr>
        <w:spacing w:after="0" w:line="240" w:lineRule="auto"/>
        <w:ind w:left="2160" w:firstLine="720"/>
        <w:jc w:val="both"/>
      </w:pPr>
      <w:r>
        <w:t>2009</w:t>
      </w:r>
      <w:r>
        <w:tab/>
      </w:r>
      <w:r>
        <w:tab/>
        <w:t>$40,000</w:t>
      </w:r>
    </w:p>
    <w:p w:rsidR="00996BC9" w:rsidRDefault="00996BC9" w:rsidP="00996BC9">
      <w:pPr>
        <w:spacing w:after="0" w:line="240" w:lineRule="auto"/>
        <w:ind w:left="2160" w:firstLine="720"/>
        <w:jc w:val="both"/>
      </w:pPr>
      <w:r>
        <w:t>2010</w:t>
      </w:r>
      <w:r>
        <w:tab/>
      </w:r>
      <w:r>
        <w:tab/>
        <w:t>$60,000</w:t>
      </w:r>
    </w:p>
    <w:p w:rsidR="00996BC9" w:rsidRDefault="00996BC9" w:rsidP="00996BC9">
      <w:pPr>
        <w:spacing w:before="100" w:beforeAutospacing="1" w:after="100" w:afterAutospacing="1" w:line="240" w:lineRule="auto"/>
        <w:jc w:val="both"/>
      </w:pPr>
      <w:r>
        <w:t>Tax rates from 2007 through 2010 were 33% for all years.</w:t>
      </w:r>
    </w:p>
    <w:p w:rsidR="00996BC9" w:rsidRDefault="00996BC9" w:rsidP="00996BC9">
      <w:pPr>
        <w:spacing w:before="100" w:beforeAutospacing="1" w:after="100" w:afterAutospacing="1" w:line="240" w:lineRule="auto"/>
        <w:jc w:val="both"/>
      </w:pPr>
      <w:r>
        <w:t>During the six years, the company had no permanent differences and no temporary (reversing) differences.</w:t>
      </w:r>
    </w:p>
    <w:p w:rsidR="00996BC9" w:rsidRPr="00A36699" w:rsidRDefault="00996BC9" w:rsidP="00996BC9">
      <w:pPr>
        <w:spacing w:before="100" w:beforeAutospacing="1" w:after="100" w:afterAutospacing="1" w:line="240" w:lineRule="auto"/>
        <w:jc w:val="both"/>
        <w:rPr>
          <w:b/>
          <w:sz w:val="24"/>
          <w:szCs w:val="24"/>
        </w:rPr>
      </w:pPr>
      <w:r w:rsidRPr="00A36699">
        <w:rPr>
          <w:b/>
          <w:sz w:val="24"/>
          <w:szCs w:val="24"/>
        </w:rPr>
        <w:t>Required:</w:t>
      </w:r>
    </w:p>
    <w:p w:rsidR="00996BC9" w:rsidRDefault="00996BC9" w:rsidP="00996BC9">
      <w:pPr>
        <w:spacing w:after="0" w:line="240" w:lineRule="auto"/>
        <w:jc w:val="both"/>
      </w:pPr>
      <w:r>
        <w:t>If Iridium Industries Inc. reports in compliance with the International Financial Reporting Standards and accounts for income tax expense using the accrual method:</w:t>
      </w:r>
    </w:p>
    <w:p w:rsidR="00996BC9" w:rsidRDefault="00996BC9" w:rsidP="00996BC9">
      <w:pPr>
        <w:spacing w:after="0" w:line="240" w:lineRule="auto"/>
        <w:jc w:val="both"/>
      </w:pPr>
    </w:p>
    <w:p w:rsidR="00996BC9" w:rsidRDefault="00996BC9" w:rsidP="00996BC9">
      <w:pPr>
        <w:pStyle w:val="ListParagraph"/>
        <w:numPr>
          <w:ilvl w:val="0"/>
          <w:numId w:val="4"/>
        </w:numPr>
        <w:spacing w:after="0" w:line="240" w:lineRule="auto"/>
        <w:jc w:val="both"/>
      </w:pPr>
      <w:r>
        <w:t>Prepare journal entries for the company’s income taxes for 2011 and 2012 if the company’s management considered the utilization of the tax loss carry-forward to be more likely than not (probable) when preparing its 2011 financial statements?</w:t>
      </w:r>
    </w:p>
    <w:p w:rsidR="00996BC9" w:rsidRDefault="00996BC9" w:rsidP="00996BC9">
      <w:pPr>
        <w:spacing w:after="0" w:line="240" w:lineRule="auto"/>
        <w:jc w:val="both"/>
      </w:pPr>
    </w:p>
    <w:p w:rsidR="00996BC9" w:rsidRDefault="00996BC9" w:rsidP="00996BC9">
      <w:pPr>
        <w:pStyle w:val="ListParagraph"/>
        <w:numPr>
          <w:ilvl w:val="0"/>
          <w:numId w:val="4"/>
        </w:numPr>
        <w:spacing w:after="0" w:line="240" w:lineRule="auto"/>
        <w:jc w:val="both"/>
      </w:pPr>
      <w:r>
        <w:t>Prepare journal entries for the company’s income taxes for 2011 and 2012 if the company’s management considered the utilization of the tax loss carry-forward to be less likely than not (not probable) when preparing its 2011 financial statements?</w:t>
      </w:r>
    </w:p>
    <w:p w:rsidR="00996BC9" w:rsidRDefault="00996BC9" w:rsidP="00996BC9">
      <w:pPr>
        <w:spacing w:after="0" w:line="240" w:lineRule="auto"/>
        <w:jc w:val="both"/>
      </w:pPr>
    </w:p>
    <w:p w:rsidR="00996BC9" w:rsidRDefault="00996BC9" w:rsidP="00996BC9">
      <w:pPr>
        <w:spacing w:after="0" w:line="240" w:lineRule="auto"/>
        <w:jc w:val="center"/>
      </w:pPr>
      <w:r>
        <w:t>* * * * *</w:t>
      </w:r>
    </w:p>
    <w:p w:rsidR="00580EC5" w:rsidRPr="00580EC5" w:rsidRDefault="00580EC5" w:rsidP="00580EC5">
      <w:pPr>
        <w:ind w:left="720" w:hanging="720"/>
        <w:jc w:val="center"/>
        <w:rPr>
          <w:rFonts w:ascii="Calibri" w:hAnsi="Calibri" w:cs="Arial"/>
          <w:b/>
          <w:sz w:val="24"/>
          <w:szCs w:val="24"/>
        </w:rPr>
      </w:pPr>
      <w:r w:rsidRPr="00580EC5">
        <w:rPr>
          <w:rFonts w:ascii="Calibri" w:hAnsi="Calibri" w:cs="Arial"/>
          <w:b/>
          <w:sz w:val="24"/>
          <w:szCs w:val="24"/>
        </w:rPr>
        <w:t>END OF ASSIGNMENT</w:t>
      </w:r>
    </w:p>
    <w:p w:rsidR="00620485" w:rsidRDefault="00D72D8F"/>
    <w:sectPr w:rsidR="006204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xpert-Rounded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12E59"/>
    <w:multiLevelType w:val="hybridMultilevel"/>
    <w:tmpl w:val="BBC89DAE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4286CF1"/>
    <w:multiLevelType w:val="hybridMultilevel"/>
    <w:tmpl w:val="453C687A"/>
    <w:lvl w:ilvl="0" w:tplc="10090017">
      <w:start w:val="1"/>
      <w:numFmt w:val="lowerLetter"/>
      <w:lvlText w:val="%1)"/>
      <w:lvlJc w:val="left"/>
      <w:pPr>
        <w:ind w:left="72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F105EB1"/>
    <w:multiLevelType w:val="hybridMultilevel"/>
    <w:tmpl w:val="FFA4BFC4"/>
    <w:lvl w:ilvl="0" w:tplc="21A41D50">
      <w:start w:val="1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F9F3C20"/>
    <w:multiLevelType w:val="hybridMultilevel"/>
    <w:tmpl w:val="E0826BC6"/>
    <w:lvl w:ilvl="0" w:tplc="10090017">
      <w:start w:val="1"/>
      <w:numFmt w:val="lowerLetter"/>
      <w:lvlText w:val="%1)"/>
      <w:lvlJc w:val="left"/>
      <w:pPr>
        <w:ind w:left="-1080" w:hanging="360"/>
      </w:pPr>
      <w:rPr>
        <w:rFonts w:cs="Times New Roman"/>
      </w:rPr>
    </w:lvl>
    <w:lvl w:ilvl="1" w:tplc="C576C56A">
      <w:start w:val="1"/>
      <w:numFmt w:val="lowerRoman"/>
      <w:lvlText w:val="%2)"/>
      <w:lvlJc w:val="left"/>
      <w:pPr>
        <w:tabs>
          <w:tab w:val="num" w:pos="-1080"/>
        </w:tabs>
        <w:ind w:left="-360" w:hanging="360"/>
      </w:pPr>
      <w:rPr>
        <w:rFonts w:cs="Times New Roman" w:hint="default"/>
      </w:rPr>
    </w:lvl>
    <w:lvl w:ilvl="2" w:tplc="1009001B" w:tentative="1">
      <w:start w:val="1"/>
      <w:numFmt w:val="lowerRoman"/>
      <w:lvlText w:val="%3."/>
      <w:lvlJc w:val="right"/>
      <w:pPr>
        <w:ind w:left="3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10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18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25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32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39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46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EC5"/>
    <w:rsid w:val="0003126D"/>
    <w:rsid w:val="005731C0"/>
    <w:rsid w:val="00580EC5"/>
    <w:rsid w:val="00996BC9"/>
    <w:rsid w:val="009C49A7"/>
    <w:rsid w:val="009E4372"/>
    <w:rsid w:val="00AD7D52"/>
    <w:rsid w:val="00C80D2A"/>
    <w:rsid w:val="00D72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EC5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0EC5"/>
    <w:pPr>
      <w:ind w:left="720"/>
      <w:contextualSpacing/>
    </w:pPr>
  </w:style>
  <w:style w:type="table" w:styleId="TableGrid">
    <w:name w:val="Table Grid"/>
    <w:basedOn w:val="TableNormal"/>
    <w:uiPriority w:val="59"/>
    <w:rsid w:val="00580EC5"/>
    <w:pPr>
      <w:spacing w:after="0" w:line="240" w:lineRule="auto"/>
    </w:pPr>
    <w:rPr>
      <w:lang w:val="en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EC5"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0EC5"/>
    <w:pPr>
      <w:ind w:left="720"/>
      <w:contextualSpacing/>
    </w:pPr>
  </w:style>
  <w:style w:type="table" w:styleId="TableGrid">
    <w:name w:val="Table Grid"/>
    <w:basedOn w:val="TableNormal"/>
    <w:uiPriority w:val="59"/>
    <w:rsid w:val="00580EC5"/>
    <w:pPr>
      <w:spacing w:after="0" w:line="240" w:lineRule="auto"/>
    </w:pPr>
    <w:rPr>
      <w:lang w:val="en-C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2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Chuck</dc:creator>
  <cp:lastModifiedBy>Chuck</cp:lastModifiedBy>
  <cp:revision>6</cp:revision>
  <cp:lastPrinted>2012-11-01T03:39:00Z</cp:lastPrinted>
  <dcterms:created xsi:type="dcterms:W3CDTF">2012-11-01T00:37:00Z</dcterms:created>
  <dcterms:modified xsi:type="dcterms:W3CDTF">2012-11-02T08:12:00Z</dcterms:modified>
</cp:coreProperties>
</file>