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15F3" w:rsidRPr="00A52B9C" w:rsidRDefault="009615F3" w:rsidP="009615F3">
      <w:pPr>
        <w:pStyle w:val="TOCHeading"/>
        <w:jc w:val="center"/>
        <w:rPr>
          <w:color w:val="auto"/>
          <w:lang w:val="en-CA"/>
        </w:rPr>
      </w:pPr>
      <w:r w:rsidRPr="00A52B9C">
        <w:rPr>
          <w:color w:val="auto"/>
        </w:rPr>
        <w:t>Contrats Nommés</w:t>
      </w:r>
    </w:p>
    <w:p w:rsidR="009615F3" w:rsidRPr="00714F8C" w:rsidRDefault="009615F3" w:rsidP="009615F3">
      <w:pPr>
        <w:pStyle w:val="TOCHeading"/>
        <w:rPr>
          <w:rFonts w:ascii="Arial" w:hAnsi="Arial" w:cs="Arial"/>
          <w:color w:val="auto"/>
          <w:sz w:val="24"/>
          <w:szCs w:val="24"/>
        </w:rPr>
      </w:pPr>
    </w:p>
    <w:p w:rsidR="009615F3" w:rsidRDefault="009615F3" w:rsidP="009615F3">
      <w:pPr>
        <w:pStyle w:val="TOC1"/>
        <w:tabs>
          <w:tab w:val="right" w:leader="dot" w:pos="8630"/>
        </w:tabs>
        <w:rPr>
          <w:rFonts w:ascii="Calibri" w:eastAsia="Times New Roman" w:hAnsi="Calibri"/>
          <w:noProof/>
          <w:sz w:val="22"/>
          <w:lang w:val="en-CA" w:eastAsia="en-CA"/>
        </w:rPr>
      </w:pPr>
      <w:r w:rsidRPr="00714F8C">
        <w:rPr>
          <w:rFonts w:cs="Arial"/>
          <w:szCs w:val="24"/>
        </w:rPr>
        <w:fldChar w:fldCharType="begin"/>
      </w:r>
      <w:r w:rsidRPr="00714F8C">
        <w:rPr>
          <w:rFonts w:cs="Arial"/>
          <w:szCs w:val="24"/>
        </w:rPr>
        <w:instrText xml:space="preserve"> TOC \o "1-3" \h \z \u </w:instrText>
      </w:r>
      <w:r w:rsidRPr="00714F8C">
        <w:rPr>
          <w:rFonts w:cs="Arial"/>
          <w:szCs w:val="24"/>
        </w:rPr>
        <w:fldChar w:fldCharType="separate"/>
      </w:r>
      <w:hyperlink w:anchor="_Toc289806995" w:history="1">
        <w:r w:rsidRPr="002B0520">
          <w:rPr>
            <w:rStyle w:val="Hyperlink"/>
            <w:noProof/>
          </w:rPr>
          <w:t>Titre 1 – Les phases préalables à la formation d’un contrat de vente</w:t>
        </w:r>
        <w:r>
          <w:rPr>
            <w:noProof/>
            <w:webHidden/>
          </w:rPr>
          <w:tab/>
        </w:r>
        <w:r>
          <w:rPr>
            <w:noProof/>
            <w:webHidden/>
          </w:rPr>
          <w:fldChar w:fldCharType="begin"/>
        </w:r>
        <w:r>
          <w:rPr>
            <w:noProof/>
            <w:webHidden/>
          </w:rPr>
          <w:instrText xml:space="preserve"> PAGEREF _Toc289806995 \h </w:instrText>
        </w:r>
        <w:r>
          <w:rPr>
            <w:noProof/>
            <w:webHidden/>
          </w:rPr>
        </w:r>
        <w:r>
          <w:rPr>
            <w:noProof/>
            <w:webHidden/>
          </w:rPr>
          <w:fldChar w:fldCharType="separate"/>
        </w:r>
        <w:r>
          <w:rPr>
            <w:noProof/>
            <w:webHidden/>
          </w:rPr>
          <w:t>6</w:t>
        </w:r>
        <w:r>
          <w:rPr>
            <w:noProof/>
            <w:webHidden/>
          </w:rPr>
          <w:fldChar w:fldCharType="end"/>
        </w:r>
      </w:hyperlink>
    </w:p>
    <w:p w:rsidR="009615F3" w:rsidRDefault="009615F3" w:rsidP="009615F3">
      <w:pPr>
        <w:pStyle w:val="TOC2"/>
        <w:tabs>
          <w:tab w:val="right" w:leader="dot" w:pos="8630"/>
        </w:tabs>
        <w:rPr>
          <w:rFonts w:ascii="Calibri" w:eastAsia="Times New Roman" w:hAnsi="Calibri"/>
          <w:noProof/>
          <w:sz w:val="22"/>
          <w:lang w:val="en-CA" w:eastAsia="en-CA"/>
        </w:rPr>
      </w:pPr>
      <w:hyperlink w:anchor="_Toc289806996" w:history="1">
        <w:r w:rsidRPr="002B0520">
          <w:rPr>
            <w:rStyle w:val="Hyperlink"/>
            <w:noProof/>
          </w:rPr>
          <w:t>Chapitre 1 L’invitation à contracter</w:t>
        </w:r>
        <w:r>
          <w:rPr>
            <w:noProof/>
            <w:webHidden/>
          </w:rPr>
          <w:tab/>
        </w:r>
        <w:r>
          <w:rPr>
            <w:noProof/>
            <w:webHidden/>
          </w:rPr>
          <w:fldChar w:fldCharType="begin"/>
        </w:r>
        <w:r>
          <w:rPr>
            <w:noProof/>
            <w:webHidden/>
          </w:rPr>
          <w:instrText xml:space="preserve"> PAGEREF _Toc289806996 \h </w:instrText>
        </w:r>
        <w:r>
          <w:rPr>
            <w:noProof/>
            <w:webHidden/>
          </w:rPr>
        </w:r>
        <w:r>
          <w:rPr>
            <w:noProof/>
            <w:webHidden/>
          </w:rPr>
          <w:fldChar w:fldCharType="separate"/>
        </w:r>
        <w:r>
          <w:rPr>
            <w:noProof/>
            <w:webHidden/>
          </w:rPr>
          <w:t>6</w:t>
        </w:r>
        <w:r>
          <w:rPr>
            <w:noProof/>
            <w:webHidden/>
          </w:rPr>
          <w:fldChar w:fldCharType="end"/>
        </w:r>
      </w:hyperlink>
    </w:p>
    <w:p w:rsidR="009615F3" w:rsidRDefault="009615F3" w:rsidP="009615F3">
      <w:pPr>
        <w:pStyle w:val="TOC2"/>
        <w:tabs>
          <w:tab w:val="right" w:leader="dot" w:pos="8630"/>
        </w:tabs>
        <w:rPr>
          <w:rFonts w:ascii="Calibri" w:eastAsia="Times New Roman" w:hAnsi="Calibri"/>
          <w:noProof/>
          <w:sz w:val="22"/>
          <w:lang w:val="en-CA" w:eastAsia="en-CA"/>
        </w:rPr>
      </w:pPr>
      <w:hyperlink w:anchor="_Toc289806997" w:history="1">
        <w:r w:rsidRPr="002B0520">
          <w:rPr>
            <w:rStyle w:val="Hyperlink"/>
            <w:noProof/>
          </w:rPr>
          <w:t>Chapitre 2- L’offre</w:t>
        </w:r>
        <w:r>
          <w:rPr>
            <w:noProof/>
            <w:webHidden/>
          </w:rPr>
          <w:tab/>
        </w:r>
        <w:r>
          <w:rPr>
            <w:noProof/>
            <w:webHidden/>
          </w:rPr>
          <w:fldChar w:fldCharType="begin"/>
        </w:r>
        <w:r>
          <w:rPr>
            <w:noProof/>
            <w:webHidden/>
          </w:rPr>
          <w:instrText xml:space="preserve"> PAGEREF _Toc289806997 \h </w:instrText>
        </w:r>
        <w:r>
          <w:rPr>
            <w:noProof/>
            <w:webHidden/>
          </w:rPr>
        </w:r>
        <w:r>
          <w:rPr>
            <w:noProof/>
            <w:webHidden/>
          </w:rPr>
          <w:fldChar w:fldCharType="separate"/>
        </w:r>
        <w:r>
          <w:rPr>
            <w:noProof/>
            <w:webHidden/>
          </w:rPr>
          <w:t>6</w:t>
        </w:r>
        <w:r>
          <w:rPr>
            <w:noProof/>
            <w:webHidden/>
          </w:rPr>
          <w:fldChar w:fldCharType="end"/>
        </w:r>
      </w:hyperlink>
    </w:p>
    <w:p w:rsidR="009615F3" w:rsidRDefault="009615F3" w:rsidP="009615F3">
      <w:pPr>
        <w:pStyle w:val="TOC1"/>
        <w:tabs>
          <w:tab w:val="right" w:leader="dot" w:pos="8630"/>
        </w:tabs>
        <w:rPr>
          <w:rFonts w:ascii="Calibri" w:eastAsia="Times New Roman" w:hAnsi="Calibri"/>
          <w:noProof/>
          <w:sz w:val="22"/>
          <w:lang w:val="en-CA" w:eastAsia="en-CA"/>
        </w:rPr>
      </w:pPr>
      <w:hyperlink w:anchor="_Toc289806998" w:history="1">
        <w:r w:rsidRPr="002B0520">
          <w:rPr>
            <w:rStyle w:val="Hyperlink"/>
            <w:noProof/>
          </w:rPr>
          <w:t>Promesse unilatérale</w:t>
        </w:r>
        <w:r>
          <w:rPr>
            <w:noProof/>
            <w:webHidden/>
          </w:rPr>
          <w:tab/>
        </w:r>
        <w:r>
          <w:rPr>
            <w:noProof/>
            <w:webHidden/>
          </w:rPr>
          <w:fldChar w:fldCharType="begin"/>
        </w:r>
        <w:r>
          <w:rPr>
            <w:noProof/>
            <w:webHidden/>
          </w:rPr>
          <w:instrText xml:space="preserve"> PAGEREF _Toc289806998 \h </w:instrText>
        </w:r>
        <w:r>
          <w:rPr>
            <w:noProof/>
            <w:webHidden/>
          </w:rPr>
        </w:r>
        <w:r>
          <w:rPr>
            <w:noProof/>
            <w:webHidden/>
          </w:rPr>
          <w:fldChar w:fldCharType="separate"/>
        </w:r>
        <w:r>
          <w:rPr>
            <w:noProof/>
            <w:webHidden/>
          </w:rPr>
          <w:t>7</w:t>
        </w:r>
        <w:r>
          <w:rPr>
            <w:noProof/>
            <w:webHidden/>
          </w:rPr>
          <w:fldChar w:fldCharType="end"/>
        </w:r>
      </w:hyperlink>
    </w:p>
    <w:p w:rsidR="009615F3" w:rsidRDefault="009615F3" w:rsidP="009615F3">
      <w:pPr>
        <w:pStyle w:val="TOC1"/>
        <w:tabs>
          <w:tab w:val="right" w:leader="dot" w:pos="8630"/>
        </w:tabs>
        <w:rPr>
          <w:rFonts w:ascii="Calibri" w:eastAsia="Times New Roman" w:hAnsi="Calibri"/>
          <w:noProof/>
          <w:sz w:val="22"/>
          <w:lang w:val="en-CA" w:eastAsia="en-CA"/>
        </w:rPr>
      </w:pPr>
      <w:hyperlink w:anchor="_Toc289806999" w:history="1">
        <w:r w:rsidRPr="002B0520">
          <w:rPr>
            <w:rStyle w:val="Hyperlink"/>
            <w:noProof/>
          </w:rPr>
          <w:t>La promesse bilatérale</w:t>
        </w:r>
        <w:r>
          <w:rPr>
            <w:noProof/>
            <w:webHidden/>
          </w:rPr>
          <w:tab/>
        </w:r>
        <w:r>
          <w:rPr>
            <w:noProof/>
            <w:webHidden/>
          </w:rPr>
          <w:fldChar w:fldCharType="begin"/>
        </w:r>
        <w:r>
          <w:rPr>
            <w:noProof/>
            <w:webHidden/>
          </w:rPr>
          <w:instrText xml:space="preserve"> PAGEREF _Toc289806999 \h </w:instrText>
        </w:r>
        <w:r>
          <w:rPr>
            <w:noProof/>
            <w:webHidden/>
          </w:rPr>
        </w:r>
        <w:r>
          <w:rPr>
            <w:noProof/>
            <w:webHidden/>
          </w:rPr>
          <w:fldChar w:fldCharType="separate"/>
        </w:r>
        <w:r>
          <w:rPr>
            <w:noProof/>
            <w:webHidden/>
          </w:rPr>
          <w:t>7</w:t>
        </w:r>
        <w:r>
          <w:rPr>
            <w:noProof/>
            <w:webHidden/>
          </w:rPr>
          <w:fldChar w:fldCharType="end"/>
        </w:r>
      </w:hyperlink>
    </w:p>
    <w:p w:rsidR="009615F3" w:rsidRDefault="009615F3" w:rsidP="009615F3">
      <w:pPr>
        <w:pStyle w:val="TOC1"/>
        <w:tabs>
          <w:tab w:val="right" w:leader="dot" w:pos="8630"/>
        </w:tabs>
        <w:rPr>
          <w:rFonts w:ascii="Calibri" w:eastAsia="Times New Roman" w:hAnsi="Calibri"/>
          <w:noProof/>
          <w:sz w:val="22"/>
          <w:lang w:val="en-CA" w:eastAsia="en-CA"/>
        </w:rPr>
      </w:pPr>
      <w:hyperlink w:anchor="_Toc289807000" w:history="1">
        <w:r w:rsidRPr="002B0520">
          <w:rPr>
            <w:rStyle w:val="Hyperlink"/>
            <w:noProof/>
          </w:rPr>
          <w:t>Droit de premier refus</w:t>
        </w:r>
        <w:r>
          <w:rPr>
            <w:noProof/>
            <w:webHidden/>
          </w:rPr>
          <w:tab/>
        </w:r>
        <w:r>
          <w:rPr>
            <w:noProof/>
            <w:webHidden/>
          </w:rPr>
          <w:fldChar w:fldCharType="begin"/>
        </w:r>
        <w:r>
          <w:rPr>
            <w:noProof/>
            <w:webHidden/>
          </w:rPr>
          <w:instrText xml:space="preserve"> PAGEREF _Toc289807000 \h </w:instrText>
        </w:r>
        <w:r>
          <w:rPr>
            <w:noProof/>
            <w:webHidden/>
          </w:rPr>
        </w:r>
        <w:r>
          <w:rPr>
            <w:noProof/>
            <w:webHidden/>
          </w:rPr>
          <w:fldChar w:fldCharType="separate"/>
        </w:r>
        <w:r>
          <w:rPr>
            <w:noProof/>
            <w:webHidden/>
          </w:rPr>
          <w:t>8</w:t>
        </w:r>
        <w:r>
          <w:rPr>
            <w:noProof/>
            <w:webHidden/>
          </w:rPr>
          <w:fldChar w:fldCharType="end"/>
        </w:r>
      </w:hyperlink>
    </w:p>
    <w:p w:rsidR="009615F3" w:rsidRDefault="009615F3" w:rsidP="009615F3">
      <w:pPr>
        <w:pStyle w:val="TOC1"/>
        <w:tabs>
          <w:tab w:val="right" w:leader="dot" w:pos="8630"/>
        </w:tabs>
        <w:rPr>
          <w:rFonts w:ascii="Calibri" w:eastAsia="Times New Roman" w:hAnsi="Calibri"/>
          <w:noProof/>
          <w:sz w:val="22"/>
          <w:lang w:val="en-CA" w:eastAsia="en-CA"/>
        </w:rPr>
      </w:pPr>
      <w:hyperlink w:anchor="_Toc289807001" w:history="1">
        <w:r w:rsidRPr="002B0520">
          <w:rPr>
            <w:rStyle w:val="Hyperlink"/>
            <w:noProof/>
          </w:rPr>
          <w:t>Pacte de préférence</w:t>
        </w:r>
        <w:r>
          <w:rPr>
            <w:noProof/>
            <w:webHidden/>
          </w:rPr>
          <w:tab/>
        </w:r>
        <w:r>
          <w:rPr>
            <w:noProof/>
            <w:webHidden/>
          </w:rPr>
          <w:fldChar w:fldCharType="begin"/>
        </w:r>
        <w:r>
          <w:rPr>
            <w:noProof/>
            <w:webHidden/>
          </w:rPr>
          <w:instrText xml:space="preserve"> PAGEREF _Toc289807001 \h </w:instrText>
        </w:r>
        <w:r>
          <w:rPr>
            <w:noProof/>
            <w:webHidden/>
          </w:rPr>
        </w:r>
        <w:r>
          <w:rPr>
            <w:noProof/>
            <w:webHidden/>
          </w:rPr>
          <w:fldChar w:fldCharType="separate"/>
        </w:r>
        <w:r>
          <w:rPr>
            <w:noProof/>
            <w:webHidden/>
          </w:rPr>
          <w:t>9</w:t>
        </w:r>
        <w:r>
          <w:rPr>
            <w:noProof/>
            <w:webHidden/>
          </w:rPr>
          <w:fldChar w:fldCharType="end"/>
        </w:r>
      </w:hyperlink>
    </w:p>
    <w:p w:rsidR="009615F3" w:rsidRDefault="009615F3" w:rsidP="009615F3">
      <w:pPr>
        <w:pStyle w:val="TOC1"/>
        <w:tabs>
          <w:tab w:val="right" w:leader="dot" w:pos="8630"/>
        </w:tabs>
        <w:rPr>
          <w:rFonts w:ascii="Calibri" w:eastAsia="Times New Roman" w:hAnsi="Calibri"/>
          <w:noProof/>
          <w:sz w:val="22"/>
          <w:lang w:val="en-CA" w:eastAsia="en-CA"/>
        </w:rPr>
      </w:pPr>
      <w:hyperlink w:anchor="_Toc289807002" w:history="1">
        <w:r w:rsidRPr="002B0520">
          <w:rPr>
            <w:rStyle w:val="Hyperlink"/>
            <w:noProof/>
          </w:rPr>
          <w:t>La convention d’arrhes et la faculté de dédit</w:t>
        </w:r>
        <w:r>
          <w:rPr>
            <w:noProof/>
            <w:webHidden/>
          </w:rPr>
          <w:tab/>
        </w:r>
        <w:r>
          <w:rPr>
            <w:noProof/>
            <w:webHidden/>
          </w:rPr>
          <w:fldChar w:fldCharType="begin"/>
        </w:r>
        <w:r>
          <w:rPr>
            <w:noProof/>
            <w:webHidden/>
          </w:rPr>
          <w:instrText xml:space="preserve"> PAGEREF _Toc289807002 \h </w:instrText>
        </w:r>
        <w:r>
          <w:rPr>
            <w:noProof/>
            <w:webHidden/>
          </w:rPr>
        </w:r>
        <w:r>
          <w:rPr>
            <w:noProof/>
            <w:webHidden/>
          </w:rPr>
          <w:fldChar w:fldCharType="separate"/>
        </w:r>
        <w:r>
          <w:rPr>
            <w:noProof/>
            <w:webHidden/>
          </w:rPr>
          <w:t>9</w:t>
        </w:r>
        <w:r>
          <w:rPr>
            <w:noProof/>
            <w:webHidden/>
          </w:rPr>
          <w:fldChar w:fldCharType="end"/>
        </w:r>
      </w:hyperlink>
    </w:p>
    <w:p w:rsidR="009615F3" w:rsidRDefault="009615F3" w:rsidP="009615F3">
      <w:pPr>
        <w:pStyle w:val="TOC1"/>
        <w:tabs>
          <w:tab w:val="right" w:leader="dot" w:pos="8630"/>
        </w:tabs>
        <w:rPr>
          <w:rFonts w:ascii="Calibri" w:eastAsia="Times New Roman" w:hAnsi="Calibri"/>
          <w:noProof/>
          <w:sz w:val="22"/>
          <w:lang w:val="en-CA" w:eastAsia="en-CA"/>
        </w:rPr>
      </w:pPr>
      <w:hyperlink w:anchor="_Toc289807003" w:history="1">
        <w:r w:rsidRPr="002B0520">
          <w:rPr>
            <w:rStyle w:val="Hyperlink"/>
            <w:noProof/>
          </w:rPr>
          <w:t>Titre 2 La vente</w:t>
        </w:r>
        <w:r>
          <w:rPr>
            <w:noProof/>
            <w:webHidden/>
          </w:rPr>
          <w:tab/>
        </w:r>
        <w:r>
          <w:rPr>
            <w:noProof/>
            <w:webHidden/>
          </w:rPr>
          <w:fldChar w:fldCharType="begin"/>
        </w:r>
        <w:r>
          <w:rPr>
            <w:noProof/>
            <w:webHidden/>
          </w:rPr>
          <w:instrText xml:space="preserve"> PAGEREF _Toc289807003 \h </w:instrText>
        </w:r>
        <w:r>
          <w:rPr>
            <w:noProof/>
            <w:webHidden/>
          </w:rPr>
        </w:r>
        <w:r>
          <w:rPr>
            <w:noProof/>
            <w:webHidden/>
          </w:rPr>
          <w:fldChar w:fldCharType="separate"/>
        </w:r>
        <w:r>
          <w:rPr>
            <w:noProof/>
            <w:webHidden/>
          </w:rPr>
          <w:t>10</w:t>
        </w:r>
        <w:r>
          <w:rPr>
            <w:noProof/>
            <w:webHidden/>
          </w:rPr>
          <w:fldChar w:fldCharType="end"/>
        </w:r>
      </w:hyperlink>
    </w:p>
    <w:p w:rsidR="009615F3" w:rsidRDefault="009615F3" w:rsidP="009615F3">
      <w:pPr>
        <w:pStyle w:val="TOC2"/>
        <w:tabs>
          <w:tab w:val="right" w:leader="dot" w:pos="8630"/>
        </w:tabs>
        <w:rPr>
          <w:rFonts w:ascii="Calibri" w:eastAsia="Times New Roman" w:hAnsi="Calibri"/>
          <w:noProof/>
          <w:sz w:val="22"/>
          <w:lang w:val="en-CA" w:eastAsia="en-CA"/>
        </w:rPr>
      </w:pPr>
      <w:hyperlink w:anchor="_Toc289807004" w:history="1">
        <w:r w:rsidRPr="002B0520">
          <w:rPr>
            <w:rStyle w:val="Hyperlink"/>
            <w:noProof/>
          </w:rPr>
          <w:t>Chapitre 1 - Notions générales</w:t>
        </w:r>
        <w:r>
          <w:rPr>
            <w:noProof/>
            <w:webHidden/>
          </w:rPr>
          <w:tab/>
        </w:r>
        <w:r>
          <w:rPr>
            <w:noProof/>
            <w:webHidden/>
          </w:rPr>
          <w:fldChar w:fldCharType="begin"/>
        </w:r>
        <w:r>
          <w:rPr>
            <w:noProof/>
            <w:webHidden/>
          </w:rPr>
          <w:instrText xml:space="preserve"> PAGEREF _Toc289807004 \h </w:instrText>
        </w:r>
        <w:r>
          <w:rPr>
            <w:noProof/>
            <w:webHidden/>
          </w:rPr>
        </w:r>
        <w:r>
          <w:rPr>
            <w:noProof/>
            <w:webHidden/>
          </w:rPr>
          <w:fldChar w:fldCharType="separate"/>
        </w:r>
        <w:r>
          <w:rPr>
            <w:noProof/>
            <w:webHidden/>
          </w:rPr>
          <w:t>10</w:t>
        </w:r>
        <w:r>
          <w:rPr>
            <w:noProof/>
            <w:webHidden/>
          </w:rPr>
          <w:fldChar w:fldCharType="end"/>
        </w:r>
      </w:hyperlink>
    </w:p>
    <w:p w:rsidR="009615F3" w:rsidRDefault="009615F3" w:rsidP="009615F3">
      <w:pPr>
        <w:pStyle w:val="TOC2"/>
        <w:tabs>
          <w:tab w:val="right" w:leader="dot" w:pos="8630"/>
        </w:tabs>
        <w:rPr>
          <w:rFonts w:ascii="Calibri" w:eastAsia="Times New Roman" w:hAnsi="Calibri"/>
          <w:noProof/>
          <w:sz w:val="22"/>
          <w:lang w:val="en-CA" w:eastAsia="en-CA"/>
        </w:rPr>
      </w:pPr>
      <w:hyperlink w:anchor="_Toc289807005" w:history="1">
        <w:r w:rsidRPr="002B0520">
          <w:rPr>
            <w:rStyle w:val="Hyperlink"/>
            <w:noProof/>
          </w:rPr>
          <w:t>Chapitre 2 – La formation du contrat de vente</w:t>
        </w:r>
        <w:r>
          <w:rPr>
            <w:noProof/>
            <w:webHidden/>
          </w:rPr>
          <w:tab/>
        </w:r>
        <w:r>
          <w:rPr>
            <w:noProof/>
            <w:webHidden/>
          </w:rPr>
          <w:fldChar w:fldCharType="begin"/>
        </w:r>
        <w:r>
          <w:rPr>
            <w:noProof/>
            <w:webHidden/>
          </w:rPr>
          <w:instrText xml:space="preserve"> PAGEREF _Toc289807005 \h </w:instrText>
        </w:r>
        <w:r>
          <w:rPr>
            <w:noProof/>
            <w:webHidden/>
          </w:rPr>
        </w:r>
        <w:r>
          <w:rPr>
            <w:noProof/>
            <w:webHidden/>
          </w:rPr>
          <w:fldChar w:fldCharType="separate"/>
        </w:r>
        <w:r>
          <w:rPr>
            <w:noProof/>
            <w:webHidden/>
          </w:rPr>
          <w:t>10</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06" w:history="1">
        <w:r w:rsidRPr="002B0520">
          <w:rPr>
            <w:rStyle w:val="Hyperlink"/>
            <w:noProof/>
          </w:rPr>
          <w:t>Section 1- Le consentement dans la vente</w:t>
        </w:r>
        <w:r>
          <w:rPr>
            <w:noProof/>
            <w:webHidden/>
          </w:rPr>
          <w:tab/>
        </w:r>
        <w:r>
          <w:rPr>
            <w:noProof/>
            <w:webHidden/>
          </w:rPr>
          <w:fldChar w:fldCharType="begin"/>
        </w:r>
        <w:r>
          <w:rPr>
            <w:noProof/>
            <w:webHidden/>
          </w:rPr>
          <w:instrText xml:space="preserve"> PAGEREF _Toc289807006 \h </w:instrText>
        </w:r>
        <w:r>
          <w:rPr>
            <w:noProof/>
            <w:webHidden/>
          </w:rPr>
        </w:r>
        <w:r>
          <w:rPr>
            <w:noProof/>
            <w:webHidden/>
          </w:rPr>
          <w:fldChar w:fldCharType="separate"/>
        </w:r>
        <w:r>
          <w:rPr>
            <w:noProof/>
            <w:webHidden/>
          </w:rPr>
          <w:t>10</w:t>
        </w:r>
        <w:r>
          <w:rPr>
            <w:noProof/>
            <w:webHidden/>
          </w:rPr>
          <w:fldChar w:fldCharType="end"/>
        </w:r>
      </w:hyperlink>
    </w:p>
    <w:p w:rsidR="009615F3" w:rsidRDefault="009615F3" w:rsidP="009615F3">
      <w:pPr>
        <w:pStyle w:val="TOC2"/>
        <w:tabs>
          <w:tab w:val="right" w:leader="dot" w:pos="8630"/>
        </w:tabs>
        <w:rPr>
          <w:rFonts w:ascii="Calibri" w:eastAsia="Times New Roman" w:hAnsi="Calibri"/>
          <w:noProof/>
          <w:sz w:val="22"/>
          <w:lang w:val="en-CA" w:eastAsia="en-CA"/>
        </w:rPr>
      </w:pPr>
      <w:hyperlink w:anchor="_Toc289807007" w:history="1">
        <w:r w:rsidRPr="002B0520">
          <w:rPr>
            <w:rStyle w:val="Hyperlink"/>
            <w:noProof/>
          </w:rPr>
          <w:t>Crainte</w:t>
        </w:r>
        <w:r>
          <w:rPr>
            <w:noProof/>
            <w:webHidden/>
          </w:rPr>
          <w:tab/>
        </w:r>
        <w:r>
          <w:rPr>
            <w:noProof/>
            <w:webHidden/>
          </w:rPr>
          <w:fldChar w:fldCharType="begin"/>
        </w:r>
        <w:r>
          <w:rPr>
            <w:noProof/>
            <w:webHidden/>
          </w:rPr>
          <w:instrText xml:space="preserve"> PAGEREF _Toc289807007 \h </w:instrText>
        </w:r>
        <w:r>
          <w:rPr>
            <w:noProof/>
            <w:webHidden/>
          </w:rPr>
        </w:r>
        <w:r>
          <w:rPr>
            <w:noProof/>
            <w:webHidden/>
          </w:rPr>
          <w:fldChar w:fldCharType="separate"/>
        </w:r>
        <w:r>
          <w:rPr>
            <w:noProof/>
            <w:webHidden/>
          </w:rPr>
          <w:t>12</w:t>
        </w:r>
        <w:r>
          <w:rPr>
            <w:noProof/>
            <w:webHidden/>
          </w:rPr>
          <w:fldChar w:fldCharType="end"/>
        </w:r>
      </w:hyperlink>
    </w:p>
    <w:p w:rsidR="009615F3" w:rsidRDefault="009615F3" w:rsidP="009615F3">
      <w:pPr>
        <w:pStyle w:val="TOC2"/>
        <w:tabs>
          <w:tab w:val="right" w:leader="dot" w:pos="8630"/>
        </w:tabs>
        <w:rPr>
          <w:rFonts w:ascii="Calibri" w:eastAsia="Times New Roman" w:hAnsi="Calibri"/>
          <w:noProof/>
          <w:sz w:val="22"/>
          <w:lang w:val="en-CA" w:eastAsia="en-CA"/>
        </w:rPr>
      </w:pPr>
      <w:hyperlink w:anchor="_Toc289807008" w:history="1">
        <w:r w:rsidRPr="002B0520">
          <w:rPr>
            <w:rStyle w:val="Hyperlink"/>
            <w:noProof/>
          </w:rPr>
          <w:t>Lésion</w:t>
        </w:r>
        <w:r>
          <w:rPr>
            <w:noProof/>
            <w:webHidden/>
          </w:rPr>
          <w:tab/>
        </w:r>
        <w:r>
          <w:rPr>
            <w:noProof/>
            <w:webHidden/>
          </w:rPr>
          <w:fldChar w:fldCharType="begin"/>
        </w:r>
        <w:r>
          <w:rPr>
            <w:noProof/>
            <w:webHidden/>
          </w:rPr>
          <w:instrText xml:space="preserve"> PAGEREF _Toc289807008 \h </w:instrText>
        </w:r>
        <w:r>
          <w:rPr>
            <w:noProof/>
            <w:webHidden/>
          </w:rPr>
        </w:r>
        <w:r>
          <w:rPr>
            <w:noProof/>
            <w:webHidden/>
          </w:rPr>
          <w:fldChar w:fldCharType="separate"/>
        </w:r>
        <w:r>
          <w:rPr>
            <w:noProof/>
            <w:webHidden/>
          </w:rPr>
          <w:t>12</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09" w:history="1">
        <w:r w:rsidRPr="002B0520">
          <w:rPr>
            <w:rStyle w:val="Hyperlink"/>
            <w:noProof/>
          </w:rPr>
          <w:t>Section 2 - La capacité de vendre ou d’acheter</w:t>
        </w:r>
        <w:r>
          <w:rPr>
            <w:noProof/>
            <w:webHidden/>
          </w:rPr>
          <w:tab/>
        </w:r>
        <w:r>
          <w:rPr>
            <w:noProof/>
            <w:webHidden/>
          </w:rPr>
          <w:fldChar w:fldCharType="begin"/>
        </w:r>
        <w:r>
          <w:rPr>
            <w:noProof/>
            <w:webHidden/>
          </w:rPr>
          <w:instrText xml:space="preserve"> PAGEREF _Toc289807009 \h </w:instrText>
        </w:r>
        <w:r>
          <w:rPr>
            <w:noProof/>
            <w:webHidden/>
          </w:rPr>
        </w:r>
        <w:r>
          <w:rPr>
            <w:noProof/>
            <w:webHidden/>
          </w:rPr>
          <w:fldChar w:fldCharType="separate"/>
        </w:r>
        <w:r>
          <w:rPr>
            <w:noProof/>
            <w:webHidden/>
          </w:rPr>
          <w:t>12</w:t>
        </w:r>
        <w:r>
          <w:rPr>
            <w:noProof/>
            <w:webHidden/>
          </w:rPr>
          <w:fldChar w:fldCharType="end"/>
        </w:r>
      </w:hyperlink>
    </w:p>
    <w:p w:rsidR="009615F3" w:rsidRDefault="009615F3" w:rsidP="009615F3">
      <w:pPr>
        <w:pStyle w:val="TOC1"/>
        <w:tabs>
          <w:tab w:val="right" w:leader="dot" w:pos="8630"/>
        </w:tabs>
        <w:rPr>
          <w:rFonts w:ascii="Calibri" w:eastAsia="Times New Roman" w:hAnsi="Calibri"/>
          <w:noProof/>
          <w:sz w:val="22"/>
          <w:lang w:val="en-CA" w:eastAsia="en-CA"/>
        </w:rPr>
      </w:pPr>
      <w:hyperlink w:anchor="_Toc289807010" w:history="1">
        <w:r w:rsidRPr="002B0520">
          <w:rPr>
            <w:rStyle w:val="Hyperlink"/>
            <w:noProof/>
          </w:rPr>
          <w:t>Mineur</w:t>
        </w:r>
        <w:r>
          <w:rPr>
            <w:noProof/>
            <w:webHidden/>
          </w:rPr>
          <w:tab/>
        </w:r>
        <w:r>
          <w:rPr>
            <w:noProof/>
            <w:webHidden/>
          </w:rPr>
          <w:fldChar w:fldCharType="begin"/>
        </w:r>
        <w:r>
          <w:rPr>
            <w:noProof/>
            <w:webHidden/>
          </w:rPr>
          <w:instrText xml:space="preserve"> PAGEREF _Toc289807010 \h </w:instrText>
        </w:r>
        <w:r>
          <w:rPr>
            <w:noProof/>
            <w:webHidden/>
          </w:rPr>
        </w:r>
        <w:r>
          <w:rPr>
            <w:noProof/>
            <w:webHidden/>
          </w:rPr>
          <w:fldChar w:fldCharType="separate"/>
        </w:r>
        <w:r>
          <w:rPr>
            <w:noProof/>
            <w:webHidden/>
          </w:rPr>
          <w:t>13</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11" w:history="1">
        <w:r w:rsidRPr="002B0520">
          <w:rPr>
            <w:rStyle w:val="Hyperlink"/>
            <w:noProof/>
          </w:rPr>
          <w:t>Section 3- L’objet du contrat de vente</w:t>
        </w:r>
        <w:r>
          <w:rPr>
            <w:noProof/>
            <w:webHidden/>
          </w:rPr>
          <w:tab/>
        </w:r>
        <w:r>
          <w:rPr>
            <w:noProof/>
            <w:webHidden/>
          </w:rPr>
          <w:fldChar w:fldCharType="begin"/>
        </w:r>
        <w:r>
          <w:rPr>
            <w:noProof/>
            <w:webHidden/>
          </w:rPr>
          <w:instrText xml:space="preserve"> PAGEREF _Toc289807011 \h </w:instrText>
        </w:r>
        <w:r>
          <w:rPr>
            <w:noProof/>
            <w:webHidden/>
          </w:rPr>
        </w:r>
        <w:r>
          <w:rPr>
            <w:noProof/>
            <w:webHidden/>
          </w:rPr>
          <w:fldChar w:fldCharType="separate"/>
        </w:r>
        <w:r>
          <w:rPr>
            <w:noProof/>
            <w:webHidden/>
          </w:rPr>
          <w:t>15</w:t>
        </w:r>
        <w:r>
          <w:rPr>
            <w:noProof/>
            <w:webHidden/>
          </w:rPr>
          <w:fldChar w:fldCharType="end"/>
        </w:r>
      </w:hyperlink>
    </w:p>
    <w:p w:rsidR="009615F3" w:rsidRDefault="009615F3" w:rsidP="009615F3">
      <w:pPr>
        <w:pStyle w:val="TOC1"/>
        <w:tabs>
          <w:tab w:val="right" w:leader="dot" w:pos="8630"/>
        </w:tabs>
        <w:rPr>
          <w:rFonts w:ascii="Calibri" w:eastAsia="Times New Roman" w:hAnsi="Calibri"/>
          <w:noProof/>
          <w:sz w:val="22"/>
          <w:lang w:val="en-CA" w:eastAsia="en-CA"/>
        </w:rPr>
      </w:pPr>
      <w:hyperlink w:anchor="_Toc289807012" w:history="1">
        <w:r w:rsidRPr="002B0520">
          <w:rPr>
            <w:rStyle w:val="Hyperlink"/>
            <w:noProof/>
          </w:rPr>
          <w:t>LE PRIX</w:t>
        </w:r>
        <w:r>
          <w:rPr>
            <w:noProof/>
            <w:webHidden/>
          </w:rPr>
          <w:tab/>
        </w:r>
        <w:r>
          <w:rPr>
            <w:noProof/>
            <w:webHidden/>
          </w:rPr>
          <w:fldChar w:fldCharType="begin"/>
        </w:r>
        <w:r>
          <w:rPr>
            <w:noProof/>
            <w:webHidden/>
          </w:rPr>
          <w:instrText xml:space="preserve"> PAGEREF _Toc289807012 \h </w:instrText>
        </w:r>
        <w:r>
          <w:rPr>
            <w:noProof/>
            <w:webHidden/>
          </w:rPr>
        </w:r>
        <w:r>
          <w:rPr>
            <w:noProof/>
            <w:webHidden/>
          </w:rPr>
          <w:fldChar w:fldCharType="separate"/>
        </w:r>
        <w:r>
          <w:rPr>
            <w:noProof/>
            <w:webHidden/>
          </w:rPr>
          <w:t>17</w:t>
        </w:r>
        <w:r>
          <w:rPr>
            <w:noProof/>
            <w:webHidden/>
          </w:rPr>
          <w:fldChar w:fldCharType="end"/>
        </w:r>
      </w:hyperlink>
    </w:p>
    <w:p w:rsidR="009615F3" w:rsidRDefault="009615F3" w:rsidP="009615F3">
      <w:pPr>
        <w:pStyle w:val="TOC2"/>
        <w:tabs>
          <w:tab w:val="right" w:leader="dot" w:pos="8630"/>
        </w:tabs>
        <w:rPr>
          <w:rFonts w:ascii="Calibri" w:eastAsia="Times New Roman" w:hAnsi="Calibri"/>
          <w:noProof/>
          <w:sz w:val="22"/>
          <w:lang w:val="en-CA" w:eastAsia="en-CA"/>
        </w:rPr>
      </w:pPr>
      <w:hyperlink w:anchor="_Toc289807013" w:history="1">
        <w:r w:rsidRPr="002B0520">
          <w:rPr>
            <w:rStyle w:val="Hyperlink"/>
            <w:noProof/>
          </w:rPr>
          <w:t>Chapitre 3 – Les effets du contrat de vente</w:t>
        </w:r>
        <w:r>
          <w:rPr>
            <w:noProof/>
            <w:webHidden/>
          </w:rPr>
          <w:tab/>
        </w:r>
        <w:r>
          <w:rPr>
            <w:noProof/>
            <w:webHidden/>
          </w:rPr>
          <w:fldChar w:fldCharType="begin"/>
        </w:r>
        <w:r>
          <w:rPr>
            <w:noProof/>
            <w:webHidden/>
          </w:rPr>
          <w:instrText xml:space="preserve"> PAGEREF _Toc289807013 \h </w:instrText>
        </w:r>
        <w:r>
          <w:rPr>
            <w:noProof/>
            <w:webHidden/>
          </w:rPr>
        </w:r>
        <w:r>
          <w:rPr>
            <w:noProof/>
            <w:webHidden/>
          </w:rPr>
          <w:fldChar w:fldCharType="separate"/>
        </w:r>
        <w:r>
          <w:rPr>
            <w:noProof/>
            <w:webHidden/>
          </w:rPr>
          <w:t>18</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14" w:history="1">
        <w:r w:rsidRPr="002B0520">
          <w:rPr>
            <w:rStyle w:val="Hyperlink"/>
            <w:noProof/>
          </w:rPr>
          <w:t>Section 1- Le transfert du droit faisant l’objet de la vente</w:t>
        </w:r>
        <w:r>
          <w:rPr>
            <w:noProof/>
            <w:webHidden/>
          </w:rPr>
          <w:tab/>
        </w:r>
        <w:r>
          <w:rPr>
            <w:noProof/>
            <w:webHidden/>
          </w:rPr>
          <w:fldChar w:fldCharType="begin"/>
        </w:r>
        <w:r>
          <w:rPr>
            <w:noProof/>
            <w:webHidden/>
          </w:rPr>
          <w:instrText xml:space="preserve"> PAGEREF _Toc289807014 \h </w:instrText>
        </w:r>
        <w:r>
          <w:rPr>
            <w:noProof/>
            <w:webHidden/>
          </w:rPr>
        </w:r>
        <w:r>
          <w:rPr>
            <w:noProof/>
            <w:webHidden/>
          </w:rPr>
          <w:fldChar w:fldCharType="separate"/>
        </w:r>
        <w:r>
          <w:rPr>
            <w:noProof/>
            <w:webHidden/>
          </w:rPr>
          <w:t>18</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15" w:history="1">
        <w:r w:rsidRPr="002B0520">
          <w:rPr>
            <w:rStyle w:val="Hyperlink"/>
            <w:noProof/>
          </w:rPr>
          <w:t>Section 2- Le transfert des risques</w:t>
        </w:r>
        <w:r>
          <w:rPr>
            <w:noProof/>
            <w:webHidden/>
          </w:rPr>
          <w:tab/>
        </w:r>
        <w:r>
          <w:rPr>
            <w:noProof/>
            <w:webHidden/>
          </w:rPr>
          <w:fldChar w:fldCharType="begin"/>
        </w:r>
        <w:r>
          <w:rPr>
            <w:noProof/>
            <w:webHidden/>
          </w:rPr>
          <w:instrText xml:space="preserve"> PAGEREF _Toc289807015 \h </w:instrText>
        </w:r>
        <w:r>
          <w:rPr>
            <w:noProof/>
            <w:webHidden/>
          </w:rPr>
        </w:r>
        <w:r>
          <w:rPr>
            <w:noProof/>
            <w:webHidden/>
          </w:rPr>
          <w:fldChar w:fldCharType="separate"/>
        </w:r>
        <w:r>
          <w:rPr>
            <w:noProof/>
            <w:webHidden/>
          </w:rPr>
          <w:t>19</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16" w:history="1">
        <w:r w:rsidRPr="002B0520">
          <w:rPr>
            <w:rStyle w:val="Hyperlink"/>
            <w:noProof/>
          </w:rPr>
          <w:t>Section 3 – Les obligations du vendeur</w:t>
        </w:r>
        <w:r>
          <w:rPr>
            <w:noProof/>
            <w:webHidden/>
          </w:rPr>
          <w:tab/>
        </w:r>
        <w:r>
          <w:rPr>
            <w:noProof/>
            <w:webHidden/>
          </w:rPr>
          <w:fldChar w:fldCharType="begin"/>
        </w:r>
        <w:r>
          <w:rPr>
            <w:noProof/>
            <w:webHidden/>
          </w:rPr>
          <w:instrText xml:space="preserve"> PAGEREF _Toc289807016 \h </w:instrText>
        </w:r>
        <w:r>
          <w:rPr>
            <w:noProof/>
            <w:webHidden/>
          </w:rPr>
        </w:r>
        <w:r>
          <w:rPr>
            <w:noProof/>
            <w:webHidden/>
          </w:rPr>
          <w:fldChar w:fldCharType="separate"/>
        </w:r>
        <w:r>
          <w:rPr>
            <w:noProof/>
            <w:webHidden/>
          </w:rPr>
          <w:t>19</w:t>
        </w:r>
        <w:r>
          <w:rPr>
            <w:noProof/>
            <w:webHidden/>
          </w:rPr>
          <w:fldChar w:fldCharType="end"/>
        </w:r>
      </w:hyperlink>
    </w:p>
    <w:p w:rsidR="009615F3" w:rsidRDefault="009615F3" w:rsidP="009615F3">
      <w:pPr>
        <w:pStyle w:val="TOC1"/>
        <w:tabs>
          <w:tab w:val="right" w:leader="dot" w:pos="8630"/>
        </w:tabs>
        <w:rPr>
          <w:rFonts w:ascii="Calibri" w:eastAsia="Times New Roman" w:hAnsi="Calibri"/>
          <w:noProof/>
          <w:sz w:val="22"/>
          <w:lang w:val="en-CA" w:eastAsia="en-CA"/>
        </w:rPr>
      </w:pPr>
      <w:hyperlink w:anchor="_Toc289807017" w:history="1">
        <w:r w:rsidRPr="002B0520">
          <w:rPr>
            <w:rStyle w:val="Hyperlink"/>
            <w:noProof/>
          </w:rPr>
          <w:t>L’obligation de garantie</w:t>
        </w:r>
        <w:r>
          <w:rPr>
            <w:noProof/>
            <w:webHidden/>
          </w:rPr>
          <w:tab/>
        </w:r>
        <w:r>
          <w:rPr>
            <w:noProof/>
            <w:webHidden/>
          </w:rPr>
          <w:fldChar w:fldCharType="begin"/>
        </w:r>
        <w:r>
          <w:rPr>
            <w:noProof/>
            <w:webHidden/>
          </w:rPr>
          <w:instrText xml:space="preserve"> PAGEREF _Toc289807017 \h </w:instrText>
        </w:r>
        <w:r>
          <w:rPr>
            <w:noProof/>
            <w:webHidden/>
          </w:rPr>
        </w:r>
        <w:r>
          <w:rPr>
            <w:noProof/>
            <w:webHidden/>
          </w:rPr>
          <w:fldChar w:fldCharType="separate"/>
        </w:r>
        <w:r>
          <w:rPr>
            <w:noProof/>
            <w:webHidden/>
          </w:rPr>
          <w:t>20</w:t>
        </w:r>
        <w:r>
          <w:rPr>
            <w:noProof/>
            <w:webHidden/>
          </w:rPr>
          <w:fldChar w:fldCharType="end"/>
        </w:r>
      </w:hyperlink>
    </w:p>
    <w:p w:rsidR="009615F3" w:rsidRDefault="009615F3" w:rsidP="009615F3">
      <w:pPr>
        <w:pStyle w:val="TOC1"/>
        <w:tabs>
          <w:tab w:val="right" w:leader="dot" w:pos="8630"/>
        </w:tabs>
        <w:rPr>
          <w:rFonts w:ascii="Calibri" w:eastAsia="Times New Roman" w:hAnsi="Calibri"/>
          <w:noProof/>
          <w:sz w:val="22"/>
          <w:lang w:val="en-CA" w:eastAsia="en-CA"/>
        </w:rPr>
      </w:pPr>
      <w:hyperlink w:anchor="_Toc289807018" w:history="1">
        <w:r w:rsidRPr="002B0520">
          <w:rPr>
            <w:rStyle w:val="Hyperlink"/>
            <w:noProof/>
          </w:rPr>
          <w:t>Principe de vétusté</w:t>
        </w:r>
        <w:r>
          <w:rPr>
            <w:noProof/>
            <w:webHidden/>
          </w:rPr>
          <w:tab/>
        </w:r>
        <w:r>
          <w:rPr>
            <w:noProof/>
            <w:webHidden/>
          </w:rPr>
          <w:fldChar w:fldCharType="begin"/>
        </w:r>
        <w:r>
          <w:rPr>
            <w:noProof/>
            <w:webHidden/>
          </w:rPr>
          <w:instrText xml:space="preserve"> PAGEREF _Toc289807018 \h </w:instrText>
        </w:r>
        <w:r>
          <w:rPr>
            <w:noProof/>
            <w:webHidden/>
          </w:rPr>
        </w:r>
        <w:r>
          <w:rPr>
            <w:noProof/>
            <w:webHidden/>
          </w:rPr>
          <w:fldChar w:fldCharType="separate"/>
        </w:r>
        <w:r>
          <w:rPr>
            <w:noProof/>
            <w:webHidden/>
          </w:rPr>
          <w:t>25</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19" w:history="1">
        <w:r w:rsidRPr="002B0520">
          <w:rPr>
            <w:rStyle w:val="Hyperlink"/>
            <w:noProof/>
          </w:rPr>
          <w:t>Section 4 – Les obligations de l’acheteur</w:t>
        </w:r>
        <w:r>
          <w:rPr>
            <w:noProof/>
            <w:webHidden/>
          </w:rPr>
          <w:tab/>
        </w:r>
        <w:r>
          <w:rPr>
            <w:noProof/>
            <w:webHidden/>
          </w:rPr>
          <w:fldChar w:fldCharType="begin"/>
        </w:r>
        <w:r>
          <w:rPr>
            <w:noProof/>
            <w:webHidden/>
          </w:rPr>
          <w:instrText xml:space="preserve"> PAGEREF _Toc289807019 \h </w:instrText>
        </w:r>
        <w:r>
          <w:rPr>
            <w:noProof/>
            <w:webHidden/>
          </w:rPr>
        </w:r>
        <w:r>
          <w:rPr>
            <w:noProof/>
            <w:webHidden/>
          </w:rPr>
          <w:fldChar w:fldCharType="separate"/>
        </w:r>
        <w:r>
          <w:rPr>
            <w:noProof/>
            <w:webHidden/>
          </w:rPr>
          <w:t>26</w:t>
        </w:r>
        <w:r>
          <w:rPr>
            <w:noProof/>
            <w:webHidden/>
          </w:rPr>
          <w:fldChar w:fldCharType="end"/>
        </w:r>
      </w:hyperlink>
    </w:p>
    <w:p w:rsidR="009615F3" w:rsidRDefault="009615F3" w:rsidP="009615F3">
      <w:pPr>
        <w:pStyle w:val="TOC1"/>
        <w:tabs>
          <w:tab w:val="right" w:leader="dot" w:pos="8630"/>
        </w:tabs>
        <w:rPr>
          <w:rFonts w:ascii="Calibri" w:eastAsia="Times New Roman" w:hAnsi="Calibri"/>
          <w:noProof/>
          <w:sz w:val="22"/>
          <w:lang w:val="en-CA" w:eastAsia="en-CA"/>
        </w:rPr>
      </w:pPr>
      <w:hyperlink w:anchor="_Toc289807020" w:history="1">
        <w:r w:rsidRPr="002B0520">
          <w:rPr>
            <w:rStyle w:val="Hyperlink"/>
            <w:noProof/>
          </w:rPr>
          <w:t>Titre III – Les ventes particulières</w:t>
        </w:r>
        <w:r>
          <w:rPr>
            <w:noProof/>
            <w:webHidden/>
          </w:rPr>
          <w:tab/>
        </w:r>
        <w:r>
          <w:rPr>
            <w:noProof/>
            <w:webHidden/>
          </w:rPr>
          <w:fldChar w:fldCharType="begin"/>
        </w:r>
        <w:r>
          <w:rPr>
            <w:noProof/>
            <w:webHidden/>
          </w:rPr>
          <w:instrText xml:space="preserve"> PAGEREF _Toc289807020 \h </w:instrText>
        </w:r>
        <w:r>
          <w:rPr>
            <w:noProof/>
            <w:webHidden/>
          </w:rPr>
        </w:r>
        <w:r>
          <w:rPr>
            <w:noProof/>
            <w:webHidden/>
          </w:rPr>
          <w:fldChar w:fldCharType="separate"/>
        </w:r>
        <w:r>
          <w:rPr>
            <w:noProof/>
            <w:webHidden/>
          </w:rPr>
          <w:t>27</w:t>
        </w:r>
        <w:r>
          <w:rPr>
            <w:noProof/>
            <w:webHidden/>
          </w:rPr>
          <w:fldChar w:fldCharType="end"/>
        </w:r>
      </w:hyperlink>
    </w:p>
    <w:p w:rsidR="009615F3" w:rsidRDefault="009615F3" w:rsidP="009615F3">
      <w:pPr>
        <w:pStyle w:val="TOC2"/>
        <w:tabs>
          <w:tab w:val="right" w:leader="dot" w:pos="8630"/>
        </w:tabs>
        <w:rPr>
          <w:rFonts w:ascii="Calibri" w:eastAsia="Times New Roman" w:hAnsi="Calibri"/>
          <w:noProof/>
          <w:sz w:val="22"/>
          <w:lang w:val="en-CA" w:eastAsia="en-CA"/>
        </w:rPr>
      </w:pPr>
      <w:hyperlink w:anchor="_Toc289807021" w:history="1">
        <w:r w:rsidRPr="002B0520">
          <w:rPr>
            <w:rStyle w:val="Hyperlink"/>
            <w:noProof/>
          </w:rPr>
          <w:t>Chapitre 1- Les ventes renforçant la protection des contractants</w:t>
        </w:r>
        <w:r>
          <w:rPr>
            <w:noProof/>
            <w:webHidden/>
          </w:rPr>
          <w:tab/>
        </w:r>
        <w:r>
          <w:rPr>
            <w:noProof/>
            <w:webHidden/>
          </w:rPr>
          <w:fldChar w:fldCharType="begin"/>
        </w:r>
        <w:r>
          <w:rPr>
            <w:noProof/>
            <w:webHidden/>
          </w:rPr>
          <w:instrText xml:space="preserve"> PAGEREF _Toc289807021 \h </w:instrText>
        </w:r>
        <w:r>
          <w:rPr>
            <w:noProof/>
            <w:webHidden/>
          </w:rPr>
        </w:r>
        <w:r>
          <w:rPr>
            <w:noProof/>
            <w:webHidden/>
          </w:rPr>
          <w:fldChar w:fldCharType="separate"/>
        </w:r>
        <w:r>
          <w:rPr>
            <w:noProof/>
            <w:webHidden/>
          </w:rPr>
          <w:t>27</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22" w:history="1">
        <w:r w:rsidRPr="002B0520">
          <w:rPr>
            <w:rStyle w:val="Hyperlink"/>
            <w:noProof/>
          </w:rPr>
          <w:t>Section 1 – La vente d’un immeuble à usage d’habitation</w:t>
        </w:r>
        <w:r>
          <w:rPr>
            <w:noProof/>
            <w:webHidden/>
          </w:rPr>
          <w:tab/>
        </w:r>
        <w:r>
          <w:rPr>
            <w:noProof/>
            <w:webHidden/>
          </w:rPr>
          <w:fldChar w:fldCharType="begin"/>
        </w:r>
        <w:r>
          <w:rPr>
            <w:noProof/>
            <w:webHidden/>
          </w:rPr>
          <w:instrText xml:space="preserve"> PAGEREF _Toc289807022 \h </w:instrText>
        </w:r>
        <w:r>
          <w:rPr>
            <w:noProof/>
            <w:webHidden/>
          </w:rPr>
        </w:r>
        <w:r>
          <w:rPr>
            <w:noProof/>
            <w:webHidden/>
          </w:rPr>
          <w:fldChar w:fldCharType="separate"/>
        </w:r>
        <w:r>
          <w:rPr>
            <w:noProof/>
            <w:webHidden/>
          </w:rPr>
          <w:t>27</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23" w:history="1">
        <w:r w:rsidRPr="002B0520">
          <w:rPr>
            <w:rStyle w:val="Hyperlink"/>
            <w:noProof/>
          </w:rPr>
          <w:t>Section 2 – La vente avec faculté de rachat</w:t>
        </w:r>
        <w:r>
          <w:rPr>
            <w:noProof/>
            <w:webHidden/>
          </w:rPr>
          <w:tab/>
        </w:r>
        <w:r>
          <w:rPr>
            <w:noProof/>
            <w:webHidden/>
          </w:rPr>
          <w:fldChar w:fldCharType="begin"/>
        </w:r>
        <w:r>
          <w:rPr>
            <w:noProof/>
            <w:webHidden/>
          </w:rPr>
          <w:instrText xml:space="preserve"> PAGEREF _Toc289807023 \h </w:instrText>
        </w:r>
        <w:r>
          <w:rPr>
            <w:noProof/>
            <w:webHidden/>
          </w:rPr>
        </w:r>
        <w:r>
          <w:rPr>
            <w:noProof/>
            <w:webHidden/>
          </w:rPr>
          <w:fldChar w:fldCharType="separate"/>
        </w:r>
        <w:r>
          <w:rPr>
            <w:noProof/>
            <w:webHidden/>
          </w:rPr>
          <w:t>30</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24" w:history="1">
        <w:r w:rsidRPr="002B0520">
          <w:rPr>
            <w:rStyle w:val="Hyperlink"/>
            <w:noProof/>
          </w:rPr>
          <w:t>Section 3- La vente à tempérament</w:t>
        </w:r>
        <w:r>
          <w:rPr>
            <w:noProof/>
            <w:webHidden/>
          </w:rPr>
          <w:tab/>
        </w:r>
        <w:r>
          <w:rPr>
            <w:noProof/>
            <w:webHidden/>
          </w:rPr>
          <w:fldChar w:fldCharType="begin"/>
        </w:r>
        <w:r>
          <w:rPr>
            <w:noProof/>
            <w:webHidden/>
          </w:rPr>
          <w:instrText xml:space="preserve"> PAGEREF _Toc289807024 \h </w:instrText>
        </w:r>
        <w:r>
          <w:rPr>
            <w:noProof/>
            <w:webHidden/>
          </w:rPr>
        </w:r>
        <w:r>
          <w:rPr>
            <w:noProof/>
            <w:webHidden/>
          </w:rPr>
          <w:fldChar w:fldCharType="separate"/>
        </w:r>
        <w:r>
          <w:rPr>
            <w:noProof/>
            <w:webHidden/>
          </w:rPr>
          <w:t>31</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25" w:history="1">
        <w:r w:rsidRPr="002B0520">
          <w:rPr>
            <w:rStyle w:val="Hyperlink"/>
            <w:noProof/>
          </w:rPr>
          <w:t>Section 4 – La vente de droits successoraux</w:t>
        </w:r>
        <w:r>
          <w:rPr>
            <w:noProof/>
            <w:webHidden/>
          </w:rPr>
          <w:tab/>
        </w:r>
        <w:r>
          <w:rPr>
            <w:noProof/>
            <w:webHidden/>
          </w:rPr>
          <w:fldChar w:fldCharType="begin"/>
        </w:r>
        <w:r>
          <w:rPr>
            <w:noProof/>
            <w:webHidden/>
          </w:rPr>
          <w:instrText xml:space="preserve"> PAGEREF _Toc289807025 \h </w:instrText>
        </w:r>
        <w:r>
          <w:rPr>
            <w:noProof/>
            <w:webHidden/>
          </w:rPr>
        </w:r>
        <w:r>
          <w:rPr>
            <w:noProof/>
            <w:webHidden/>
          </w:rPr>
          <w:fldChar w:fldCharType="separate"/>
        </w:r>
        <w:r>
          <w:rPr>
            <w:noProof/>
            <w:webHidden/>
          </w:rPr>
          <w:t>33</w:t>
        </w:r>
        <w:r>
          <w:rPr>
            <w:noProof/>
            <w:webHidden/>
          </w:rPr>
          <w:fldChar w:fldCharType="end"/>
        </w:r>
      </w:hyperlink>
    </w:p>
    <w:p w:rsidR="009615F3" w:rsidRDefault="009615F3" w:rsidP="009615F3">
      <w:pPr>
        <w:pStyle w:val="TOC2"/>
        <w:tabs>
          <w:tab w:val="right" w:leader="dot" w:pos="8630"/>
        </w:tabs>
        <w:rPr>
          <w:rFonts w:ascii="Calibri" w:eastAsia="Times New Roman" w:hAnsi="Calibri"/>
          <w:noProof/>
          <w:sz w:val="22"/>
          <w:lang w:val="en-CA" w:eastAsia="en-CA"/>
        </w:rPr>
      </w:pPr>
      <w:hyperlink w:anchor="_Toc289807026" w:history="1">
        <w:r w:rsidRPr="002B0520">
          <w:rPr>
            <w:rStyle w:val="Hyperlink"/>
            <w:noProof/>
          </w:rPr>
          <w:t>Chapitre 2 – Les ventes assurant la protection des tiers</w:t>
        </w:r>
        <w:r>
          <w:rPr>
            <w:noProof/>
            <w:webHidden/>
          </w:rPr>
          <w:tab/>
        </w:r>
        <w:r>
          <w:rPr>
            <w:noProof/>
            <w:webHidden/>
          </w:rPr>
          <w:fldChar w:fldCharType="begin"/>
        </w:r>
        <w:r>
          <w:rPr>
            <w:noProof/>
            <w:webHidden/>
          </w:rPr>
          <w:instrText xml:space="preserve"> PAGEREF _Toc289807026 \h </w:instrText>
        </w:r>
        <w:r>
          <w:rPr>
            <w:noProof/>
            <w:webHidden/>
          </w:rPr>
        </w:r>
        <w:r>
          <w:rPr>
            <w:noProof/>
            <w:webHidden/>
          </w:rPr>
          <w:fldChar w:fldCharType="separate"/>
        </w:r>
        <w:r>
          <w:rPr>
            <w:noProof/>
            <w:webHidden/>
          </w:rPr>
          <w:t>34</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27" w:history="1">
        <w:r w:rsidRPr="002B0520">
          <w:rPr>
            <w:rStyle w:val="Hyperlink"/>
            <w:noProof/>
          </w:rPr>
          <w:t>Section 1- La vente aux enchères</w:t>
        </w:r>
        <w:r>
          <w:rPr>
            <w:noProof/>
            <w:webHidden/>
          </w:rPr>
          <w:tab/>
        </w:r>
        <w:r>
          <w:rPr>
            <w:noProof/>
            <w:webHidden/>
          </w:rPr>
          <w:fldChar w:fldCharType="begin"/>
        </w:r>
        <w:r>
          <w:rPr>
            <w:noProof/>
            <w:webHidden/>
          </w:rPr>
          <w:instrText xml:space="preserve"> PAGEREF _Toc289807027 \h </w:instrText>
        </w:r>
        <w:r>
          <w:rPr>
            <w:noProof/>
            <w:webHidden/>
          </w:rPr>
        </w:r>
        <w:r>
          <w:rPr>
            <w:noProof/>
            <w:webHidden/>
          </w:rPr>
          <w:fldChar w:fldCharType="separate"/>
        </w:r>
        <w:r>
          <w:rPr>
            <w:noProof/>
            <w:webHidden/>
          </w:rPr>
          <w:t>34</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28" w:history="1">
        <w:r w:rsidRPr="002B0520">
          <w:rPr>
            <w:rStyle w:val="Hyperlink"/>
            <w:noProof/>
          </w:rPr>
          <w:t>Section 2- La vente de droits litigieux</w:t>
        </w:r>
        <w:r>
          <w:rPr>
            <w:noProof/>
            <w:webHidden/>
          </w:rPr>
          <w:tab/>
        </w:r>
        <w:r>
          <w:rPr>
            <w:noProof/>
            <w:webHidden/>
          </w:rPr>
          <w:fldChar w:fldCharType="begin"/>
        </w:r>
        <w:r>
          <w:rPr>
            <w:noProof/>
            <w:webHidden/>
          </w:rPr>
          <w:instrText xml:space="preserve"> PAGEREF _Toc289807028 \h </w:instrText>
        </w:r>
        <w:r>
          <w:rPr>
            <w:noProof/>
            <w:webHidden/>
          </w:rPr>
        </w:r>
        <w:r>
          <w:rPr>
            <w:noProof/>
            <w:webHidden/>
          </w:rPr>
          <w:fldChar w:fldCharType="separate"/>
        </w:r>
        <w:r>
          <w:rPr>
            <w:noProof/>
            <w:webHidden/>
          </w:rPr>
          <w:t>35</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29" w:history="1">
        <w:r w:rsidRPr="002B0520">
          <w:rPr>
            <w:rStyle w:val="Hyperlink"/>
            <w:noProof/>
          </w:rPr>
          <w:t>Section 3 – La vente de créance</w:t>
        </w:r>
        <w:r>
          <w:rPr>
            <w:noProof/>
            <w:webHidden/>
          </w:rPr>
          <w:tab/>
        </w:r>
        <w:r>
          <w:rPr>
            <w:noProof/>
            <w:webHidden/>
          </w:rPr>
          <w:fldChar w:fldCharType="begin"/>
        </w:r>
        <w:r>
          <w:rPr>
            <w:noProof/>
            <w:webHidden/>
          </w:rPr>
          <w:instrText xml:space="preserve"> PAGEREF _Toc289807029 \h </w:instrText>
        </w:r>
        <w:r>
          <w:rPr>
            <w:noProof/>
            <w:webHidden/>
          </w:rPr>
        </w:r>
        <w:r>
          <w:rPr>
            <w:noProof/>
            <w:webHidden/>
          </w:rPr>
          <w:fldChar w:fldCharType="separate"/>
        </w:r>
        <w:r>
          <w:rPr>
            <w:noProof/>
            <w:webHidden/>
          </w:rPr>
          <w:t>36</w:t>
        </w:r>
        <w:r>
          <w:rPr>
            <w:noProof/>
            <w:webHidden/>
          </w:rPr>
          <w:fldChar w:fldCharType="end"/>
        </w:r>
      </w:hyperlink>
    </w:p>
    <w:p w:rsidR="009615F3" w:rsidRDefault="009615F3" w:rsidP="009615F3">
      <w:pPr>
        <w:pStyle w:val="TOC1"/>
        <w:tabs>
          <w:tab w:val="right" w:leader="dot" w:pos="8630"/>
        </w:tabs>
        <w:rPr>
          <w:rFonts w:ascii="Calibri" w:eastAsia="Times New Roman" w:hAnsi="Calibri"/>
          <w:noProof/>
          <w:sz w:val="22"/>
          <w:lang w:val="en-CA" w:eastAsia="en-CA"/>
        </w:rPr>
      </w:pPr>
      <w:hyperlink w:anchor="_Toc289807030" w:history="1">
        <w:r w:rsidRPr="002B0520">
          <w:rPr>
            <w:rStyle w:val="Hyperlink"/>
            <w:noProof/>
          </w:rPr>
          <w:t>Titre III – Les contrats apparentés à la vente</w:t>
        </w:r>
        <w:r>
          <w:rPr>
            <w:noProof/>
            <w:webHidden/>
          </w:rPr>
          <w:tab/>
        </w:r>
        <w:r>
          <w:rPr>
            <w:noProof/>
            <w:webHidden/>
          </w:rPr>
          <w:fldChar w:fldCharType="begin"/>
        </w:r>
        <w:r>
          <w:rPr>
            <w:noProof/>
            <w:webHidden/>
          </w:rPr>
          <w:instrText xml:space="preserve"> PAGEREF _Toc289807030 \h </w:instrText>
        </w:r>
        <w:r>
          <w:rPr>
            <w:noProof/>
            <w:webHidden/>
          </w:rPr>
        </w:r>
        <w:r>
          <w:rPr>
            <w:noProof/>
            <w:webHidden/>
          </w:rPr>
          <w:fldChar w:fldCharType="separate"/>
        </w:r>
        <w:r>
          <w:rPr>
            <w:noProof/>
            <w:webHidden/>
          </w:rPr>
          <w:t>37</w:t>
        </w:r>
        <w:r>
          <w:rPr>
            <w:noProof/>
            <w:webHidden/>
          </w:rPr>
          <w:fldChar w:fldCharType="end"/>
        </w:r>
      </w:hyperlink>
    </w:p>
    <w:p w:rsidR="009615F3" w:rsidRDefault="009615F3" w:rsidP="009615F3">
      <w:pPr>
        <w:pStyle w:val="TOC2"/>
        <w:tabs>
          <w:tab w:val="right" w:leader="dot" w:pos="8630"/>
        </w:tabs>
        <w:rPr>
          <w:rFonts w:ascii="Calibri" w:eastAsia="Times New Roman" w:hAnsi="Calibri"/>
          <w:noProof/>
          <w:sz w:val="22"/>
          <w:lang w:val="en-CA" w:eastAsia="en-CA"/>
        </w:rPr>
      </w:pPr>
      <w:hyperlink w:anchor="_Toc289807031" w:history="1">
        <w:r w:rsidRPr="002B0520">
          <w:rPr>
            <w:rStyle w:val="Hyperlink"/>
            <w:noProof/>
          </w:rPr>
          <w:t>Chapitre 1- L’échange</w:t>
        </w:r>
        <w:r>
          <w:rPr>
            <w:noProof/>
            <w:webHidden/>
          </w:rPr>
          <w:tab/>
        </w:r>
        <w:r>
          <w:rPr>
            <w:noProof/>
            <w:webHidden/>
          </w:rPr>
          <w:fldChar w:fldCharType="begin"/>
        </w:r>
        <w:r>
          <w:rPr>
            <w:noProof/>
            <w:webHidden/>
          </w:rPr>
          <w:instrText xml:space="preserve"> PAGEREF _Toc289807031 \h </w:instrText>
        </w:r>
        <w:r>
          <w:rPr>
            <w:noProof/>
            <w:webHidden/>
          </w:rPr>
        </w:r>
        <w:r>
          <w:rPr>
            <w:noProof/>
            <w:webHidden/>
          </w:rPr>
          <w:fldChar w:fldCharType="separate"/>
        </w:r>
        <w:r>
          <w:rPr>
            <w:noProof/>
            <w:webHidden/>
          </w:rPr>
          <w:t>37</w:t>
        </w:r>
        <w:r>
          <w:rPr>
            <w:noProof/>
            <w:webHidden/>
          </w:rPr>
          <w:fldChar w:fldCharType="end"/>
        </w:r>
      </w:hyperlink>
    </w:p>
    <w:p w:rsidR="009615F3" w:rsidRDefault="009615F3" w:rsidP="009615F3">
      <w:pPr>
        <w:pStyle w:val="TOC2"/>
        <w:tabs>
          <w:tab w:val="right" w:leader="dot" w:pos="8630"/>
        </w:tabs>
        <w:rPr>
          <w:rFonts w:ascii="Calibri" w:eastAsia="Times New Roman" w:hAnsi="Calibri"/>
          <w:noProof/>
          <w:sz w:val="22"/>
          <w:lang w:val="en-CA" w:eastAsia="en-CA"/>
        </w:rPr>
      </w:pPr>
      <w:hyperlink w:anchor="_Toc289807032" w:history="1">
        <w:r w:rsidRPr="002B0520">
          <w:rPr>
            <w:rStyle w:val="Hyperlink"/>
            <w:noProof/>
          </w:rPr>
          <w:t>Chapitre 2 – La dation en paiement</w:t>
        </w:r>
        <w:r>
          <w:rPr>
            <w:noProof/>
            <w:webHidden/>
          </w:rPr>
          <w:tab/>
        </w:r>
        <w:r>
          <w:rPr>
            <w:noProof/>
            <w:webHidden/>
          </w:rPr>
          <w:fldChar w:fldCharType="begin"/>
        </w:r>
        <w:r>
          <w:rPr>
            <w:noProof/>
            <w:webHidden/>
          </w:rPr>
          <w:instrText xml:space="preserve"> PAGEREF _Toc289807032 \h </w:instrText>
        </w:r>
        <w:r>
          <w:rPr>
            <w:noProof/>
            <w:webHidden/>
          </w:rPr>
        </w:r>
        <w:r>
          <w:rPr>
            <w:noProof/>
            <w:webHidden/>
          </w:rPr>
          <w:fldChar w:fldCharType="separate"/>
        </w:r>
        <w:r>
          <w:rPr>
            <w:noProof/>
            <w:webHidden/>
          </w:rPr>
          <w:t>37</w:t>
        </w:r>
        <w:r>
          <w:rPr>
            <w:noProof/>
            <w:webHidden/>
          </w:rPr>
          <w:fldChar w:fldCharType="end"/>
        </w:r>
      </w:hyperlink>
    </w:p>
    <w:p w:rsidR="009615F3" w:rsidRDefault="009615F3" w:rsidP="009615F3">
      <w:pPr>
        <w:pStyle w:val="TOC2"/>
        <w:tabs>
          <w:tab w:val="right" w:leader="dot" w:pos="8630"/>
        </w:tabs>
        <w:rPr>
          <w:rFonts w:ascii="Calibri" w:eastAsia="Times New Roman" w:hAnsi="Calibri"/>
          <w:noProof/>
          <w:sz w:val="22"/>
          <w:lang w:val="en-CA" w:eastAsia="en-CA"/>
        </w:rPr>
      </w:pPr>
      <w:hyperlink w:anchor="_Toc289807033" w:history="1">
        <w:r w:rsidRPr="002B0520">
          <w:rPr>
            <w:rStyle w:val="Hyperlink"/>
            <w:noProof/>
          </w:rPr>
          <w:t>Chapitre 3 – Le bail à rente</w:t>
        </w:r>
        <w:r>
          <w:rPr>
            <w:noProof/>
            <w:webHidden/>
          </w:rPr>
          <w:tab/>
        </w:r>
        <w:r>
          <w:rPr>
            <w:noProof/>
            <w:webHidden/>
          </w:rPr>
          <w:fldChar w:fldCharType="begin"/>
        </w:r>
        <w:r>
          <w:rPr>
            <w:noProof/>
            <w:webHidden/>
          </w:rPr>
          <w:instrText xml:space="preserve"> PAGEREF _Toc289807033 \h </w:instrText>
        </w:r>
        <w:r>
          <w:rPr>
            <w:noProof/>
            <w:webHidden/>
          </w:rPr>
        </w:r>
        <w:r>
          <w:rPr>
            <w:noProof/>
            <w:webHidden/>
          </w:rPr>
          <w:fldChar w:fldCharType="separate"/>
        </w:r>
        <w:r>
          <w:rPr>
            <w:noProof/>
            <w:webHidden/>
          </w:rPr>
          <w:t>38</w:t>
        </w:r>
        <w:r>
          <w:rPr>
            <w:noProof/>
            <w:webHidden/>
          </w:rPr>
          <w:fldChar w:fldCharType="end"/>
        </w:r>
      </w:hyperlink>
    </w:p>
    <w:p w:rsidR="009615F3" w:rsidRDefault="009615F3" w:rsidP="009615F3">
      <w:pPr>
        <w:pStyle w:val="TOC1"/>
        <w:tabs>
          <w:tab w:val="right" w:leader="dot" w:pos="8630"/>
        </w:tabs>
        <w:rPr>
          <w:rFonts w:ascii="Calibri" w:eastAsia="Times New Roman" w:hAnsi="Calibri"/>
          <w:noProof/>
          <w:sz w:val="22"/>
          <w:lang w:val="en-CA" w:eastAsia="en-CA"/>
        </w:rPr>
      </w:pPr>
      <w:hyperlink w:anchor="_Toc289807034" w:history="1">
        <w:r w:rsidRPr="002B0520">
          <w:rPr>
            <w:rStyle w:val="Hyperlink"/>
            <w:noProof/>
          </w:rPr>
          <w:t>Titre IV- Les donations entre vifs</w:t>
        </w:r>
        <w:r>
          <w:rPr>
            <w:noProof/>
            <w:webHidden/>
          </w:rPr>
          <w:tab/>
        </w:r>
        <w:r>
          <w:rPr>
            <w:noProof/>
            <w:webHidden/>
          </w:rPr>
          <w:fldChar w:fldCharType="begin"/>
        </w:r>
        <w:r>
          <w:rPr>
            <w:noProof/>
            <w:webHidden/>
          </w:rPr>
          <w:instrText xml:space="preserve"> PAGEREF _Toc289807034 \h </w:instrText>
        </w:r>
        <w:r>
          <w:rPr>
            <w:noProof/>
            <w:webHidden/>
          </w:rPr>
        </w:r>
        <w:r>
          <w:rPr>
            <w:noProof/>
            <w:webHidden/>
          </w:rPr>
          <w:fldChar w:fldCharType="separate"/>
        </w:r>
        <w:r>
          <w:rPr>
            <w:noProof/>
            <w:webHidden/>
          </w:rPr>
          <w:t>38</w:t>
        </w:r>
        <w:r>
          <w:rPr>
            <w:noProof/>
            <w:webHidden/>
          </w:rPr>
          <w:fldChar w:fldCharType="end"/>
        </w:r>
      </w:hyperlink>
    </w:p>
    <w:p w:rsidR="009615F3" w:rsidRDefault="009615F3" w:rsidP="009615F3">
      <w:pPr>
        <w:pStyle w:val="TOC2"/>
        <w:tabs>
          <w:tab w:val="right" w:leader="dot" w:pos="8630"/>
        </w:tabs>
        <w:rPr>
          <w:rFonts w:ascii="Calibri" w:eastAsia="Times New Roman" w:hAnsi="Calibri"/>
          <w:noProof/>
          <w:sz w:val="22"/>
          <w:lang w:val="en-CA" w:eastAsia="en-CA"/>
        </w:rPr>
      </w:pPr>
      <w:hyperlink w:anchor="_Toc289807035" w:history="1">
        <w:r w:rsidRPr="002B0520">
          <w:rPr>
            <w:rStyle w:val="Hyperlink"/>
            <w:noProof/>
          </w:rPr>
          <w:t>Chapitre 1- Remarques préliminaires</w:t>
        </w:r>
        <w:r>
          <w:rPr>
            <w:noProof/>
            <w:webHidden/>
          </w:rPr>
          <w:tab/>
        </w:r>
        <w:r>
          <w:rPr>
            <w:noProof/>
            <w:webHidden/>
          </w:rPr>
          <w:fldChar w:fldCharType="begin"/>
        </w:r>
        <w:r>
          <w:rPr>
            <w:noProof/>
            <w:webHidden/>
          </w:rPr>
          <w:instrText xml:space="preserve"> PAGEREF _Toc289807035 \h </w:instrText>
        </w:r>
        <w:r>
          <w:rPr>
            <w:noProof/>
            <w:webHidden/>
          </w:rPr>
        </w:r>
        <w:r>
          <w:rPr>
            <w:noProof/>
            <w:webHidden/>
          </w:rPr>
          <w:fldChar w:fldCharType="separate"/>
        </w:r>
        <w:r>
          <w:rPr>
            <w:noProof/>
            <w:webHidden/>
          </w:rPr>
          <w:t>38</w:t>
        </w:r>
        <w:r>
          <w:rPr>
            <w:noProof/>
            <w:webHidden/>
          </w:rPr>
          <w:fldChar w:fldCharType="end"/>
        </w:r>
      </w:hyperlink>
    </w:p>
    <w:p w:rsidR="009615F3" w:rsidRDefault="009615F3" w:rsidP="009615F3">
      <w:pPr>
        <w:pStyle w:val="TOC2"/>
        <w:tabs>
          <w:tab w:val="right" w:leader="dot" w:pos="8630"/>
        </w:tabs>
        <w:rPr>
          <w:rFonts w:ascii="Calibri" w:eastAsia="Times New Roman" w:hAnsi="Calibri"/>
          <w:noProof/>
          <w:sz w:val="22"/>
          <w:lang w:val="en-CA" w:eastAsia="en-CA"/>
        </w:rPr>
      </w:pPr>
      <w:hyperlink w:anchor="_Toc289807036" w:history="1">
        <w:r w:rsidRPr="002B0520">
          <w:rPr>
            <w:rStyle w:val="Hyperlink"/>
            <w:noProof/>
          </w:rPr>
          <w:t>Chapitre 2- Nature juridique</w:t>
        </w:r>
        <w:r>
          <w:rPr>
            <w:noProof/>
            <w:webHidden/>
          </w:rPr>
          <w:tab/>
        </w:r>
        <w:r>
          <w:rPr>
            <w:noProof/>
            <w:webHidden/>
          </w:rPr>
          <w:fldChar w:fldCharType="begin"/>
        </w:r>
        <w:r>
          <w:rPr>
            <w:noProof/>
            <w:webHidden/>
          </w:rPr>
          <w:instrText xml:space="preserve"> PAGEREF _Toc289807036 \h </w:instrText>
        </w:r>
        <w:r>
          <w:rPr>
            <w:noProof/>
            <w:webHidden/>
          </w:rPr>
        </w:r>
        <w:r>
          <w:rPr>
            <w:noProof/>
            <w:webHidden/>
          </w:rPr>
          <w:fldChar w:fldCharType="separate"/>
        </w:r>
        <w:r>
          <w:rPr>
            <w:noProof/>
            <w:webHidden/>
          </w:rPr>
          <w:t>39</w:t>
        </w:r>
        <w:r>
          <w:rPr>
            <w:noProof/>
            <w:webHidden/>
          </w:rPr>
          <w:fldChar w:fldCharType="end"/>
        </w:r>
      </w:hyperlink>
    </w:p>
    <w:p w:rsidR="009615F3" w:rsidRDefault="009615F3" w:rsidP="009615F3">
      <w:pPr>
        <w:pStyle w:val="TOC2"/>
        <w:tabs>
          <w:tab w:val="right" w:leader="dot" w:pos="8630"/>
        </w:tabs>
        <w:rPr>
          <w:rFonts w:ascii="Calibri" w:eastAsia="Times New Roman" w:hAnsi="Calibri"/>
          <w:noProof/>
          <w:sz w:val="22"/>
          <w:lang w:val="en-CA" w:eastAsia="en-CA"/>
        </w:rPr>
      </w:pPr>
      <w:hyperlink w:anchor="_Toc289807037" w:history="1">
        <w:r w:rsidRPr="002B0520">
          <w:rPr>
            <w:rStyle w:val="Hyperlink"/>
            <w:rFonts w:cs="Arial"/>
            <w:noProof/>
          </w:rPr>
          <w:t>- Si annulé : remise dans l’état précontractuel</w:t>
        </w:r>
        <w:r>
          <w:rPr>
            <w:noProof/>
            <w:webHidden/>
          </w:rPr>
          <w:tab/>
        </w:r>
        <w:r>
          <w:rPr>
            <w:noProof/>
            <w:webHidden/>
          </w:rPr>
          <w:fldChar w:fldCharType="begin"/>
        </w:r>
        <w:r>
          <w:rPr>
            <w:noProof/>
            <w:webHidden/>
          </w:rPr>
          <w:instrText xml:space="preserve"> PAGEREF _Toc289807037 \h </w:instrText>
        </w:r>
        <w:r>
          <w:rPr>
            <w:noProof/>
            <w:webHidden/>
          </w:rPr>
        </w:r>
        <w:r>
          <w:rPr>
            <w:noProof/>
            <w:webHidden/>
          </w:rPr>
          <w:fldChar w:fldCharType="separate"/>
        </w:r>
        <w:r>
          <w:rPr>
            <w:noProof/>
            <w:webHidden/>
          </w:rPr>
          <w:t>40</w:t>
        </w:r>
        <w:r>
          <w:rPr>
            <w:noProof/>
            <w:webHidden/>
          </w:rPr>
          <w:fldChar w:fldCharType="end"/>
        </w:r>
      </w:hyperlink>
    </w:p>
    <w:p w:rsidR="009615F3" w:rsidRDefault="009615F3" w:rsidP="009615F3">
      <w:pPr>
        <w:pStyle w:val="TOC2"/>
        <w:tabs>
          <w:tab w:val="right" w:leader="dot" w:pos="8630"/>
        </w:tabs>
        <w:rPr>
          <w:rFonts w:ascii="Calibri" w:eastAsia="Times New Roman" w:hAnsi="Calibri"/>
          <w:noProof/>
          <w:sz w:val="22"/>
          <w:lang w:val="en-CA" w:eastAsia="en-CA"/>
        </w:rPr>
      </w:pPr>
      <w:hyperlink w:anchor="_Toc289807038" w:history="1">
        <w:r w:rsidRPr="002B0520">
          <w:rPr>
            <w:rStyle w:val="Hyperlink"/>
            <w:noProof/>
          </w:rPr>
          <w:t>Chapitre 3 – Condition de fond</w:t>
        </w:r>
        <w:r>
          <w:rPr>
            <w:noProof/>
            <w:webHidden/>
          </w:rPr>
          <w:tab/>
        </w:r>
        <w:r>
          <w:rPr>
            <w:noProof/>
            <w:webHidden/>
          </w:rPr>
          <w:fldChar w:fldCharType="begin"/>
        </w:r>
        <w:r>
          <w:rPr>
            <w:noProof/>
            <w:webHidden/>
          </w:rPr>
          <w:instrText xml:space="preserve"> PAGEREF _Toc289807038 \h </w:instrText>
        </w:r>
        <w:r>
          <w:rPr>
            <w:noProof/>
            <w:webHidden/>
          </w:rPr>
        </w:r>
        <w:r>
          <w:rPr>
            <w:noProof/>
            <w:webHidden/>
          </w:rPr>
          <w:fldChar w:fldCharType="separate"/>
        </w:r>
        <w:r>
          <w:rPr>
            <w:noProof/>
            <w:webHidden/>
          </w:rPr>
          <w:t>40</w:t>
        </w:r>
        <w:r>
          <w:rPr>
            <w:noProof/>
            <w:webHidden/>
          </w:rPr>
          <w:fldChar w:fldCharType="end"/>
        </w:r>
      </w:hyperlink>
    </w:p>
    <w:p w:rsidR="009615F3" w:rsidRDefault="009615F3" w:rsidP="009615F3">
      <w:pPr>
        <w:pStyle w:val="TOC2"/>
        <w:tabs>
          <w:tab w:val="right" w:leader="dot" w:pos="8630"/>
        </w:tabs>
        <w:rPr>
          <w:rFonts w:ascii="Calibri" w:eastAsia="Times New Roman" w:hAnsi="Calibri"/>
          <w:noProof/>
          <w:sz w:val="22"/>
          <w:lang w:val="en-CA" w:eastAsia="en-CA"/>
        </w:rPr>
      </w:pPr>
      <w:hyperlink w:anchor="_Toc289807039" w:history="1">
        <w:r w:rsidRPr="002B0520">
          <w:rPr>
            <w:rStyle w:val="Hyperlink"/>
            <w:rFonts w:cs="Arial"/>
            <w:noProof/>
          </w:rPr>
          <w:t>-Mêmes que la vente sauf formalisme : acte notarié ou contrat de mariage</w:t>
        </w:r>
        <w:r>
          <w:rPr>
            <w:noProof/>
            <w:webHidden/>
          </w:rPr>
          <w:tab/>
        </w:r>
        <w:r>
          <w:rPr>
            <w:noProof/>
            <w:webHidden/>
          </w:rPr>
          <w:fldChar w:fldCharType="begin"/>
        </w:r>
        <w:r>
          <w:rPr>
            <w:noProof/>
            <w:webHidden/>
          </w:rPr>
          <w:instrText xml:space="preserve"> PAGEREF _Toc289807039 \h </w:instrText>
        </w:r>
        <w:r>
          <w:rPr>
            <w:noProof/>
            <w:webHidden/>
          </w:rPr>
        </w:r>
        <w:r>
          <w:rPr>
            <w:noProof/>
            <w:webHidden/>
          </w:rPr>
          <w:fldChar w:fldCharType="separate"/>
        </w:r>
        <w:r>
          <w:rPr>
            <w:noProof/>
            <w:webHidden/>
          </w:rPr>
          <w:t>40</w:t>
        </w:r>
        <w:r>
          <w:rPr>
            <w:noProof/>
            <w:webHidden/>
          </w:rPr>
          <w:fldChar w:fldCharType="end"/>
        </w:r>
      </w:hyperlink>
    </w:p>
    <w:p w:rsidR="009615F3" w:rsidRDefault="009615F3" w:rsidP="009615F3">
      <w:pPr>
        <w:pStyle w:val="TOC2"/>
        <w:tabs>
          <w:tab w:val="right" w:leader="dot" w:pos="8630"/>
        </w:tabs>
        <w:rPr>
          <w:rFonts w:ascii="Calibri" w:eastAsia="Times New Roman" w:hAnsi="Calibri"/>
          <w:noProof/>
          <w:sz w:val="22"/>
          <w:lang w:val="en-CA" w:eastAsia="en-CA"/>
        </w:rPr>
      </w:pPr>
      <w:hyperlink w:anchor="_Toc289807040" w:history="1">
        <w:r w:rsidRPr="002B0520">
          <w:rPr>
            <w:rStyle w:val="Hyperlink"/>
            <w:rFonts w:cs="Arial"/>
            <w:noProof/>
          </w:rPr>
          <w:t>-Articles 1813 et suivants. Un mineur ne peut pas faire de donation : nullité absolue. Le mineur doit toujours être représenté pour recevoir une donation. Attention ne s’applique pas pour le mineur pleinement émancipé.</w:t>
        </w:r>
        <w:r>
          <w:rPr>
            <w:noProof/>
            <w:webHidden/>
          </w:rPr>
          <w:tab/>
        </w:r>
        <w:r>
          <w:rPr>
            <w:noProof/>
            <w:webHidden/>
          </w:rPr>
          <w:fldChar w:fldCharType="begin"/>
        </w:r>
        <w:r>
          <w:rPr>
            <w:noProof/>
            <w:webHidden/>
          </w:rPr>
          <w:instrText xml:space="preserve"> PAGEREF _Toc289807040 \h </w:instrText>
        </w:r>
        <w:r>
          <w:rPr>
            <w:noProof/>
            <w:webHidden/>
          </w:rPr>
        </w:r>
        <w:r>
          <w:rPr>
            <w:noProof/>
            <w:webHidden/>
          </w:rPr>
          <w:fldChar w:fldCharType="separate"/>
        </w:r>
        <w:r>
          <w:rPr>
            <w:noProof/>
            <w:webHidden/>
          </w:rPr>
          <w:t>40</w:t>
        </w:r>
        <w:r>
          <w:rPr>
            <w:noProof/>
            <w:webHidden/>
          </w:rPr>
          <w:fldChar w:fldCharType="end"/>
        </w:r>
      </w:hyperlink>
    </w:p>
    <w:p w:rsidR="009615F3" w:rsidRDefault="009615F3" w:rsidP="009615F3">
      <w:pPr>
        <w:pStyle w:val="TOC2"/>
        <w:tabs>
          <w:tab w:val="right" w:leader="dot" w:pos="8630"/>
        </w:tabs>
        <w:rPr>
          <w:rFonts w:ascii="Calibri" w:eastAsia="Times New Roman" w:hAnsi="Calibri"/>
          <w:noProof/>
          <w:sz w:val="22"/>
          <w:lang w:val="en-CA" w:eastAsia="en-CA"/>
        </w:rPr>
      </w:pPr>
      <w:hyperlink w:anchor="_Toc289807041" w:history="1">
        <w:r w:rsidRPr="002B0520">
          <w:rPr>
            <w:rStyle w:val="Hyperlink"/>
            <w:noProof/>
          </w:rPr>
          <w:t>Chapitre 4 – Conditions de forme</w:t>
        </w:r>
        <w:r>
          <w:rPr>
            <w:noProof/>
            <w:webHidden/>
          </w:rPr>
          <w:tab/>
        </w:r>
        <w:r>
          <w:rPr>
            <w:noProof/>
            <w:webHidden/>
          </w:rPr>
          <w:fldChar w:fldCharType="begin"/>
        </w:r>
        <w:r>
          <w:rPr>
            <w:noProof/>
            <w:webHidden/>
          </w:rPr>
          <w:instrText xml:space="preserve"> PAGEREF _Toc289807041 \h </w:instrText>
        </w:r>
        <w:r>
          <w:rPr>
            <w:noProof/>
            <w:webHidden/>
          </w:rPr>
        </w:r>
        <w:r>
          <w:rPr>
            <w:noProof/>
            <w:webHidden/>
          </w:rPr>
          <w:fldChar w:fldCharType="separate"/>
        </w:r>
        <w:r>
          <w:rPr>
            <w:noProof/>
            <w:webHidden/>
          </w:rPr>
          <w:t>40</w:t>
        </w:r>
        <w:r>
          <w:rPr>
            <w:noProof/>
            <w:webHidden/>
          </w:rPr>
          <w:fldChar w:fldCharType="end"/>
        </w:r>
      </w:hyperlink>
    </w:p>
    <w:p w:rsidR="009615F3" w:rsidRDefault="009615F3" w:rsidP="009615F3">
      <w:pPr>
        <w:pStyle w:val="TOC1"/>
        <w:tabs>
          <w:tab w:val="right" w:leader="dot" w:pos="8630"/>
        </w:tabs>
        <w:rPr>
          <w:rFonts w:ascii="Calibri" w:eastAsia="Times New Roman" w:hAnsi="Calibri"/>
          <w:noProof/>
          <w:sz w:val="22"/>
          <w:lang w:val="en-CA" w:eastAsia="en-CA"/>
        </w:rPr>
      </w:pPr>
      <w:hyperlink w:anchor="_Toc289807042" w:history="1">
        <w:r w:rsidRPr="002B0520">
          <w:rPr>
            <w:rStyle w:val="Hyperlink"/>
            <w:noProof/>
          </w:rPr>
          <w:t>Titre VI : Le louage</w:t>
        </w:r>
        <w:r>
          <w:rPr>
            <w:noProof/>
            <w:webHidden/>
          </w:rPr>
          <w:tab/>
        </w:r>
        <w:r>
          <w:rPr>
            <w:noProof/>
            <w:webHidden/>
          </w:rPr>
          <w:fldChar w:fldCharType="begin"/>
        </w:r>
        <w:r>
          <w:rPr>
            <w:noProof/>
            <w:webHidden/>
          </w:rPr>
          <w:instrText xml:space="preserve"> PAGEREF _Toc289807042 \h </w:instrText>
        </w:r>
        <w:r>
          <w:rPr>
            <w:noProof/>
            <w:webHidden/>
          </w:rPr>
        </w:r>
        <w:r>
          <w:rPr>
            <w:noProof/>
            <w:webHidden/>
          </w:rPr>
          <w:fldChar w:fldCharType="separate"/>
        </w:r>
        <w:r>
          <w:rPr>
            <w:noProof/>
            <w:webHidden/>
          </w:rPr>
          <w:t>41</w:t>
        </w:r>
        <w:r>
          <w:rPr>
            <w:noProof/>
            <w:webHidden/>
          </w:rPr>
          <w:fldChar w:fldCharType="end"/>
        </w:r>
      </w:hyperlink>
    </w:p>
    <w:p w:rsidR="009615F3" w:rsidRDefault="009615F3" w:rsidP="009615F3">
      <w:pPr>
        <w:pStyle w:val="TOC2"/>
        <w:tabs>
          <w:tab w:val="right" w:leader="dot" w:pos="8630"/>
        </w:tabs>
        <w:rPr>
          <w:rFonts w:ascii="Calibri" w:eastAsia="Times New Roman" w:hAnsi="Calibri"/>
          <w:noProof/>
          <w:sz w:val="22"/>
          <w:lang w:val="en-CA" w:eastAsia="en-CA"/>
        </w:rPr>
      </w:pPr>
      <w:hyperlink w:anchor="_Toc289807043" w:history="1">
        <w:r w:rsidRPr="002B0520">
          <w:rPr>
            <w:rStyle w:val="Hyperlink"/>
            <w:noProof/>
          </w:rPr>
          <w:t>Chapitre 1 : Définition</w:t>
        </w:r>
        <w:r>
          <w:rPr>
            <w:noProof/>
            <w:webHidden/>
          </w:rPr>
          <w:tab/>
        </w:r>
        <w:r>
          <w:rPr>
            <w:noProof/>
            <w:webHidden/>
          </w:rPr>
          <w:fldChar w:fldCharType="begin"/>
        </w:r>
        <w:r>
          <w:rPr>
            <w:noProof/>
            <w:webHidden/>
          </w:rPr>
          <w:instrText xml:space="preserve"> PAGEREF _Toc289807043 \h </w:instrText>
        </w:r>
        <w:r>
          <w:rPr>
            <w:noProof/>
            <w:webHidden/>
          </w:rPr>
        </w:r>
        <w:r>
          <w:rPr>
            <w:noProof/>
            <w:webHidden/>
          </w:rPr>
          <w:fldChar w:fldCharType="separate"/>
        </w:r>
        <w:r>
          <w:rPr>
            <w:noProof/>
            <w:webHidden/>
          </w:rPr>
          <w:t>41</w:t>
        </w:r>
        <w:r>
          <w:rPr>
            <w:noProof/>
            <w:webHidden/>
          </w:rPr>
          <w:fldChar w:fldCharType="end"/>
        </w:r>
      </w:hyperlink>
    </w:p>
    <w:p w:rsidR="009615F3" w:rsidRDefault="009615F3" w:rsidP="009615F3">
      <w:pPr>
        <w:pStyle w:val="TOC2"/>
        <w:tabs>
          <w:tab w:val="right" w:leader="dot" w:pos="8630"/>
        </w:tabs>
        <w:rPr>
          <w:rFonts w:ascii="Calibri" w:eastAsia="Times New Roman" w:hAnsi="Calibri"/>
          <w:noProof/>
          <w:sz w:val="22"/>
          <w:lang w:val="en-CA" w:eastAsia="en-CA"/>
        </w:rPr>
      </w:pPr>
      <w:hyperlink w:anchor="_Toc289807044" w:history="1">
        <w:r w:rsidRPr="002B0520">
          <w:rPr>
            <w:rStyle w:val="Hyperlink"/>
            <w:rFonts w:cs="Arial"/>
            <w:noProof/>
          </w:rPr>
          <w:t>Qu’est-ce que le louage?</w:t>
        </w:r>
        <w:r>
          <w:rPr>
            <w:noProof/>
            <w:webHidden/>
          </w:rPr>
          <w:tab/>
        </w:r>
        <w:r>
          <w:rPr>
            <w:noProof/>
            <w:webHidden/>
          </w:rPr>
          <w:fldChar w:fldCharType="begin"/>
        </w:r>
        <w:r>
          <w:rPr>
            <w:noProof/>
            <w:webHidden/>
          </w:rPr>
          <w:instrText xml:space="preserve"> PAGEREF _Toc289807044 \h </w:instrText>
        </w:r>
        <w:r>
          <w:rPr>
            <w:noProof/>
            <w:webHidden/>
          </w:rPr>
        </w:r>
        <w:r>
          <w:rPr>
            <w:noProof/>
            <w:webHidden/>
          </w:rPr>
          <w:fldChar w:fldCharType="separate"/>
        </w:r>
        <w:r>
          <w:rPr>
            <w:noProof/>
            <w:webHidden/>
          </w:rPr>
          <w:t>42</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45" w:history="1">
        <w:r w:rsidRPr="002B0520">
          <w:rPr>
            <w:rStyle w:val="Hyperlink"/>
            <w:noProof/>
          </w:rPr>
          <w:t>Section 1 : Règles particulières applicables au bail résidentiel</w:t>
        </w:r>
        <w:r>
          <w:rPr>
            <w:noProof/>
            <w:webHidden/>
          </w:rPr>
          <w:tab/>
        </w:r>
        <w:r>
          <w:rPr>
            <w:noProof/>
            <w:webHidden/>
          </w:rPr>
          <w:fldChar w:fldCharType="begin"/>
        </w:r>
        <w:r>
          <w:rPr>
            <w:noProof/>
            <w:webHidden/>
          </w:rPr>
          <w:instrText xml:space="preserve"> PAGEREF _Toc289807045 \h </w:instrText>
        </w:r>
        <w:r>
          <w:rPr>
            <w:noProof/>
            <w:webHidden/>
          </w:rPr>
        </w:r>
        <w:r>
          <w:rPr>
            <w:noProof/>
            <w:webHidden/>
          </w:rPr>
          <w:fldChar w:fldCharType="separate"/>
        </w:r>
        <w:r>
          <w:rPr>
            <w:noProof/>
            <w:webHidden/>
          </w:rPr>
          <w:t>42</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46" w:history="1">
        <w:r w:rsidRPr="002B0520">
          <w:rPr>
            <w:rStyle w:val="Hyperlink"/>
            <w:noProof/>
          </w:rPr>
          <w:t>Section 2 : Conditions de formation du bail</w:t>
        </w:r>
        <w:r>
          <w:rPr>
            <w:noProof/>
            <w:webHidden/>
          </w:rPr>
          <w:tab/>
        </w:r>
        <w:r>
          <w:rPr>
            <w:noProof/>
            <w:webHidden/>
          </w:rPr>
          <w:fldChar w:fldCharType="begin"/>
        </w:r>
        <w:r>
          <w:rPr>
            <w:noProof/>
            <w:webHidden/>
          </w:rPr>
          <w:instrText xml:space="preserve"> PAGEREF _Toc289807046 \h </w:instrText>
        </w:r>
        <w:r>
          <w:rPr>
            <w:noProof/>
            <w:webHidden/>
          </w:rPr>
        </w:r>
        <w:r>
          <w:rPr>
            <w:noProof/>
            <w:webHidden/>
          </w:rPr>
          <w:fldChar w:fldCharType="separate"/>
        </w:r>
        <w:r>
          <w:rPr>
            <w:noProof/>
            <w:webHidden/>
          </w:rPr>
          <w:t>42</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47" w:history="1">
        <w:r w:rsidRPr="002B0520">
          <w:rPr>
            <w:rStyle w:val="Hyperlink"/>
            <w:noProof/>
          </w:rPr>
          <w:t>Section 3 : Capacité des parties</w:t>
        </w:r>
        <w:r>
          <w:rPr>
            <w:noProof/>
            <w:webHidden/>
          </w:rPr>
          <w:tab/>
        </w:r>
        <w:r>
          <w:rPr>
            <w:noProof/>
            <w:webHidden/>
          </w:rPr>
          <w:fldChar w:fldCharType="begin"/>
        </w:r>
        <w:r>
          <w:rPr>
            <w:noProof/>
            <w:webHidden/>
          </w:rPr>
          <w:instrText xml:space="preserve"> PAGEREF _Toc289807047 \h </w:instrText>
        </w:r>
        <w:r>
          <w:rPr>
            <w:noProof/>
            <w:webHidden/>
          </w:rPr>
        </w:r>
        <w:r>
          <w:rPr>
            <w:noProof/>
            <w:webHidden/>
          </w:rPr>
          <w:fldChar w:fldCharType="separate"/>
        </w:r>
        <w:r>
          <w:rPr>
            <w:noProof/>
            <w:webHidden/>
          </w:rPr>
          <w:t>43</w:t>
        </w:r>
        <w:r>
          <w:rPr>
            <w:noProof/>
            <w:webHidden/>
          </w:rPr>
          <w:fldChar w:fldCharType="end"/>
        </w:r>
      </w:hyperlink>
    </w:p>
    <w:p w:rsidR="009615F3" w:rsidRDefault="009615F3" w:rsidP="009615F3">
      <w:pPr>
        <w:pStyle w:val="TOC2"/>
        <w:tabs>
          <w:tab w:val="right" w:leader="dot" w:pos="8630"/>
        </w:tabs>
        <w:rPr>
          <w:rFonts w:ascii="Calibri" w:eastAsia="Times New Roman" w:hAnsi="Calibri"/>
          <w:noProof/>
          <w:sz w:val="22"/>
          <w:lang w:val="en-CA" w:eastAsia="en-CA"/>
        </w:rPr>
      </w:pPr>
      <w:hyperlink w:anchor="_Toc289807048" w:history="1">
        <w:r w:rsidRPr="002B0520">
          <w:rPr>
            <w:rStyle w:val="Hyperlink"/>
            <w:noProof/>
          </w:rPr>
          <w:t>Chapitre 2 : Cause et objet</w:t>
        </w:r>
        <w:r>
          <w:rPr>
            <w:noProof/>
            <w:webHidden/>
          </w:rPr>
          <w:tab/>
        </w:r>
        <w:r>
          <w:rPr>
            <w:noProof/>
            <w:webHidden/>
          </w:rPr>
          <w:fldChar w:fldCharType="begin"/>
        </w:r>
        <w:r>
          <w:rPr>
            <w:noProof/>
            <w:webHidden/>
          </w:rPr>
          <w:instrText xml:space="preserve"> PAGEREF _Toc289807048 \h </w:instrText>
        </w:r>
        <w:r>
          <w:rPr>
            <w:noProof/>
            <w:webHidden/>
          </w:rPr>
        </w:r>
        <w:r>
          <w:rPr>
            <w:noProof/>
            <w:webHidden/>
          </w:rPr>
          <w:fldChar w:fldCharType="separate"/>
        </w:r>
        <w:r>
          <w:rPr>
            <w:noProof/>
            <w:webHidden/>
          </w:rPr>
          <w:t>43</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49" w:history="1">
        <w:r w:rsidRPr="002B0520">
          <w:rPr>
            <w:rStyle w:val="Hyperlink"/>
            <w:noProof/>
          </w:rPr>
          <w:t>Section 1 : Cause illicite prohibée</w:t>
        </w:r>
        <w:r>
          <w:rPr>
            <w:noProof/>
            <w:webHidden/>
          </w:rPr>
          <w:tab/>
        </w:r>
        <w:r>
          <w:rPr>
            <w:noProof/>
            <w:webHidden/>
          </w:rPr>
          <w:fldChar w:fldCharType="begin"/>
        </w:r>
        <w:r>
          <w:rPr>
            <w:noProof/>
            <w:webHidden/>
          </w:rPr>
          <w:instrText xml:space="preserve"> PAGEREF _Toc289807049 \h </w:instrText>
        </w:r>
        <w:r>
          <w:rPr>
            <w:noProof/>
            <w:webHidden/>
          </w:rPr>
        </w:r>
        <w:r>
          <w:rPr>
            <w:noProof/>
            <w:webHidden/>
          </w:rPr>
          <w:fldChar w:fldCharType="separate"/>
        </w:r>
        <w:r>
          <w:rPr>
            <w:noProof/>
            <w:webHidden/>
          </w:rPr>
          <w:t>43</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50" w:history="1">
        <w:r w:rsidRPr="002B0520">
          <w:rPr>
            <w:rStyle w:val="Hyperlink"/>
            <w:noProof/>
          </w:rPr>
          <w:t>Section 2 : Objet</w:t>
        </w:r>
        <w:r>
          <w:rPr>
            <w:noProof/>
            <w:webHidden/>
          </w:rPr>
          <w:tab/>
        </w:r>
        <w:r>
          <w:rPr>
            <w:noProof/>
            <w:webHidden/>
          </w:rPr>
          <w:fldChar w:fldCharType="begin"/>
        </w:r>
        <w:r>
          <w:rPr>
            <w:noProof/>
            <w:webHidden/>
          </w:rPr>
          <w:instrText xml:space="preserve"> PAGEREF _Toc289807050 \h </w:instrText>
        </w:r>
        <w:r>
          <w:rPr>
            <w:noProof/>
            <w:webHidden/>
          </w:rPr>
        </w:r>
        <w:r>
          <w:rPr>
            <w:noProof/>
            <w:webHidden/>
          </w:rPr>
          <w:fldChar w:fldCharType="separate"/>
        </w:r>
        <w:r>
          <w:rPr>
            <w:noProof/>
            <w:webHidden/>
          </w:rPr>
          <w:t>43</w:t>
        </w:r>
        <w:r>
          <w:rPr>
            <w:noProof/>
            <w:webHidden/>
          </w:rPr>
          <w:fldChar w:fldCharType="end"/>
        </w:r>
      </w:hyperlink>
    </w:p>
    <w:p w:rsidR="009615F3" w:rsidRDefault="009615F3" w:rsidP="009615F3">
      <w:pPr>
        <w:pStyle w:val="TOC2"/>
        <w:tabs>
          <w:tab w:val="right" w:leader="dot" w:pos="8630"/>
        </w:tabs>
        <w:rPr>
          <w:rFonts w:ascii="Calibri" w:eastAsia="Times New Roman" w:hAnsi="Calibri"/>
          <w:noProof/>
          <w:sz w:val="22"/>
          <w:lang w:val="en-CA" w:eastAsia="en-CA"/>
        </w:rPr>
      </w:pPr>
      <w:hyperlink w:anchor="_Toc289807051" w:history="1">
        <w:r w:rsidRPr="002B0520">
          <w:rPr>
            <w:rStyle w:val="Hyperlink"/>
            <w:noProof/>
          </w:rPr>
          <w:t>Chapitre 3 : Nature des droits résultant du bail</w:t>
        </w:r>
        <w:r>
          <w:rPr>
            <w:noProof/>
            <w:webHidden/>
          </w:rPr>
          <w:tab/>
        </w:r>
        <w:r>
          <w:rPr>
            <w:noProof/>
            <w:webHidden/>
          </w:rPr>
          <w:fldChar w:fldCharType="begin"/>
        </w:r>
        <w:r>
          <w:rPr>
            <w:noProof/>
            <w:webHidden/>
          </w:rPr>
          <w:instrText xml:space="preserve"> PAGEREF _Toc289807051 \h </w:instrText>
        </w:r>
        <w:r>
          <w:rPr>
            <w:noProof/>
            <w:webHidden/>
          </w:rPr>
        </w:r>
        <w:r>
          <w:rPr>
            <w:noProof/>
            <w:webHidden/>
          </w:rPr>
          <w:fldChar w:fldCharType="separate"/>
        </w:r>
        <w:r>
          <w:rPr>
            <w:noProof/>
            <w:webHidden/>
          </w:rPr>
          <w:t>44</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52" w:history="1">
        <w:r w:rsidRPr="002B0520">
          <w:rPr>
            <w:rStyle w:val="Hyperlink"/>
            <w:noProof/>
          </w:rPr>
          <w:t>Section 1 : Caractère intuitu personea</w:t>
        </w:r>
        <w:r>
          <w:rPr>
            <w:noProof/>
            <w:webHidden/>
          </w:rPr>
          <w:tab/>
        </w:r>
        <w:r>
          <w:rPr>
            <w:noProof/>
            <w:webHidden/>
          </w:rPr>
          <w:fldChar w:fldCharType="begin"/>
        </w:r>
        <w:r>
          <w:rPr>
            <w:noProof/>
            <w:webHidden/>
          </w:rPr>
          <w:instrText xml:space="preserve"> PAGEREF _Toc289807052 \h </w:instrText>
        </w:r>
        <w:r>
          <w:rPr>
            <w:noProof/>
            <w:webHidden/>
          </w:rPr>
        </w:r>
        <w:r>
          <w:rPr>
            <w:noProof/>
            <w:webHidden/>
          </w:rPr>
          <w:fldChar w:fldCharType="separate"/>
        </w:r>
        <w:r>
          <w:rPr>
            <w:noProof/>
            <w:webHidden/>
          </w:rPr>
          <w:t>44</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53" w:history="1">
        <w:r w:rsidRPr="002B0520">
          <w:rPr>
            <w:rStyle w:val="Hyperlink"/>
            <w:noProof/>
          </w:rPr>
          <w:t>Section 2 : Droit personnel</w:t>
        </w:r>
        <w:r>
          <w:rPr>
            <w:noProof/>
            <w:webHidden/>
          </w:rPr>
          <w:tab/>
        </w:r>
        <w:r>
          <w:rPr>
            <w:noProof/>
            <w:webHidden/>
          </w:rPr>
          <w:fldChar w:fldCharType="begin"/>
        </w:r>
        <w:r>
          <w:rPr>
            <w:noProof/>
            <w:webHidden/>
          </w:rPr>
          <w:instrText xml:space="preserve"> PAGEREF _Toc289807053 \h </w:instrText>
        </w:r>
        <w:r>
          <w:rPr>
            <w:noProof/>
            <w:webHidden/>
          </w:rPr>
        </w:r>
        <w:r>
          <w:rPr>
            <w:noProof/>
            <w:webHidden/>
          </w:rPr>
          <w:fldChar w:fldCharType="separate"/>
        </w:r>
        <w:r>
          <w:rPr>
            <w:noProof/>
            <w:webHidden/>
          </w:rPr>
          <w:t>44</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54" w:history="1">
        <w:r w:rsidRPr="002B0520">
          <w:rPr>
            <w:rStyle w:val="Hyperlink"/>
            <w:noProof/>
          </w:rPr>
          <w:t>Section 3 : Publicité</w:t>
        </w:r>
        <w:r>
          <w:rPr>
            <w:noProof/>
            <w:webHidden/>
          </w:rPr>
          <w:tab/>
        </w:r>
        <w:r>
          <w:rPr>
            <w:noProof/>
            <w:webHidden/>
          </w:rPr>
          <w:fldChar w:fldCharType="begin"/>
        </w:r>
        <w:r>
          <w:rPr>
            <w:noProof/>
            <w:webHidden/>
          </w:rPr>
          <w:instrText xml:space="preserve"> PAGEREF _Toc289807054 \h </w:instrText>
        </w:r>
        <w:r>
          <w:rPr>
            <w:noProof/>
            <w:webHidden/>
          </w:rPr>
        </w:r>
        <w:r>
          <w:rPr>
            <w:noProof/>
            <w:webHidden/>
          </w:rPr>
          <w:fldChar w:fldCharType="separate"/>
        </w:r>
        <w:r>
          <w:rPr>
            <w:noProof/>
            <w:webHidden/>
          </w:rPr>
          <w:t>44</w:t>
        </w:r>
        <w:r>
          <w:rPr>
            <w:noProof/>
            <w:webHidden/>
          </w:rPr>
          <w:fldChar w:fldCharType="end"/>
        </w:r>
      </w:hyperlink>
    </w:p>
    <w:p w:rsidR="009615F3" w:rsidRDefault="009615F3" w:rsidP="009615F3">
      <w:pPr>
        <w:pStyle w:val="TOC2"/>
        <w:tabs>
          <w:tab w:val="right" w:leader="dot" w:pos="8630"/>
        </w:tabs>
        <w:rPr>
          <w:rFonts w:ascii="Calibri" w:eastAsia="Times New Roman" w:hAnsi="Calibri"/>
          <w:noProof/>
          <w:sz w:val="22"/>
          <w:lang w:val="en-CA" w:eastAsia="en-CA"/>
        </w:rPr>
      </w:pPr>
      <w:hyperlink w:anchor="_Toc289807055" w:history="1">
        <w:r w:rsidRPr="002B0520">
          <w:rPr>
            <w:rStyle w:val="Hyperlink"/>
            <w:noProof/>
          </w:rPr>
          <w:t>Chapitre 4 : Droits et obligations du locateur</w:t>
        </w:r>
        <w:r>
          <w:rPr>
            <w:noProof/>
            <w:webHidden/>
          </w:rPr>
          <w:tab/>
        </w:r>
        <w:r>
          <w:rPr>
            <w:noProof/>
            <w:webHidden/>
          </w:rPr>
          <w:fldChar w:fldCharType="begin"/>
        </w:r>
        <w:r>
          <w:rPr>
            <w:noProof/>
            <w:webHidden/>
          </w:rPr>
          <w:instrText xml:space="preserve"> PAGEREF _Toc289807055 \h </w:instrText>
        </w:r>
        <w:r>
          <w:rPr>
            <w:noProof/>
            <w:webHidden/>
          </w:rPr>
        </w:r>
        <w:r>
          <w:rPr>
            <w:noProof/>
            <w:webHidden/>
          </w:rPr>
          <w:fldChar w:fldCharType="separate"/>
        </w:r>
        <w:r>
          <w:rPr>
            <w:noProof/>
            <w:webHidden/>
          </w:rPr>
          <w:t>44</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56" w:history="1">
        <w:r w:rsidRPr="002B0520">
          <w:rPr>
            <w:rStyle w:val="Hyperlink"/>
            <w:noProof/>
          </w:rPr>
          <w:t>Section 1 : Obligation de délivrance</w:t>
        </w:r>
        <w:r>
          <w:rPr>
            <w:noProof/>
            <w:webHidden/>
          </w:rPr>
          <w:tab/>
        </w:r>
        <w:r>
          <w:rPr>
            <w:noProof/>
            <w:webHidden/>
          </w:rPr>
          <w:fldChar w:fldCharType="begin"/>
        </w:r>
        <w:r>
          <w:rPr>
            <w:noProof/>
            <w:webHidden/>
          </w:rPr>
          <w:instrText xml:space="preserve"> PAGEREF _Toc289807056 \h </w:instrText>
        </w:r>
        <w:r>
          <w:rPr>
            <w:noProof/>
            <w:webHidden/>
          </w:rPr>
        </w:r>
        <w:r>
          <w:rPr>
            <w:noProof/>
            <w:webHidden/>
          </w:rPr>
          <w:fldChar w:fldCharType="separate"/>
        </w:r>
        <w:r>
          <w:rPr>
            <w:noProof/>
            <w:webHidden/>
          </w:rPr>
          <w:t>44</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57" w:history="1">
        <w:r w:rsidRPr="002B0520">
          <w:rPr>
            <w:rStyle w:val="Hyperlink"/>
            <w:noProof/>
          </w:rPr>
          <w:t>Section 2 : Défaut de délivrance</w:t>
        </w:r>
        <w:r>
          <w:rPr>
            <w:noProof/>
            <w:webHidden/>
          </w:rPr>
          <w:tab/>
        </w:r>
        <w:r>
          <w:rPr>
            <w:noProof/>
            <w:webHidden/>
          </w:rPr>
          <w:fldChar w:fldCharType="begin"/>
        </w:r>
        <w:r>
          <w:rPr>
            <w:noProof/>
            <w:webHidden/>
          </w:rPr>
          <w:instrText xml:space="preserve"> PAGEREF _Toc289807057 \h </w:instrText>
        </w:r>
        <w:r>
          <w:rPr>
            <w:noProof/>
            <w:webHidden/>
          </w:rPr>
        </w:r>
        <w:r>
          <w:rPr>
            <w:noProof/>
            <w:webHidden/>
          </w:rPr>
          <w:fldChar w:fldCharType="separate"/>
        </w:r>
        <w:r>
          <w:rPr>
            <w:noProof/>
            <w:webHidden/>
          </w:rPr>
          <w:t>45</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58" w:history="1">
        <w:r w:rsidRPr="002B0520">
          <w:rPr>
            <w:rStyle w:val="Hyperlink"/>
            <w:noProof/>
          </w:rPr>
          <w:t>Section 3 : État du bien loué</w:t>
        </w:r>
        <w:r>
          <w:rPr>
            <w:noProof/>
            <w:webHidden/>
          </w:rPr>
          <w:tab/>
        </w:r>
        <w:r>
          <w:rPr>
            <w:noProof/>
            <w:webHidden/>
          </w:rPr>
          <w:fldChar w:fldCharType="begin"/>
        </w:r>
        <w:r>
          <w:rPr>
            <w:noProof/>
            <w:webHidden/>
          </w:rPr>
          <w:instrText xml:space="preserve"> PAGEREF _Toc289807058 \h </w:instrText>
        </w:r>
        <w:r>
          <w:rPr>
            <w:noProof/>
            <w:webHidden/>
          </w:rPr>
        </w:r>
        <w:r>
          <w:rPr>
            <w:noProof/>
            <w:webHidden/>
          </w:rPr>
          <w:fldChar w:fldCharType="separate"/>
        </w:r>
        <w:r>
          <w:rPr>
            <w:noProof/>
            <w:webHidden/>
          </w:rPr>
          <w:t>45</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59" w:history="1">
        <w:r w:rsidRPr="002B0520">
          <w:rPr>
            <w:rStyle w:val="Hyperlink"/>
            <w:noProof/>
          </w:rPr>
          <w:t>Section 4 : Garantir que le bien pourra être utilisé tel que convenu entre les parties</w:t>
        </w:r>
        <w:r>
          <w:rPr>
            <w:noProof/>
            <w:webHidden/>
          </w:rPr>
          <w:tab/>
        </w:r>
        <w:r>
          <w:rPr>
            <w:noProof/>
            <w:webHidden/>
          </w:rPr>
          <w:fldChar w:fldCharType="begin"/>
        </w:r>
        <w:r>
          <w:rPr>
            <w:noProof/>
            <w:webHidden/>
          </w:rPr>
          <w:instrText xml:space="preserve"> PAGEREF _Toc289807059 \h </w:instrText>
        </w:r>
        <w:r>
          <w:rPr>
            <w:noProof/>
            <w:webHidden/>
          </w:rPr>
        </w:r>
        <w:r>
          <w:rPr>
            <w:noProof/>
            <w:webHidden/>
          </w:rPr>
          <w:fldChar w:fldCharType="separate"/>
        </w:r>
        <w:r>
          <w:rPr>
            <w:noProof/>
            <w:webHidden/>
          </w:rPr>
          <w:t>45</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60" w:history="1">
        <w:r w:rsidRPr="002B0520">
          <w:rPr>
            <w:rStyle w:val="Hyperlink"/>
            <w:noProof/>
          </w:rPr>
          <w:t>Section 5 : Procurer jouissance paisible du bien</w:t>
        </w:r>
        <w:r>
          <w:rPr>
            <w:noProof/>
            <w:webHidden/>
          </w:rPr>
          <w:tab/>
        </w:r>
        <w:r>
          <w:rPr>
            <w:noProof/>
            <w:webHidden/>
          </w:rPr>
          <w:fldChar w:fldCharType="begin"/>
        </w:r>
        <w:r>
          <w:rPr>
            <w:noProof/>
            <w:webHidden/>
          </w:rPr>
          <w:instrText xml:space="preserve"> PAGEREF _Toc289807060 \h </w:instrText>
        </w:r>
        <w:r>
          <w:rPr>
            <w:noProof/>
            <w:webHidden/>
          </w:rPr>
        </w:r>
        <w:r>
          <w:rPr>
            <w:noProof/>
            <w:webHidden/>
          </w:rPr>
          <w:fldChar w:fldCharType="separate"/>
        </w:r>
        <w:r>
          <w:rPr>
            <w:noProof/>
            <w:webHidden/>
          </w:rPr>
          <w:t>46</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61" w:history="1">
        <w:r w:rsidRPr="002B0520">
          <w:rPr>
            <w:rStyle w:val="Hyperlink"/>
            <w:noProof/>
          </w:rPr>
          <w:t>Section 6 : Obligation d’entretien et de réparation pendant la durée du bail</w:t>
        </w:r>
        <w:r>
          <w:rPr>
            <w:noProof/>
            <w:webHidden/>
          </w:rPr>
          <w:tab/>
        </w:r>
        <w:r>
          <w:rPr>
            <w:noProof/>
            <w:webHidden/>
          </w:rPr>
          <w:fldChar w:fldCharType="begin"/>
        </w:r>
        <w:r>
          <w:rPr>
            <w:noProof/>
            <w:webHidden/>
          </w:rPr>
          <w:instrText xml:space="preserve"> PAGEREF _Toc289807061 \h </w:instrText>
        </w:r>
        <w:r>
          <w:rPr>
            <w:noProof/>
            <w:webHidden/>
          </w:rPr>
        </w:r>
        <w:r>
          <w:rPr>
            <w:noProof/>
            <w:webHidden/>
          </w:rPr>
          <w:fldChar w:fldCharType="separate"/>
        </w:r>
        <w:r>
          <w:rPr>
            <w:noProof/>
            <w:webHidden/>
          </w:rPr>
          <w:t>46</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62" w:history="1">
        <w:r w:rsidRPr="002B0520">
          <w:rPr>
            <w:rStyle w:val="Hyperlink"/>
            <w:noProof/>
          </w:rPr>
          <w:t>Section 7 – Exécution des travaux par le locataire</w:t>
        </w:r>
        <w:r>
          <w:rPr>
            <w:noProof/>
            <w:webHidden/>
          </w:rPr>
          <w:tab/>
        </w:r>
        <w:r>
          <w:rPr>
            <w:noProof/>
            <w:webHidden/>
          </w:rPr>
          <w:fldChar w:fldCharType="begin"/>
        </w:r>
        <w:r>
          <w:rPr>
            <w:noProof/>
            <w:webHidden/>
          </w:rPr>
          <w:instrText xml:space="preserve"> PAGEREF _Toc289807062 \h </w:instrText>
        </w:r>
        <w:r>
          <w:rPr>
            <w:noProof/>
            <w:webHidden/>
          </w:rPr>
        </w:r>
        <w:r>
          <w:rPr>
            <w:noProof/>
            <w:webHidden/>
          </w:rPr>
          <w:fldChar w:fldCharType="separate"/>
        </w:r>
        <w:r>
          <w:rPr>
            <w:noProof/>
            <w:webHidden/>
          </w:rPr>
          <w:t>46</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63" w:history="1">
        <w:r w:rsidRPr="002B0520">
          <w:rPr>
            <w:rStyle w:val="Hyperlink"/>
            <w:noProof/>
          </w:rPr>
          <w:t>Section 8- Garantir contre les troubles de droit</w:t>
        </w:r>
        <w:r>
          <w:rPr>
            <w:noProof/>
            <w:webHidden/>
          </w:rPr>
          <w:tab/>
        </w:r>
        <w:r>
          <w:rPr>
            <w:noProof/>
            <w:webHidden/>
          </w:rPr>
          <w:fldChar w:fldCharType="begin"/>
        </w:r>
        <w:r>
          <w:rPr>
            <w:noProof/>
            <w:webHidden/>
          </w:rPr>
          <w:instrText xml:space="preserve"> PAGEREF _Toc289807063 \h </w:instrText>
        </w:r>
        <w:r>
          <w:rPr>
            <w:noProof/>
            <w:webHidden/>
          </w:rPr>
        </w:r>
        <w:r>
          <w:rPr>
            <w:noProof/>
            <w:webHidden/>
          </w:rPr>
          <w:fldChar w:fldCharType="separate"/>
        </w:r>
        <w:r>
          <w:rPr>
            <w:noProof/>
            <w:webHidden/>
          </w:rPr>
          <w:t>47</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64" w:history="1">
        <w:r w:rsidRPr="002B0520">
          <w:rPr>
            <w:rStyle w:val="Hyperlink"/>
            <w:noProof/>
          </w:rPr>
          <w:t>Section 9- Garantir contre les troubles de fait</w:t>
        </w:r>
        <w:r>
          <w:rPr>
            <w:noProof/>
            <w:webHidden/>
          </w:rPr>
          <w:tab/>
        </w:r>
        <w:r>
          <w:rPr>
            <w:noProof/>
            <w:webHidden/>
          </w:rPr>
          <w:fldChar w:fldCharType="begin"/>
        </w:r>
        <w:r>
          <w:rPr>
            <w:noProof/>
            <w:webHidden/>
          </w:rPr>
          <w:instrText xml:space="preserve"> PAGEREF _Toc289807064 \h </w:instrText>
        </w:r>
        <w:r>
          <w:rPr>
            <w:noProof/>
            <w:webHidden/>
          </w:rPr>
        </w:r>
        <w:r>
          <w:rPr>
            <w:noProof/>
            <w:webHidden/>
          </w:rPr>
          <w:fldChar w:fldCharType="separate"/>
        </w:r>
        <w:r>
          <w:rPr>
            <w:noProof/>
            <w:webHidden/>
          </w:rPr>
          <w:t>47</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65" w:history="1">
        <w:r w:rsidRPr="002B0520">
          <w:rPr>
            <w:rStyle w:val="Hyperlink"/>
            <w:noProof/>
          </w:rPr>
          <w:t>Section 10 – Obligations de sécurité</w:t>
        </w:r>
        <w:r>
          <w:rPr>
            <w:noProof/>
            <w:webHidden/>
          </w:rPr>
          <w:tab/>
        </w:r>
        <w:r>
          <w:rPr>
            <w:noProof/>
            <w:webHidden/>
          </w:rPr>
          <w:fldChar w:fldCharType="begin"/>
        </w:r>
        <w:r>
          <w:rPr>
            <w:noProof/>
            <w:webHidden/>
          </w:rPr>
          <w:instrText xml:space="preserve"> PAGEREF _Toc289807065 \h </w:instrText>
        </w:r>
        <w:r>
          <w:rPr>
            <w:noProof/>
            <w:webHidden/>
          </w:rPr>
        </w:r>
        <w:r>
          <w:rPr>
            <w:noProof/>
            <w:webHidden/>
          </w:rPr>
          <w:fldChar w:fldCharType="separate"/>
        </w:r>
        <w:r>
          <w:rPr>
            <w:noProof/>
            <w:webHidden/>
          </w:rPr>
          <w:t>48</w:t>
        </w:r>
        <w:r>
          <w:rPr>
            <w:noProof/>
            <w:webHidden/>
          </w:rPr>
          <w:fldChar w:fldCharType="end"/>
        </w:r>
      </w:hyperlink>
    </w:p>
    <w:p w:rsidR="009615F3" w:rsidRDefault="009615F3" w:rsidP="009615F3">
      <w:pPr>
        <w:pStyle w:val="TOC2"/>
        <w:tabs>
          <w:tab w:val="right" w:leader="dot" w:pos="8630"/>
        </w:tabs>
        <w:rPr>
          <w:rFonts w:ascii="Calibri" w:eastAsia="Times New Roman" w:hAnsi="Calibri"/>
          <w:noProof/>
          <w:sz w:val="22"/>
          <w:lang w:val="en-CA" w:eastAsia="en-CA"/>
        </w:rPr>
      </w:pPr>
      <w:hyperlink w:anchor="_Toc289807066" w:history="1">
        <w:r w:rsidRPr="002B0520">
          <w:rPr>
            <w:rStyle w:val="Hyperlink"/>
            <w:noProof/>
          </w:rPr>
          <w:t>Chapitre 5 : Droits et obligations du locataire</w:t>
        </w:r>
        <w:r>
          <w:rPr>
            <w:noProof/>
            <w:webHidden/>
          </w:rPr>
          <w:tab/>
        </w:r>
        <w:r>
          <w:rPr>
            <w:noProof/>
            <w:webHidden/>
          </w:rPr>
          <w:fldChar w:fldCharType="begin"/>
        </w:r>
        <w:r>
          <w:rPr>
            <w:noProof/>
            <w:webHidden/>
          </w:rPr>
          <w:instrText xml:space="preserve"> PAGEREF _Toc289807066 \h </w:instrText>
        </w:r>
        <w:r>
          <w:rPr>
            <w:noProof/>
            <w:webHidden/>
          </w:rPr>
        </w:r>
        <w:r>
          <w:rPr>
            <w:noProof/>
            <w:webHidden/>
          </w:rPr>
          <w:fldChar w:fldCharType="separate"/>
        </w:r>
        <w:r>
          <w:rPr>
            <w:noProof/>
            <w:webHidden/>
          </w:rPr>
          <w:t>48</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67" w:history="1">
        <w:r w:rsidRPr="002B0520">
          <w:rPr>
            <w:rStyle w:val="Hyperlink"/>
            <w:noProof/>
          </w:rPr>
          <w:t>Section 1- Paiement du loyer</w:t>
        </w:r>
        <w:r>
          <w:rPr>
            <w:noProof/>
            <w:webHidden/>
          </w:rPr>
          <w:tab/>
        </w:r>
        <w:r>
          <w:rPr>
            <w:noProof/>
            <w:webHidden/>
          </w:rPr>
          <w:fldChar w:fldCharType="begin"/>
        </w:r>
        <w:r>
          <w:rPr>
            <w:noProof/>
            <w:webHidden/>
          </w:rPr>
          <w:instrText xml:space="preserve"> PAGEREF _Toc289807067 \h </w:instrText>
        </w:r>
        <w:r>
          <w:rPr>
            <w:noProof/>
            <w:webHidden/>
          </w:rPr>
        </w:r>
        <w:r>
          <w:rPr>
            <w:noProof/>
            <w:webHidden/>
          </w:rPr>
          <w:fldChar w:fldCharType="separate"/>
        </w:r>
        <w:r>
          <w:rPr>
            <w:noProof/>
            <w:webHidden/>
          </w:rPr>
          <w:t>48</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68" w:history="1">
        <w:r w:rsidRPr="002B0520">
          <w:rPr>
            <w:rStyle w:val="Hyperlink"/>
            <w:noProof/>
          </w:rPr>
          <w:t>Section 2- Obligation de prudence et diligence</w:t>
        </w:r>
        <w:r>
          <w:rPr>
            <w:noProof/>
            <w:webHidden/>
          </w:rPr>
          <w:tab/>
        </w:r>
        <w:r>
          <w:rPr>
            <w:noProof/>
            <w:webHidden/>
          </w:rPr>
          <w:fldChar w:fldCharType="begin"/>
        </w:r>
        <w:r>
          <w:rPr>
            <w:noProof/>
            <w:webHidden/>
          </w:rPr>
          <w:instrText xml:space="preserve"> PAGEREF _Toc289807068 \h </w:instrText>
        </w:r>
        <w:r>
          <w:rPr>
            <w:noProof/>
            <w:webHidden/>
          </w:rPr>
        </w:r>
        <w:r>
          <w:rPr>
            <w:noProof/>
            <w:webHidden/>
          </w:rPr>
          <w:fldChar w:fldCharType="separate"/>
        </w:r>
        <w:r>
          <w:rPr>
            <w:noProof/>
            <w:webHidden/>
          </w:rPr>
          <w:t>49</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69" w:history="1">
        <w:r w:rsidRPr="002B0520">
          <w:rPr>
            <w:rStyle w:val="Hyperlink"/>
            <w:noProof/>
          </w:rPr>
          <w:t>Section 3 – Obligation d’occuper les lieux</w:t>
        </w:r>
        <w:r>
          <w:rPr>
            <w:noProof/>
            <w:webHidden/>
          </w:rPr>
          <w:tab/>
        </w:r>
        <w:r>
          <w:rPr>
            <w:noProof/>
            <w:webHidden/>
          </w:rPr>
          <w:fldChar w:fldCharType="begin"/>
        </w:r>
        <w:r>
          <w:rPr>
            <w:noProof/>
            <w:webHidden/>
          </w:rPr>
          <w:instrText xml:space="preserve"> PAGEREF _Toc289807069 \h </w:instrText>
        </w:r>
        <w:r>
          <w:rPr>
            <w:noProof/>
            <w:webHidden/>
          </w:rPr>
        </w:r>
        <w:r>
          <w:rPr>
            <w:noProof/>
            <w:webHidden/>
          </w:rPr>
          <w:fldChar w:fldCharType="separate"/>
        </w:r>
        <w:r>
          <w:rPr>
            <w:noProof/>
            <w:webHidden/>
          </w:rPr>
          <w:t>49</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70" w:history="1">
        <w:r w:rsidRPr="002B0520">
          <w:rPr>
            <w:rStyle w:val="Hyperlink"/>
            <w:noProof/>
          </w:rPr>
          <w:t>Section 4 – Obligation de ne pas troubler la jouissance des autres locataires</w:t>
        </w:r>
        <w:r>
          <w:rPr>
            <w:noProof/>
            <w:webHidden/>
          </w:rPr>
          <w:tab/>
        </w:r>
        <w:r>
          <w:rPr>
            <w:noProof/>
            <w:webHidden/>
          </w:rPr>
          <w:fldChar w:fldCharType="begin"/>
        </w:r>
        <w:r>
          <w:rPr>
            <w:noProof/>
            <w:webHidden/>
          </w:rPr>
          <w:instrText xml:space="preserve"> PAGEREF _Toc289807070 \h </w:instrText>
        </w:r>
        <w:r>
          <w:rPr>
            <w:noProof/>
            <w:webHidden/>
          </w:rPr>
        </w:r>
        <w:r>
          <w:rPr>
            <w:noProof/>
            <w:webHidden/>
          </w:rPr>
          <w:fldChar w:fldCharType="separate"/>
        </w:r>
        <w:r>
          <w:rPr>
            <w:noProof/>
            <w:webHidden/>
          </w:rPr>
          <w:t>49</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71" w:history="1">
        <w:r w:rsidRPr="002B0520">
          <w:rPr>
            <w:rStyle w:val="Hyperlink"/>
            <w:noProof/>
          </w:rPr>
          <w:t>Section 5 – Obligation de réparer le préjudice pour les pertes survenues au bien</w:t>
        </w:r>
        <w:r>
          <w:rPr>
            <w:noProof/>
            <w:webHidden/>
          </w:rPr>
          <w:tab/>
        </w:r>
        <w:r>
          <w:rPr>
            <w:noProof/>
            <w:webHidden/>
          </w:rPr>
          <w:fldChar w:fldCharType="begin"/>
        </w:r>
        <w:r>
          <w:rPr>
            <w:noProof/>
            <w:webHidden/>
          </w:rPr>
          <w:instrText xml:space="preserve"> PAGEREF _Toc289807071 \h </w:instrText>
        </w:r>
        <w:r>
          <w:rPr>
            <w:noProof/>
            <w:webHidden/>
          </w:rPr>
        </w:r>
        <w:r>
          <w:rPr>
            <w:noProof/>
            <w:webHidden/>
          </w:rPr>
          <w:fldChar w:fldCharType="separate"/>
        </w:r>
        <w:r>
          <w:rPr>
            <w:noProof/>
            <w:webHidden/>
          </w:rPr>
          <w:t>50</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72" w:history="1">
        <w:r w:rsidRPr="002B0520">
          <w:rPr>
            <w:rStyle w:val="Hyperlink"/>
            <w:noProof/>
          </w:rPr>
          <w:t>Section 6- Obligations conjointes du locateur et locataire</w:t>
        </w:r>
        <w:r>
          <w:rPr>
            <w:noProof/>
            <w:webHidden/>
          </w:rPr>
          <w:tab/>
        </w:r>
        <w:r>
          <w:rPr>
            <w:noProof/>
            <w:webHidden/>
          </w:rPr>
          <w:fldChar w:fldCharType="begin"/>
        </w:r>
        <w:r>
          <w:rPr>
            <w:noProof/>
            <w:webHidden/>
          </w:rPr>
          <w:instrText xml:space="preserve"> PAGEREF _Toc289807072 \h </w:instrText>
        </w:r>
        <w:r>
          <w:rPr>
            <w:noProof/>
            <w:webHidden/>
          </w:rPr>
        </w:r>
        <w:r>
          <w:rPr>
            <w:noProof/>
            <w:webHidden/>
          </w:rPr>
          <w:fldChar w:fldCharType="separate"/>
        </w:r>
        <w:r>
          <w:rPr>
            <w:noProof/>
            <w:webHidden/>
          </w:rPr>
          <w:t>50</w:t>
        </w:r>
        <w:r>
          <w:rPr>
            <w:noProof/>
            <w:webHidden/>
          </w:rPr>
          <w:fldChar w:fldCharType="end"/>
        </w:r>
      </w:hyperlink>
    </w:p>
    <w:p w:rsidR="009615F3" w:rsidRDefault="009615F3" w:rsidP="009615F3">
      <w:pPr>
        <w:pStyle w:val="TOC2"/>
        <w:tabs>
          <w:tab w:val="right" w:leader="dot" w:pos="8630"/>
        </w:tabs>
        <w:rPr>
          <w:rFonts w:ascii="Calibri" w:eastAsia="Times New Roman" w:hAnsi="Calibri"/>
          <w:noProof/>
          <w:sz w:val="22"/>
          <w:lang w:val="en-CA" w:eastAsia="en-CA"/>
        </w:rPr>
      </w:pPr>
      <w:hyperlink w:anchor="_Toc289807073" w:history="1">
        <w:r w:rsidRPr="002B0520">
          <w:rPr>
            <w:rStyle w:val="Hyperlink"/>
            <w:noProof/>
          </w:rPr>
          <w:t>Chapitre 6 : Sous-location et cession de bail</w:t>
        </w:r>
        <w:r>
          <w:rPr>
            <w:noProof/>
            <w:webHidden/>
          </w:rPr>
          <w:tab/>
        </w:r>
        <w:r>
          <w:rPr>
            <w:noProof/>
            <w:webHidden/>
          </w:rPr>
          <w:fldChar w:fldCharType="begin"/>
        </w:r>
        <w:r>
          <w:rPr>
            <w:noProof/>
            <w:webHidden/>
          </w:rPr>
          <w:instrText xml:space="preserve"> PAGEREF _Toc289807073 \h </w:instrText>
        </w:r>
        <w:r>
          <w:rPr>
            <w:noProof/>
            <w:webHidden/>
          </w:rPr>
        </w:r>
        <w:r>
          <w:rPr>
            <w:noProof/>
            <w:webHidden/>
          </w:rPr>
          <w:fldChar w:fldCharType="separate"/>
        </w:r>
        <w:r>
          <w:rPr>
            <w:noProof/>
            <w:webHidden/>
          </w:rPr>
          <w:t>51</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74" w:history="1">
        <w:r w:rsidRPr="002B0520">
          <w:rPr>
            <w:rStyle w:val="Hyperlink"/>
            <w:noProof/>
          </w:rPr>
          <w:t>Section 1- Définition</w:t>
        </w:r>
        <w:r>
          <w:rPr>
            <w:noProof/>
            <w:webHidden/>
          </w:rPr>
          <w:tab/>
        </w:r>
        <w:r>
          <w:rPr>
            <w:noProof/>
            <w:webHidden/>
          </w:rPr>
          <w:fldChar w:fldCharType="begin"/>
        </w:r>
        <w:r>
          <w:rPr>
            <w:noProof/>
            <w:webHidden/>
          </w:rPr>
          <w:instrText xml:space="preserve"> PAGEREF _Toc289807074 \h </w:instrText>
        </w:r>
        <w:r>
          <w:rPr>
            <w:noProof/>
            <w:webHidden/>
          </w:rPr>
        </w:r>
        <w:r>
          <w:rPr>
            <w:noProof/>
            <w:webHidden/>
          </w:rPr>
          <w:fldChar w:fldCharType="separate"/>
        </w:r>
        <w:r>
          <w:rPr>
            <w:noProof/>
            <w:webHidden/>
          </w:rPr>
          <w:t>51</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75" w:history="1">
        <w:r w:rsidRPr="002B0520">
          <w:rPr>
            <w:rStyle w:val="Hyperlink"/>
            <w:noProof/>
          </w:rPr>
          <w:t>Section 2 – Obtenir le consentement du locateur</w:t>
        </w:r>
        <w:r>
          <w:rPr>
            <w:noProof/>
            <w:webHidden/>
          </w:rPr>
          <w:tab/>
        </w:r>
        <w:r>
          <w:rPr>
            <w:noProof/>
            <w:webHidden/>
          </w:rPr>
          <w:fldChar w:fldCharType="begin"/>
        </w:r>
        <w:r>
          <w:rPr>
            <w:noProof/>
            <w:webHidden/>
          </w:rPr>
          <w:instrText xml:space="preserve"> PAGEREF _Toc289807075 \h </w:instrText>
        </w:r>
        <w:r>
          <w:rPr>
            <w:noProof/>
            <w:webHidden/>
          </w:rPr>
        </w:r>
        <w:r>
          <w:rPr>
            <w:noProof/>
            <w:webHidden/>
          </w:rPr>
          <w:fldChar w:fldCharType="separate"/>
        </w:r>
        <w:r>
          <w:rPr>
            <w:noProof/>
            <w:webHidden/>
          </w:rPr>
          <w:t>51</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76" w:history="1">
        <w:r w:rsidRPr="002B0520">
          <w:rPr>
            <w:rStyle w:val="Hyperlink"/>
            <w:noProof/>
          </w:rPr>
          <w:t>Section 3 – Effet de la sous-location</w:t>
        </w:r>
        <w:r>
          <w:rPr>
            <w:noProof/>
            <w:webHidden/>
          </w:rPr>
          <w:tab/>
        </w:r>
        <w:r>
          <w:rPr>
            <w:noProof/>
            <w:webHidden/>
          </w:rPr>
          <w:fldChar w:fldCharType="begin"/>
        </w:r>
        <w:r>
          <w:rPr>
            <w:noProof/>
            <w:webHidden/>
          </w:rPr>
          <w:instrText xml:space="preserve"> PAGEREF _Toc289807076 \h </w:instrText>
        </w:r>
        <w:r>
          <w:rPr>
            <w:noProof/>
            <w:webHidden/>
          </w:rPr>
        </w:r>
        <w:r>
          <w:rPr>
            <w:noProof/>
            <w:webHidden/>
          </w:rPr>
          <w:fldChar w:fldCharType="separate"/>
        </w:r>
        <w:r>
          <w:rPr>
            <w:noProof/>
            <w:webHidden/>
          </w:rPr>
          <w:t>51</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77" w:history="1">
        <w:r w:rsidRPr="002B0520">
          <w:rPr>
            <w:rStyle w:val="Hyperlink"/>
            <w:noProof/>
          </w:rPr>
          <w:t>Section 4 – Effet de la cession de bail</w:t>
        </w:r>
        <w:r>
          <w:rPr>
            <w:noProof/>
            <w:webHidden/>
          </w:rPr>
          <w:tab/>
        </w:r>
        <w:r>
          <w:rPr>
            <w:noProof/>
            <w:webHidden/>
          </w:rPr>
          <w:fldChar w:fldCharType="begin"/>
        </w:r>
        <w:r>
          <w:rPr>
            <w:noProof/>
            <w:webHidden/>
          </w:rPr>
          <w:instrText xml:space="preserve"> PAGEREF _Toc289807077 \h </w:instrText>
        </w:r>
        <w:r>
          <w:rPr>
            <w:noProof/>
            <w:webHidden/>
          </w:rPr>
        </w:r>
        <w:r>
          <w:rPr>
            <w:noProof/>
            <w:webHidden/>
          </w:rPr>
          <w:fldChar w:fldCharType="separate"/>
        </w:r>
        <w:r>
          <w:rPr>
            <w:noProof/>
            <w:webHidden/>
          </w:rPr>
          <w:t>52</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78" w:history="1">
        <w:r w:rsidRPr="002B0520">
          <w:rPr>
            <w:rStyle w:val="Hyperlink"/>
            <w:noProof/>
          </w:rPr>
          <w:t>Section 5-  Conditions d’exercices</w:t>
        </w:r>
        <w:r>
          <w:rPr>
            <w:noProof/>
            <w:webHidden/>
          </w:rPr>
          <w:tab/>
        </w:r>
        <w:r>
          <w:rPr>
            <w:noProof/>
            <w:webHidden/>
          </w:rPr>
          <w:fldChar w:fldCharType="begin"/>
        </w:r>
        <w:r>
          <w:rPr>
            <w:noProof/>
            <w:webHidden/>
          </w:rPr>
          <w:instrText xml:space="preserve"> PAGEREF _Toc289807078 \h </w:instrText>
        </w:r>
        <w:r>
          <w:rPr>
            <w:noProof/>
            <w:webHidden/>
          </w:rPr>
        </w:r>
        <w:r>
          <w:rPr>
            <w:noProof/>
            <w:webHidden/>
          </w:rPr>
          <w:fldChar w:fldCharType="separate"/>
        </w:r>
        <w:r>
          <w:rPr>
            <w:noProof/>
            <w:webHidden/>
          </w:rPr>
          <w:t>52</w:t>
        </w:r>
        <w:r>
          <w:rPr>
            <w:noProof/>
            <w:webHidden/>
          </w:rPr>
          <w:fldChar w:fldCharType="end"/>
        </w:r>
      </w:hyperlink>
    </w:p>
    <w:p w:rsidR="009615F3" w:rsidRDefault="009615F3" w:rsidP="009615F3">
      <w:pPr>
        <w:pStyle w:val="TOC2"/>
        <w:tabs>
          <w:tab w:val="right" w:leader="dot" w:pos="8630"/>
        </w:tabs>
        <w:rPr>
          <w:rFonts w:ascii="Calibri" w:eastAsia="Times New Roman" w:hAnsi="Calibri"/>
          <w:noProof/>
          <w:sz w:val="22"/>
          <w:lang w:val="en-CA" w:eastAsia="en-CA"/>
        </w:rPr>
      </w:pPr>
      <w:hyperlink w:anchor="_Toc289807079" w:history="1">
        <w:r w:rsidRPr="002B0520">
          <w:rPr>
            <w:rStyle w:val="Hyperlink"/>
            <w:noProof/>
          </w:rPr>
          <w:t>Chapitre 7 : Fin du bail</w:t>
        </w:r>
        <w:r>
          <w:rPr>
            <w:noProof/>
            <w:webHidden/>
          </w:rPr>
          <w:tab/>
        </w:r>
        <w:r>
          <w:rPr>
            <w:noProof/>
            <w:webHidden/>
          </w:rPr>
          <w:fldChar w:fldCharType="begin"/>
        </w:r>
        <w:r>
          <w:rPr>
            <w:noProof/>
            <w:webHidden/>
          </w:rPr>
          <w:instrText xml:space="preserve"> PAGEREF _Toc289807079 \h </w:instrText>
        </w:r>
        <w:r>
          <w:rPr>
            <w:noProof/>
            <w:webHidden/>
          </w:rPr>
        </w:r>
        <w:r>
          <w:rPr>
            <w:noProof/>
            <w:webHidden/>
          </w:rPr>
          <w:fldChar w:fldCharType="separate"/>
        </w:r>
        <w:r>
          <w:rPr>
            <w:noProof/>
            <w:webHidden/>
          </w:rPr>
          <w:t>52</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80" w:history="1">
        <w:r w:rsidRPr="002B0520">
          <w:rPr>
            <w:rStyle w:val="Hyperlink"/>
            <w:noProof/>
          </w:rPr>
          <w:t>Section 1 – Bail à durée fixe</w:t>
        </w:r>
        <w:r>
          <w:rPr>
            <w:noProof/>
            <w:webHidden/>
          </w:rPr>
          <w:tab/>
        </w:r>
        <w:r>
          <w:rPr>
            <w:noProof/>
            <w:webHidden/>
          </w:rPr>
          <w:fldChar w:fldCharType="begin"/>
        </w:r>
        <w:r>
          <w:rPr>
            <w:noProof/>
            <w:webHidden/>
          </w:rPr>
          <w:instrText xml:space="preserve"> PAGEREF _Toc289807080 \h </w:instrText>
        </w:r>
        <w:r>
          <w:rPr>
            <w:noProof/>
            <w:webHidden/>
          </w:rPr>
        </w:r>
        <w:r>
          <w:rPr>
            <w:noProof/>
            <w:webHidden/>
          </w:rPr>
          <w:fldChar w:fldCharType="separate"/>
        </w:r>
        <w:r>
          <w:rPr>
            <w:noProof/>
            <w:webHidden/>
          </w:rPr>
          <w:t>52</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81" w:history="1">
        <w:r w:rsidRPr="002B0520">
          <w:rPr>
            <w:rStyle w:val="Hyperlink"/>
            <w:noProof/>
          </w:rPr>
          <w:t>Section 2 – Bail à durée indéterminée</w:t>
        </w:r>
        <w:r>
          <w:rPr>
            <w:noProof/>
            <w:webHidden/>
          </w:rPr>
          <w:tab/>
        </w:r>
        <w:r>
          <w:rPr>
            <w:noProof/>
            <w:webHidden/>
          </w:rPr>
          <w:fldChar w:fldCharType="begin"/>
        </w:r>
        <w:r>
          <w:rPr>
            <w:noProof/>
            <w:webHidden/>
          </w:rPr>
          <w:instrText xml:space="preserve"> PAGEREF _Toc289807081 \h </w:instrText>
        </w:r>
        <w:r>
          <w:rPr>
            <w:noProof/>
            <w:webHidden/>
          </w:rPr>
        </w:r>
        <w:r>
          <w:rPr>
            <w:noProof/>
            <w:webHidden/>
          </w:rPr>
          <w:fldChar w:fldCharType="separate"/>
        </w:r>
        <w:r>
          <w:rPr>
            <w:noProof/>
            <w:webHidden/>
          </w:rPr>
          <w:t>53</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82" w:history="1">
        <w:r w:rsidRPr="002B0520">
          <w:rPr>
            <w:rStyle w:val="Hyperlink"/>
            <w:noProof/>
          </w:rPr>
          <w:t>Section 3 – Visite des lieux</w:t>
        </w:r>
        <w:r>
          <w:rPr>
            <w:noProof/>
            <w:webHidden/>
          </w:rPr>
          <w:tab/>
        </w:r>
        <w:r>
          <w:rPr>
            <w:noProof/>
            <w:webHidden/>
          </w:rPr>
          <w:fldChar w:fldCharType="begin"/>
        </w:r>
        <w:r>
          <w:rPr>
            <w:noProof/>
            <w:webHidden/>
          </w:rPr>
          <w:instrText xml:space="preserve"> PAGEREF _Toc289807082 \h </w:instrText>
        </w:r>
        <w:r>
          <w:rPr>
            <w:noProof/>
            <w:webHidden/>
          </w:rPr>
        </w:r>
        <w:r>
          <w:rPr>
            <w:noProof/>
            <w:webHidden/>
          </w:rPr>
          <w:fldChar w:fldCharType="separate"/>
        </w:r>
        <w:r>
          <w:rPr>
            <w:noProof/>
            <w:webHidden/>
          </w:rPr>
          <w:t>53</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83" w:history="1">
        <w:r w:rsidRPr="002B0520">
          <w:rPr>
            <w:rStyle w:val="Hyperlink"/>
            <w:noProof/>
          </w:rPr>
          <w:t>Section 4 – Aliénation de l’immeuble</w:t>
        </w:r>
        <w:r>
          <w:rPr>
            <w:noProof/>
            <w:webHidden/>
          </w:rPr>
          <w:tab/>
        </w:r>
        <w:r>
          <w:rPr>
            <w:noProof/>
            <w:webHidden/>
          </w:rPr>
          <w:fldChar w:fldCharType="begin"/>
        </w:r>
        <w:r>
          <w:rPr>
            <w:noProof/>
            <w:webHidden/>
          </w:rPr>
          <w:instrText xml:space="preserve"> PAGEREF _Toc289807083 \h </w:instrText>
        </w:r>
        <w:r>
          <w:rPr>
            <w:noProof/>
            <w:webHidden/>
          </w:rPr>
        </w:r>
        <w:r>
          <w:rPr>
            <w:noProof/>
            <w:webHidden/>
          </w:rPr>
          <w:fldChar w:fldCharType="separate"/>
        </w:r>
        <w:r>
          <w:rPr>
            <w:noProof/>
            <w:webHidden/>
          </w:rPr>
          <w:t>53</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84" w:history="1">
        <w:r w:rsidRPr="002B0520">
          <w:rPr>
            <w:rStyle w:val="Hyperlink"/>
            <w:noProof/>
          </w:rPr>
          <w:t>Section 5- Expropriation total ou partielle</w:t>
        </w:r>
        <w:r>
          <w:rPr>
            <w:noProof/>
            <w:webHidden/>
          </w:rPr>
          <w:tab/>
        </w:r>
        <w:r>
          <w:rPr>
            <w:noProof/>
            <w:webHidden/>
          </w:rPr>
          <w:fldChar w:fldCharType="begin"/>
        </w:r>
        <w:r>
          <w:rPr>
            <w:noProof/>
            <w:webHidden/>
          </w:rPr>
          <w:instrText xml:space="preserve"> PAGEREF _Toc289807084 \h </w:instrText>
        </w:r>
        <w:r>
          <w:rPr>
            <w:noProof/>
            <w:webHidden/>
          </w:rPr>
        </w:r>
        <w:r>
          <w:rPr>
            <w:noProof/>
            <w:webHidden/>
          </w:rPr>
          <w:fldChar w:fldCharType="separate"/>
        </w:r>
        <w:r>
          <w:rPr>
            <w:noProof/>
            <w:webHidden/>
          </w:rPr>
          <w:t>54</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85" w:history="1">
        <w:r w:rsidRPr="002B0520">
          <w:rPr>
            <w:rStyle w:val="Hyperlink"/>
            <w:noProof/>
          </w:rPr>
          <w:t>Section 6 – Décès</w:t>
        </w:r>
        <w:r>
          <w:rPr>
            <w:noProof/>
            <w:webHidden/>
          </w:rPr>
          <w:tab/>
        </w:r>
        <w:r>
          <w:rPr>
            <w:noProof/>
            <w:webHidden/>
          </w:rPr>
          <w:fldChar w:fldCharType="begin"/>
        </w:r>
        <w:r>
          <w:rPr>
            <w:noProof/>
            <w:webHidden/>
          </w:rPr>
          <w:instrText xml:space="preserve"> PAGEREF _Toc289807085 \h </w:instrText>
        </w:r>
        <w:r>
          <w:rPr>
            <w:noProof/>
            <w:webHidden/>
          </w:rPr>
        </w:r>
        <w:r>
          <w:rPr>
            <w:noProof/>
            <w:webHidden/>
          </w:rPr>
          <w:fldChar w:fldCharType="separate"/>
        </w:r>
        <w:r>
          <w:rPr>
            <w:noProof/>
            <w:webHidden/>
          </w:rPr>
          <w:t>54</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86" w:history="1">
        <w:r w:rsidRPr="002B0520">
          <w:rPr>
            <w:rStyle w:val="Hyperlink"/>
            <w:noProof/>
          </w:rPr>
          <w:t>Section 7 – Remise en état du bien</w:t>
        </w:r>
        <w:r>
          <w:rPr>
            <w:noProof/>
            <w:webHidden/>
          </w:rPr>
          <w:tab/>
        </w:r>
        <w:r>
          <w:rPr>
            <w:noProof/>
            <w:webHidden/>
          </w:rPr>
          <w:fldChar w:fldCharType="begin"/>
        </w:r>
        <w:r>
          <w:rPr>
            <w:noProof/>
            <w:webHidden/>
          </w:rPr>
          <w:instrText xml:space="preserve"> PAGEREF _Toc289807086 \h </w:instrText>
        </w:r>
        <w:r>
          <w:rPr>
            <w:noProof/>
            <w:webHidden/>
          </w:rPr>
        </w:r>
        <w:r>
          <w:rPr>
            <w:noProof/>
            <w:webHidden/>
          </w:rPr>
          <w:fldChar w:fldCharType="separate"/>
        </w:r>
        <w:r>
          <w:rPr>
            <w:noProof/>
            <w:webHidden/>
          </w:rPr>
          <w:t>54</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87" w:history="1">
        <w:r w:rsidRPr="002B0520">
          <w:rPr>
            <w:rStyle w:val="Hyperlink"/>
            <w:noProof/>
          </w:rPr>
          <w:t>Section 8 – Recours du locateur</w:t>
        </w:r>
        <w:r>
          <w:rPr>
            <w:noProof/>
            <w:webHidden/>
          </w:rPr>
          <w:tab/>
        </w:r>
        <w:r>
          <w:rPr>
            <w:noProof/>
            <w:webHidden/>
          </w:rPr>
          <w:fldChar w:fldCharType="begin"/>
        </w:r>
        <w:r>
          <w:rPr>
            <w:noProof/>
            <w:webHidden/>
          </w:rPr>
          <w:instrText xml:space="preserve"> PAGEREF _Toc289807087 \h </w:instrText>
        </w:r>
        <w:r>
          <w:rPr>
            <w:noProof/>
            <w:webHidden/>
          </w:rPr>
        </w:r>
        <w:r>
          <w:rPr>
            <w:noProof/>
            <w:webHidden/>
          </w:rPr>
          <w:fldChar w:fldCharType="separate"/>
        </w:r>
        <w:r>
          <w:rPr>
            <w:noProof/>
            <w:webHidden/>
          </w:rPr>
          <w:t>54</w:t>
        </w:r>
        <w:r>
          <w:rPr>
            <w:noProof/>
            <w:webHidden/>
          </w:rPr>
          <w:fldChar w:fldCharType="end"/>
        </w:r>
      </w:hyperlink>
    </w:p>
    <w:p w:rsidR="009615F3" w:rsidRDefault="009615F3" w:rsidP="009615F3">
      <w:pPr>
        <w:pStyle w:val="TOC2"/>
        <w:tabs>
          <w:tab w:val="right" w:leader="dot" w:pos="8630"/>
        </w:tabs>
        <w:rPr>
          <w:rFonts w:ascii="Calibri" w:eastAsia="Times New Roman" w:hAnsi="Calibri"/>
          <w:noProof/>
          <w:sz w:val="22"/>
          <w:lang w:val="en-CA" w:eastAsia="en-CA"/>
        </w:rPr>
      </w:pPr>
      <w:hyperlink w:anchor="_Toc289807088" w:history="1">
        <w:r w:rsidRPr="002B0520">
          <w:rPr>
            <w:rStyle w:val="Hyperlink"/>
            <w:noProof/>
          </w:rPr>
          <w:t>Chapitre 8- Publicité</w:t>
        </w:r>
        <w:r>
          <w:rPr>
            <w:noProof/>
            <w:webHidden/>
          </w:rPr>
          <w:tab/>
        </w:r>
        <w:r>
          <w:rPr>
            <w:noProof/>
            <w:webHidden/>
          </w:rPr>
          <w:fldChar w:fldCharType="begin"/>
        </w:r>
        <w:r>
          <w:rPr>
            <w:noProof/>
            <w:webHidden/>
          </w:rPr>
          <w:instrText xml:space="preserve"> PAGEREF _Toc289807088 \h </w:instrText>
        </w:r>
        <w:r>
          <w:rPr>
            <w:noProof/>
            <w:webHidden/>
          </w:rPr>
        </w:r>
        <w:r>
          <w:rPr>
            <w:noProof/>
            <w:webHidden/>
          </w:rPr>
          <w:fldChar w:fldCharType="separate"/>
        </w:r>
        <w:r>
          <w:rPr>
            <w:noProof/>
            <w:webHidden/>
          </w:rPr>
          <w:t>54</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89" w:history="1">
        <w:r w:rsidRPr="002B0520">
          <w:rPr>
            <w:rStyle w:val="Hyperlink"/>
            <w:noProof/>
          </w:rPr>
          <w:t>Section 1 – Publicité possible</w:t>
        </w:r>
        <w:r>
          <w:rPr>
            <w:noProof/>
            <w:webHidden/>
          </w:rPr>
          <w:tab/>
        </w:r>
        <w:r>
          <w:rPr>
            <w:noProof/>
            <w:webHidden/>
          </w:rPr>
          <w:fldChar w:fldCharType="begin"/>
        </w:r>
        <w:r>
          <w:rPr>
            <w:noProof/>
            <w:webHidden/>
          </w:rPr>
          <w:instrText xml:space="preserve"> PAGEREF _Toc289807089 \h </w:instrText>
        </w:r>
        <w:r>
          <w:rPr>
            <w:noProof/>
            <w:webHidden/>
          </w:rPr>
        </w:r>
        <w:r>
          <w:rPr>
            <w:noProof/>
            <w:webHidden/>
          </w:rPr>
          <w:fldChar w:fldCharType="separate"/>
        </w:r>
        <w:r>
          <w:rPr>
            <w:noProof/>
            <w:webHidden/>
          </w:rPr>
          <w:t>54</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90" w:history="1">
        <w:r w:rsidRPr="002B0520">
          <w:rPr>
            <w:rStyle w:val="Hyperlink"/>
            <w:noProof/>
          </w:rPr>
          <w:t>Section 2- Renonciation par le locataire à la publicité</w:t>
        </w:r>
        <w:r>
          <w:rPr>
            <w:noProof/>
            <w:webHidden/>
          </w:rPr>
          <w:tab/>
        </w:r>
        <w:r>
          <w:rPr>
            <w:noProof/>
            <w:webHidden/>
          </w:rPr>
          <w:fldChar w:fldCharType="begin"/>
        </w:r>
        <w:r>
          <w:rPr>
            <w:noProof/>
            <w:webHidden/>
          </w:rPr>
          <w:instrText xml:space="preserve"> PAGEREF _Toc289807090 \h </w:instrText>
        </w:r>
        <w:r>
          <w:rPr>
            <w:noProof/>
            <w:webHidden/>
          </w:rPr>
        </w:r>
        <w:r>
          <w:rPr>
            <w:noProof/>
            <w:webHidden/>
          </w:rPr>
          <w:fldChar w:fldCharType="separate"/>
        </w:r>
        <w:r>
          <w:rPr>
            <w:noProof/>
            <w:webHidden/>
          </w:rPr>
          <w:t>55</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91" w:history="1">
        <w:r w:rsidRPr="002B0520">
          <w:rPr>
            <w:rStyle w:val="Hyperlink"/>
            <w:noProof/>
          </w:rPr>
          <w:t>Section 3- Effet de la publication</w:t>
        </w:r>
        <w:r>
          <w:rPr>
            <w:noProof/>
            <w:webHidden/>
          </w:rPr>
          <w:tab/>
        </w:r>
        <w:r>
          <w:rPr>
            <w:noProof/>
            <w:webHidden/>
          </w:rPr>
          <w:fldChar w:fldCharType="begin"/>
        </w:r>
        <w:r>
          <w:rPr>
            <w:noProof/>
            <w:webHidden/>
          </w:rPr>
          <w:instrText xml:space="preserve"> PAGEREF _Toc289807091 \h </w:instrText>
        </w:r>
        <w:r>
          <w:rPr>
            <w:noProof/>
            <w:webHidden/>
          </w:rPr>
        </w:r>
        <w:r>
          <w:rPr>
            <w:noProof/>
            <w:webHidden/>
          </w:rPr>
          <w:fldChar w:fldCharType="separate"/>
        </w:r>
        <w:r>
          <w:rPr>
            <w:noProof/>
            <w:webHidden/>
          </w:rPr>
          <w:t>55</w:t>
        </w:r>
        <w:r>
          <w:rPr>
            <w:noProof/>
            <w:webHidden/>
          </w:rPr>
          <w:fldChar w:fldCharType="end"/>
        </w:r>
      </w:hyperlink>
    </w:p>
    <w:p w:rsidR="009615F3" w:rsidRDefault="009615F3" w:rsidP="009615F3">
      <w:pPr>
        <w:pStyle w:val="TOC3"/>
        <w:tabs>
          <w:tab w:val="right" w:leader="dot" w:pos="8630"/>
        </w:tabs>
        <w:rPr>
          <w:rFonts w:ascii="Calibri" w:eastAsia="Times New Roman" w:hAnsi="Calibri"/>
          <w:noProof/>
          <w:sz w:val="22"/>
          <w:lang w:val="en-CA" w:eastAsia="en-CA"/>
        </w:rPr>
      </w:pPr>
      <w:hyperlink w:anchor="_Toc289807092" w:history="1">
        <w:r w:rsidRPr="002B0520">
          <w:rPr>
            <w:rStyle w:val="Hyperlink"/>
            <w:noProof/>
          </w:rPr>
          <w:t>Section 4 – Modalités pour publier</w:t>
        </w:r>
        <w:r>
          <w:rPr>
            <w:noProof/>
            <w:webHidden/>
          </w:rPr>
          <w:tab/>
        </w:r>
        <w:r>
          <w:rPr>
            <w:noProof/>
            <w:webHidden/>
          </w:rPr>
          <w:fldChar w:fldCharType="begin"/>
        </w:r>
        <w:r>
          <w:rPr>
            <w:noProof/>
            <w:webHidden/>
          </w:rPr>
          <w:instrText xml:space="preserve"> PAGEREF _Toc289807092 \h </w:instrText>
        </w:r>
        <w:r>
          <w:rPr>
            <w:noProof/>
            <w:webHidden/>
          </w:rPr>
        </w:r>
        <w:r>
          <w:rPr>
            <w:noProof/>
            <w:webHidden/>
          </w:rPr>
          <w:fldChar w:fldCharType="separate"/>
        </w:r>
        <w:r>
          <w:rPr>
            <w:noProof/>
            <w:webHidden/>
          </w:rPr>
          <w:t>55</w:t>
        </w:r>
        <w:r>
          <w:rPr>
            <w:noProof/>
            <w:webHidden/>
          </w:rPr>
          <w:fldChar w:fldCharType="end"/>
        </w:r>
      </w:hyperlink>
    </w:p>
    <w:p w:rsidR="009615F3" w:rsidRDefault="009615F3" w:rsidP="009615F3">
      <w:pPr>
        <w:pStyle w:val="TOC1"/>
        <w:tabs>
          <w:tab w:val="right" w:leader="dot" w:pos="8630"/>
        </w:tabs>
        <w:rPr>
          <w:rFonts w:ascii="Calibri" w:eastAsia="Times New Roman" w:hAnsi="Calibri"/>
          <w:noProof/>
          <w:sz w:val="22"/>
          <w:lang w:val="en-CA" w:eastAsia="en-CA"/>
        </w:rPr>
      </w:pPr>
      <w:hyperlink w:anchor="_Toc289807093" w:history="1">
        <w:r w:rsidRPr="002B0520">
          <w:rPr>
            <w:rStyle w:val="Hyperlink"/>
            <w:noProof/>
          </w:rPr>
          <w:t>Résumé</w:t>
        </w:r>
        <w:r>
          <w:rPr>
            <w:noProof/>
            <w:webHidden/>
          </w:rPr>
          <w:tab/>
        </w:r>
        <w:r>
          <w:rPr>
            <w:noProof/>
            <w:webHidden/>
          </w:rPr>
          <w:fldChar w:fldCharType="begin"/>
        </w:r>
        <w:r>
          <w:rPr>
            <w:noProof/>
            <w:webHidden/>
          </w:rPr>
          <w:instrText xml:space="preserve"> PAGEREF _Toc289807093 \h </w:instrText>
        </w:r>
        <w:r>
          <w:rPr>
            <w:noProof/>
            <w:webHidden/>
          </w:rPr>
        </w:r>
        <w:r>
          <w:rPr>
            <w:noProof/>
            <w:webHidden/>
          </w:rPr>
          <w:fldChar w:fldCharType="separate"/>
        </w:r>
        <w:r>
          <w:rPr>
            <w:noProof/>
            <w:webHidden/>
          </w:rPr>
          <w:t>56</w:t>
        </w:r>
        <w:r>
          <w:rPr>
            <w:noProof/>
            <w:webHidden/>
          </w:rPr>
          <w:fldChar w:fldCharType="end"/>
        </w:r>
      </w:hyperlink>
    </w:p>
    <w:p w:rsidR="009615F3" w:rsidRPr="00714F8C" w:rsidRDefault="009615F3" w:rsidP="009615F3">
      <w:pPr>
        <w:rPr>
          <w:rFonts w:cs="Arial"/>
          <w:szCs w:val="24"/>
        </w:rPr>
      </w:pPr>
      <w:r w:rsidRPr="00714F8C">
        <w:rPr>
          <w:rFonts w:cs="Arial"/>
          <w:szCs w:val="24"/>
        </w:rPr>
        <w:fldChar w:fldCharType="end"/>
      </w:r>
    </w:p>
    <w:p w:rsidR="009615F3" w:rsidRDefault="009615F3" w:rsidP="009615F3">
      <w:pPr>
        <w:jc w:val="center"/>
        <w:rPr>
          <w:rFonts w:cs="Arial"/>
          <w:szCs w:val="24"/>
        </w:rPr>
      </w:pPr>
    </w:p>
    <w:p w:rsidR="009615F3" w:rsidRDefault="009615F3" w:rsidP="009615F3">
      <w:pPr>
        <w:jc w:val="center"/>
        <w:rPr>
          <w:rFonts w:cs="Arial"/>
          <w:szCs w:val="24"/>
        </w:rPr>
      </w:pPr>
    </w:p>
    <w:p w:rsidR="009615F3" w:rsidRDefault="009615F3" w:rsidP="009615F3">
      <w:pPr>
        <w:jc w:val="center"/>
        <w:rPr>
          <w:rFonts w:cs="Arial"/>
          <w:szCs w:val="24"/>
        </w:rPr>
      </w:pPr>
    </w:p>
    <w:p w:rsidR="009615F3" w:rsidRPr="003D4F3A" w:rsidRDefault="009615F3" w:rsidP="009615F3">
      <w:pPr>
        <w:jc w:val="center"/>
        <w:rPr>
          <w:rFonts w:cs="Arial"/>
          <w:szCs w:val="24"/>
        </w:rPr>
      </w:pPr>
      <w:r w:rsidRPr="003D4F3A">
        <w:rPr>
          <w:rFonts w:cs="Arial"/>
          <w:szCs w:val="24"/>
        </w:rPr>
        <w:lastRenderedPageBreak/>
        <w:t>DRC 4556</w:t>
      </w:r>
    </w:p>
    <w:p w:rsidR="009615F3" w:rsidRDefault="009615F3" w:rsidP="009615F3">
      <w:pPr>
        <w:jc w:val="center"/>
        <w:rPr>
          <w:rFonts w:cs="Arial"/>
          <w:szCs w:val="24"/>
        </w:rPr>
      </w:pPr>
      <w:r w:rsidRPr="003D4F3A">
        <w:rPr>
          <w:rFonts w:cs="Arial"/>
          <w:szCs w:val="24"/>
        </w:rPr>
        <w:t>Contrats nommés</w:t>
      </w:r>
    </w:p>
    <w:p w:rsidR="009615F3" w:rsidRDefault="009615F3" w:rsidP="009615F3">
      <w:pPr>
        <w:rPr>
          <w:rFonts w:cs="Arial"/>
          <w:szCs w:val="24"/>
        </w:rPr>
      </w:pPr>
    </w:p>
    <w:p w:rsidR="009615F3" w:rsidRPr="000A6A09" w:rsidRDefault="009615F3" w:rsidP="009615F3">
      <w:pPr>
        <w:rPr>
          <w:rFonts w:cs="Arial"/>
          <w:i/>
          <w:szCs w:val="24"/>
          <w:u w:val="single"/>
        </w:rPr>
      </w:pPr>
      <w:r w:rsidRPr="000A6A09">
        <w:rPr>
          <w:rFonts w:cs="Arial"/>
          <w:i/>
          <w:szCs w:val="24"/>
          <w:u w:val="single"/>
        </w:rPr>
        <w:t>Cours 1, le 26 janvier 2011</w:t>
      </w:r>
    </w:p>
    <w:p w:rsidR="009615F3" w:rsidRDefault="009615F3" w:rsidP="009615F3">
      <w:pPr>
        <w:rPr>
          <w:rFonts w:cs="Arial"/>
          <w:szCs w:val="24"/>
        </w:rPr>
      </w:pPr>
      <w:r>
        <w:rPr>
          <w:rFonts w:cs="Arial"/>
          <w:szCs w:val="24"/>
        </w:rPr>
        <w:t xml:space="preserve">Documents de cours : polycopié à aller chercher dès le début de la semaine prochaine. Jurisprudence à aller chercher nous-mêmes. </w:t>
      </w:r>
    </w:p>
    <w:p w:rsidR="009615F3" w:rsidRDefault="009615F3" w:rsidP="009615F3">
      <w:pPr>
        <w:rPr>
          <w:rFonts w:cs="Arial"/>
          <w:szCs w:val="24"/>
        </w:rPr>
      </w:pPr>
      <w:r>
        <w:rPr>
          <w:rFonts w:cs="Arial"/>
          <w:szCs w:val="24"/>
        </w:rPr>
        <w:t>Évaluation : travail d’équipe à la place d’un examen de mi-session 20%, examen de fin de session de 80% (vrai ou faux, cas pratiques)</w:t>
      </w:r>
    </w:p>
    <w:p w:rsidR="009615F3" w:rsidRDefault="009615F3" w:rsidP="009615F3">
      <w:pPr>
        <w:rPr>
          <w:rFonts w:cs="Arial"/>
          <w:szCs w:val="24"/>
        </w:rPr>
      </w:pPr>
    </w:p>
    <w:p w:rsidR="009615F3" w:rsidRDefault="009615F3" w:rsidP="009615F3">
      <w:pPr>
        <w:rPr>
          <w:rFonts w:cs="Arial"/>
          <w:szCs w:val="24"/>
        </w:rPr>
      </w:pPr>
      <w:r>
        <w:rPr>
          <w:rFonts w:cs="Arial"/>
          <w:szCs w:val="24"/>
        </w:rPr>
        <w:t xml:space="preserve">Sujet du cours : les contrats translatifs entre personnes. Vente, Donation, Baux commerciaux. On ne voit pas le bail résidentiel dans le cours présent. </w:t>
      </w:r>
    </w:p>
    <w:p w:rsidR="009615F3" w:rsidRDefault="009615F3" w:rsidP="009615F3">
      <w:pPr>
        <w:rPr>
          <w:rFonts w:cs="Arial"/>
          <w:szCs w:val="24"/>
        </w:rPr>
      </w:pPr>
      <w:r>
        <w:rPr>
          <w:rFonts w:cs="Arial"/>
          <w:szCs w:val="24"/>
        </w:rPr>
        <w:t>Article 1700 à 1893 CcQ </w:t>
      </w:r>
    </w:p>
    <w:p w:rsidR="009615F3" w:rsidRDefault="009615F3" w:rsidP="009615F3">
      <w:pPr>
        <w:rPr>
          <w:rFonts w:cs="Arial"/>
          <w:szCs w:val="24"/>
        </w:rPr>
      </w:pPr>
      <w:r>
        <w:rPr>
          <w:rFonts w:cs="Arial"/>
          <w:szCs w:val="24"/>
        </w:rPr>
        <w:t>Pour la semaine prochaine : lire titre 1 et le titre 2 (arrêt section 3 objet du contrat de vente) du polycopié. Cas pratiques : la capacité de contracter et la phase préalable.</w:t>
      </w:r>
    </w:p>
    <w:p w:rsidR="009615F3" w:rsidRDefault="009615F3" w:rsidP="009615F3">
      <w:pPr>
        <w:rPr>
          <w:rFonts w:cs="Arial"/>
          <w:szCs w:val="24"/>
        </w:rPr>
      </w:pPr>
      <w:r>
        <w:rPr>
          <w:rFonts w:cs="Arial"/>
          <w:szCs w:val="24"/>
        </w:rPr>
        <w:t xml:space="preserve">Semaine 1 : phases préalables à un contrat. Titre 2 : la vente. </w:t>
      </w:r>
    </w:p>
    <w:p w:rsidR="009615F3" w:rsidRDefault="009615F3" w:rsidP="009615F3">
      <w:pPr>
        <w:rPr>
          <w:rFonts w:cs="Arial"/>
          <w:szCs w:val="24"/>
        </w:rPr>
      </w:pPr>
      <w:r>
        <w:rPr>
          <w:rFonts w:cs="Arial"/>
          <w:szCs w:val="24"/>
        </w:rPr>
        <w:t>Semaine 2 : objet de la vente, entamer chapitre 3 effets contrat de vente</w:t>
      </w:r>
    </w:p>
    <w:p w:rsidR="009615F3" w:rsidRDefault="009615F3" w:rsidP="009615F3">
      <w:pPr>
        <w:rPr>
          <w:rFonts w:cs="Arial"/>
          <w:szCs w:val="24"/>
        </w:rPr>
      </w:pPr>
      <w:r>
        <w:rPr>
          <w:rFonts w:cs="Arial"/>
          <w:szCs w:val="24"/>
        </w:rPr>
        <w:t>Semaines 3, 4, 5 : garantie de propriété. Garantie de qualité (garantie contre les vices cachés) entre autres.</w:t>
      </w:r>
    </w:p>
    <w:p w:rsidR="009615F3" w:rsidRDefault="009615F3" w:rsidP="009615F3">
      <w:pPr>
        <w:rPr>
          <w:rFonts w:cs="Arial"/>
          <w:szCs w:val="24"/>
        </w:rPr>
      </w:pPr>
      <w:r>
        <w:rPr>
          <w:rFonts w:cs="Arial"/>
          <w:szCs w:val="24"/>
        </w:rPr>
        <w:t xml:space="preserve">Semaine 6 : ventes particulières. Vente de maison neuve, vente avec faculté de rachat, vente à tempérament, vente de droits successoraux. </w:t>
      </w:r>
    </w:p>
    <w:p w:rsidR="009615F3" w:rsidRDefault="009615F3" w:rsidP="009615F3">
      <w:pPr>
        <w:ind w:left="708" w:hanging="708"/>
        <w:rPr>
          <w:rFonts w:cs="Arial"/>
          <w:szCs w:val="24"/>
        </w:rPr>
      </w:pPr>
      <w:r>
        <w:rPr>
          <w:rFonts w:cs="Arial"/>
          <w:szCs w:val="24"/>
        </w:rPr>
        <w:t>Semaine 7 : Vente assurant la protection des tiers. Vente aux enchères. Vente de droits litigieux. Vente de créances. Titre 4 : contrats apparentés à la vente comme le contrat d’échange et la dation en paiement, et le bail à rente.</w:t>
      </w:r>
    </w:p>
    <w:p w:rsidR="009615F3" w:rsidRDefault="009615F3" w:rsidP="009615F3">
      <w:pPr>
        <w:rPr>
          <w:rFonts w:cs="Arial"/>
          <w:szCs w:val="24"/>
        </w:rPr>
      </w:pPr>
      <w:r>
        <w:rPr>
          <w:rFonts w:cs="Arial"/>
          <w:szCs w:val="24"/>
        </w:rPr>
        <w:t xml:space="preserve">Semaine 8 : Titre 5 : les donations entre vifs. </w:t>
      </w:r>
    </w:p>
    <w:p w:rsidR="009615F3" w:rsidRDefault="009615F3" w:rsidP="009615F3">
      <w:pPr>
        <w:rPr>
          <w:rFonts w:cs="Arial"/>
          <w:szCs w:val="24"/>
        </w:rPr>
      </w:pPr>
      <w:r>
        <w:rPr>
          <w:rFonts w:cs="Arial"/>
          <w:szCs w:val="24"/>
        </w:rPr>
        <w:t>Semaine 9 et 10: Louage commercial</w:t>
      </w:r>
    </w:p>
    <w:p w:rsidR="009615F3" w:rsidRPr="000A6A09" w:rsidRDefault="009615F3" w:rsidP="009615F3">
      <w:pPr>
        <w:rPr>
          <w:rFonts w:cs="Arial"/>
          <w:szCs w:val="24"/>
          <w:u w:val="single"/>
        </w:rPr>
      </w:pPr>
      <w:r w:rsidRPr="000A6A09">
        <w:rPr>
          <w:rFonts w:cs="Arial"/>
          <w:szCs w:val="24"/>
          <w:u w:val="single"/>
        </w:rPr>
        <w:t>Travail de mi-session</w:t>
      </w:r>
    </w:p>
    <w:p w:rsidR="009615F3" w:rsidRDefault="009615F3" w:rsidP="009615F3">
      <w:pPr>
        <w:rPr>
          <w:rFonts w:cs="Arial"/>
          <w:szCs w:val="24"/>
        </w:rPr>
      </w:pPr>
      <w:r>
        <w:rPr>
          <w:rFonts w:cs="Arial"/>
          <w:szCs w:val="24"/>
        </w:rPr>
        <w:t>Sujet : numéro 27. Nous allons présenter la semaine 8 donc la semaine du 16 ou 17 mars.-</w:t>
      </w:r>
    </w:p>
    <w:p w:rsidR="009615F3" w:rsidRDefault="009615F3" w:rsidP="009615F3">
      <w:pPr>
        <w:rPr>
          <w:rFonts w:cs="Arial"/>
          <w:szCs w:val="24"/>
        </w:rPr>
      </w:pPr>
    </w:p>
    <w:p w:rsidR="009615F3" w:rsidRDefault="009615F3" w:rsidP="009615F3">
      <w:pPr>
        <w:rPr>
          <w:rFonts w:cs="Arial"/>
          <w:i/>
          <w:szCs w:val="24"/>
          <w:u w:val="single"/>
        </w:rPr>
      </w:pPr>
      <w:r w:rsidRPr="0046207A">
        <w:rPr>
          <w:rFonts w:cs="Arial"/>
          <w:i/>
          <w:szCs w:val="24"/>
          <w:u w:val="single"/>
        </w:rPr>
        <w:t>Cours 2, le 2 février 201</w:t>
      </w:r>
      <w:r>
        <w:rPr>
          <w:rFonts w:cs="Arial"/>
          <w:i/>
          <w:szCs w:val="24"/>
          <w:u w:val="single"/>
        </w:rPr>
        <w:t>1</w:t>
      </w:r>
    </w:p>
    <w:p w:rsidR="009615F3" w:rsidRDefault="009615F3" w:rsidP="009615F3">
      <w:pPr>
        <w:pStyle w:val="Heading1"/>
      </w:pPr>
      <w:bookmarkStart w:id="0" w:name="_Toc289806995"/>
      <w:r>
        <w:lastRenderedPageBreak/>
        <w:t xml:space="preserve">Titre 1 – Les phases préalables à la </w:t>
      </w:r>
      <w:r w:rsidRPr="001B5D58">
        <w:t>formation</w:t>
      </w:r>
      <w:r>
        <w:t xml:space="preserve"> d</w:t>
      </w:r>
      <w:r w:rsidRPr="001B5D58">
        <w:t>’un contrat de vente</w:t>
      </w:r>
      <w:bookmarkEnd w:id="0"/>
    </w:p>
    <w:p w:rsidR="009615F3" w:rsidRPr="001B5D58" w:rsidRDefault="009615F3" w:rsidP="009615F3">
      <w:pPr>
        <w:tabs>
          <w:tab w:val="left" w:pos="1470"/>
        </w:tabs>
      </w:pPr>
      <w:r>
        <w:tab/>
      </w:r>
    </w:p>
    <w:p w:rsidR="009615F3" w:rsidRDefault="009615F3" w:rsidP="009615F3">
      <w:pPr>
        <w:pStyle w:val="Heading2"/>
      </w:pPr>
      <w:bookmarkStart w:id="1" w:name="_Toc289806996"/>
      <w:r w:rsidRPr="00360E50">
        <w:t>Chapitre 1 L’invitation à contracter</w:t>
      </w:r>
      <w:bookmarkEnd w:id="1"/>
    </w:p>
    <w:p w:rsidR="009615F3" w:rsidRPr="00360E50" w:rsidRDefault="009615F3" w:rsidP="009615F3">
      <w:pPr>
        <w:pStyle w:val="Heading2"/>
      </w:pPr>
      <w:r>
        <w:tab/>
      </w:r>
    </w:p>
    <w:p w:rsidR="009615F3" w:rsidRDefault="009615F3" w:rsidP="009615F3">
      <w:pPr>
        <w:rPr>
          <w:rFonts w:cs="Arial"/>
          <w:szCs w:val="24"/>
        </w:rPr>
      </w:pPr>
      <w:r>
        <w:rPr>
          <w:rFonts w:cs="Arial"/>
          <w:szCs w:val="24"/>
        </w:rPr>
        <w:t>Articles 1388 à 1397 CcQ.</w:t>
      </w:r>
    </w:p>
    <w:p w:rsidR="009615F3" w:rsidRDefault="009615F3" w:rsidP="009615F3">
      <w:pPr>
        <w:rPr>
          <w:rFonts w:cs="Arial"/>
          <w:szCs w:val="24"/>
        </w:rPr>
      </w:pPr>
      <w:r>
        <w:rPr>
          <w:rFonts w:cs="Arial"/>
          <w:szCs w:val="24"/>
        </w:rPr>
        <w:t>L’invitation à contracter est une offre qui n’a pas tous les éléments essentiels. Exemple : chalet à vendre, faites votre offre, il manque le prix donc aucune obligation légale dans ce cas. Le vendeur ne sera pas obligé de vendre son chalet. Il pourrait y avoir poursuite si invitation faite de mauvaise foi</w:t>
      </w:r>
    </w:p>
    <w:p w:rsidR="009615F3" w:rsidRDefault="009615F3" w:rsidP="009615F3">
      <w:pPr>
        <w:pStyle w:val="Heading2"/>
      </w:pPr>
      <w:bookmarkStart w:id="2" w:name="_Toc289806997"/>
      <w:r w:rsidRPr="006A55A1">
        <w:t>Chapitre 2- L’offre</w:t>
      </w:r>
      <w:bookmarkEnd w:id="2"/>
    </w:p>
    <w:p w:rsidR="009615F3" w:rsidRPr="001B5D58" w:rsidRDefault="009615F3" w:rsidP="009615F3"/>
    <w:p w:rsidR="009615F3" w:rsidRDefault="009615F3" w:rsidP="009615F3">
      <w:pPr>
        <w:rPr>
          <w:rFonts w:cs="Arial"/>
          <w:szCs w:val="24"/>
        </w:rPr>
      </w:pPr>
      <w:r w:rsidRPr="004A7AF3">
        <w:rPr>
          <w:rFonts w:cs="Arial"/>
          <w:szCs w:val="24"/>
          <w:u w:val="single"/>
        </w:rPr>
        <w:t>L’offre</w:t>
      </w:r>
      <w:r>
        <w:rPr>
          <w:rFonts w:cs="Arial"/>
          <w:szCs w:val="24"/>
        </w:rPr>
        <w:t> :</w:t>
      </w:r>
    </w:p>
    <w:p w:rsidR="009615F3" w:rsidRDefault="009615F3" w:rsidP="009615F3">
      <w:pPr>
        <w:pStyle w:val="ListParagraph"/>
        <w:numPr>
          <w:ilvl w:val="0"/>
          <w:numId w:val="1"/>
        </w:numPr>
        <w:rPr>
          <w:rFonts w:cs="Arial"/>
          <w:szCs w:val="24"/>
        </w:rPr>
      </w:pPr>
      <w:r>
        <w:rPr>
          <w:rFonts w:cs="Arial"/>
          <w:szCs w:val="24"/>
        </w:rPr>
        <w:t>Il faut une offre sérieuse (derrière partie de l’art. 1388 CcQ)</w:t>
      </w:r>
    </w:p>
    <w:p w:rsidR="009615F3" w:rsidRDefault="009615F3" w:rsidP="009615F3">
      <w:pPr>
        <w:pStyle w:val="ListParagraph"/>
        <w:numPr>
          <w:ilvl w:val="0"/>
          <w:numId w:val="1"/>
        </w:numPr>
        <w:rPr>
          <w:rFonts w:cs="Arial"/>
          <w:szCs w:val="24"/>
        </w:rPr>
      </w:pPr>
      <w:r>
        <w:rPr>
          <w:rFonts w:cs="Arial"/>
          <w:szCs w:val="24"/>
        </w:rPr>
        <w:t>Il faut que l’offre ait un objet et un prix déterminé</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Les éléments essentiels d’une offre (donc qui doivent tous être présents) : nature du contrat, un bien et un prix déterminé.</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 xml:space="preserve">Qu’est-ce qui arrive avec une offre de contracter? L’offrant s’oblige légalement. </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 xml:space="preserve">Qu’est-ce qu’une offre? Article 1388 CcQ. L’offre peut être expresse et tacite. Offre tacite : on va au magasin avec des marchandises sur les rayons et on prend une marchandise pour l’acheter. </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 xml:space="preserve">Si on accepte l’offre mais on achète des conditions, l’offrant n’est pas obligé de vendre car ce n’est pas une acceptation de l’offre. Article 1393 CcQ. Ceci constitue une contre-offre ou une autre offre de contracter. </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L’offre peut être faite à une personne indéterminée (exemple : une maison à vendre listée) ou une personne déterminée (cela crée d’autres effets juridiques). Si par exemple, un visiteur vient visiter notre maison, nous fait une offre que l’on refuse mais on lui fait une contre-offre, ceci devient une offre à une personne déterminée.</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 xml:space="preserve">Une offre n’est jamais transmissible contrairement à une promesse unilatérale. Prévu à l’article 1392 CcQ. Même si l’offre a été faite à une personne déterminée qui décède, il y a caducité donc non transmissible à la succession. </w:t>
      </w:r>
    </w:p>
    <w:p w:rsidR="009615F3" w:rsidRDefault="009615F3" w:rsidP="009615F3">
      <w:pPr>
        <w:pStyle w:val="ListParagraph"/>
        <w:ind w:left="0"/>
        <w:rPr>
          <w:rFonts w:cs="Arial"/>
          <w:szCs w:val="24"/>
        </w:rPr>
      </w:pPr>
    </w:p>
    <w:p w:rsidR="009615F3" w:rsidRPr="00360E50" w:rsidRDefault="009615F3" w:rsidP="009615F3">
      <w:pPr>
        <w:pStyle w:val="Heading1"/>
      </w:pPr>
      <w:bookmarkStart w:id="3" w:name="_Toc289806998"/>
      <w:r w:rsidRPr="00360E50">
        <w:t>Promesse unilatérale</w:t>
      </w:r>
      <w:bookmarkEnd w:id="3"/>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lastRenderedPageBreak/>
        <w:t xml:space="preserve">Si offre faite à une personne déterminée et la personne qui a reçu l’offre démontre son intention d’y répondre : ceci constitue une promesse unilatérale. Dans ce cas on parle de promettant et de bénéficiaire d’une promesse : article 1396 al 1 CcQ. L’offrant ne peut plus rien faire avec le bien en vente dans ce cas car il s’est obligé envers une personne. </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 xml:space="preserve">La promesse unilatérale est un contrat donc c’est transmissible aux héritiers : article 1441 CcQ. </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 xml:space="preserve">Si l’offrant vend en contravention d’une promesse, le bénéficiaire n’a pas de droit réel dans le bien mais un droit personnel, une créance envers l’offrant. On ne peut pas réclamer le bien mais on peut réclamer des dommages et intérêts, en vertu de l’article 1397 CcQ. On peut poursuivre l’offrant mais aussi la personne qui a acheté le bien si elle savait qu’il y avait une promesse unilatérale sur ce bien. </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 xml:space="preserve">Si le bien n’est pas vendu, est-ce qu’on a le droit de forcer la vente? Tant que le bien n’a pas été vendu à un tiers, on peut forcer l’offrant à vendre le bien. Il faut transformer la promesse unilatérale en promesse bilatérale. </w:t>
      </w:r>
    </w:p>
    <w:p w:rsidR="009615F3" w:rsidRDefault="009615F3" w:rsidP="009615F3">
      <w:pPr>
        <w:pStyle w:val="ListParagraph"/>
        <w:ind w:left="0"/>
        <w:rPr>
          <w:rFonts w:cs="Arial"/>
          <w:szCs w:val="24"/>
        </w:rPr>
      </w:pPr>
    </w:p>
    <w:p w:rsidR="009615F3" w:rsidRPr="004A7AF3" w:rsidRDefault="009615F3" w:rsidP="009615F3">
      <w:pPr>
        <w:pStyle w:val="Heading1"/>
      </w:pPr>
      <w:bookmarkStart w:id="4" w:name="_Toc289806999"/>
      <w:r w:rsidRPr="004A7AF3">
        <w:t>La promesse bilatérale</w:t>
      </w:r>
      <w:bookmarkEnd w:id="4"/>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Promesse unilatérale + Acceptation du bénéficiaire.</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 xml:space="preserve">Dans la promesse unilatérale, seul le promettant s’oblige. Dans la promesse bilatérale, c’est un contrat bilatéral donc les deux côtés s’obligent. C’est un contrat transmissible en vertu de 1441 CcQ. À partir de la promesse bilatérale, là on peut prétendre à des droits réels sur le bien. Même que certains jugements disent que le contrat de vente a lieu, ce n’est plus juste une promesse bilatérale. </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 xml:space="preserve">Si une partie ne respecte pas ses obligations, on peut toujours utiliser l’article 1397 CcQ. Mais vient s’ajouter l’action en passation de titre de l’article 1712 CcQ. Action en passation de titre cela prend du temps à la Cour. Les dommages et intérêts de 1397 CcQ plus intéressant car tu vends la maison rapidement et tu réclames la perte de revenu de vente en dommages à la personne qui avait promis d’acheter. L’action en passation de titre c’est surtout quand on veut cette maison-là précisément. </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Du moment que le bien a été vendu à un tiers : on ne peut plus faire d’action en passation de titre.</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 xml:space="preserve">Pour l’action en passation de titre, on doit d’abord mettre le vendeur en demeure de passer le titre. Ensuite, on prend une action en passation de titre à la Cour, on reçoit un timbre de la Cour et on doit ensuite publier cette action en passation de titre au registre foncier afin de protéger ces droits sur cet immeuble. On peut </w:t>
      </w:r>
      <w:r>
        <w:rPr>
          <w:rFonts w:cs="Arial"/>
          <w:szCs w:val="24"/>
        </w:rPr>
        <w:lastRenderedPageBreak/>
        <w:t>aussi faire la même chose pour une voiture immatriculée au RDPRM. Si la vente à un tiers est faite avant la préinscription, il est impossible de faire l’action en passation de titre. Si une personne achète un immeuble qui a fait l’objet d’une préinscription, il devra le remettre au bénéficiaire de l’action en passation de titre et ce sans se faire rembourser le prix d’achat.</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 xml:space="preserve">Pour l’action en passation de titre, on doit faire une mise en demeures. Aussi, on doit déposer à la Cour le contrat de vente et le prix de vente. </w:t>
      </w:r>
    </w:p>
    <w:p w:rsidR="009615F3" w:rsidRDefault="009615F3" w:rsidP="009615F3">
      <w:pPr>
        <w:pStyle w:val="ListParagraph"/>
        <w:ind w:left="0"/>
        <w:rPr>
          <w:rFonts w:cs="Arial"/>
          <w:szCs w:val="24"/>
        </w:rPr>
      </w:pPr>
      <w:r>
        <w:rPr>
          <w:rFonts w:cs="Arial"/>
          <w:szCs w:val="24"/>
        </w:rPr>
        <w:t xml:space="preserve">Lorsqu’on fait une action en passation de titre : mise en demeure, contrat de vente notarié produit avec l’action à la Cour qui doit nécessairement avoir chacune des conditions à l’entente entre les parties sinon perte de l’action sur ce seul motif, consignation de l’argent à la Cour ou dans le compte intrust du notaire. </w:t>
      </w:r>
    </w:p>
    <w:p w:rsidR="009615F3" w:rsidRDefault="009615F3" w:rsidP="009615F3">
      <w:pPr>
        <w:pStyle w:val="ListParagraph"/>
        <w:ind w:left="0"/>
        <w:rPr>
          <w:rFonts w:cs="Arial"/>
          <w:szCs w:val="24"/>
        </w:rPr>
      </w:pPr>
      <w:r>
        <w:rPr>
          <w:rFonts w:cs="Arial"/>
          <w:szCs w:val="24"/>
        </w:rPr>
        <w:t xml:space="preserve"> </w:t>
      </w:r>
    </w:p>
    <w:p w:rsidR="009615F3" w:rsidRPr="009126DC" w:rsidRDefault="009615F3" w:rsidP="009615F3">
      <w:pPr>
        <w:pStyle w:val="ListParagraph"/>
        <w:ind w:left="0"/>
        <w:rPr>
          <w:rFonts w:cs="Arial"/>
          <w:szCs w:val="24"/>
          <w:u w:val="single"/>
        </w:rPr>
      </w:pPr>
      <w:r w:rsidRPr="009126DC">
        <w:rPr>
          <w:rFonts w:cs="Arial"/>
          <w:szCs w:val="24"/>
          <w:u w:val="single"/>
        </w:rPr>
        <w:t>Délai</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 xml:space="preserve">Généralement, on met toujours un délai à une offre ou une promesse. On devrait toujours tenir compte qu’il s’agit d’un délai de rigueur même si pas écrit. Article 1390 CcQ. Si on n’a pas mis de délai à une offre, on peut retirer l’offre en tout temps. Selon l’article 1391 CcQ, on peut révoquer une offre avant que le destinataire ne reçoive l’offre. </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Au niveau de la promesse unilatérale, le délai doit toujours être respecté. Si pas de délai, c’est la mise en demeure pour obliger le bénéficiaire à répondre à l’offre dans un délai raisonnable. Chaque cas est un cas d’espèce pour déterminer le délai raisonnable.</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p>
    <w:p w:rsidR="009615F3" w:rsidRPr="009126DC" w:rsidRDefault="009615F3" w:rsidP="009615F3">
      <w:pPr>
        <w:pStyle w:val="ListParagraph"/>
        <w:ind w:left="0"/>
        <w:rPr>
          <w:rFonts w:cs="Arial"/>
          <w:szCs w:val="24"/>
          <w:u w:val="single"/>
        </w:rPr>
      </w:pPr>
      <w:r w:rsidRPr="009126DC">
        <w:rPr>
          <w:rFonts w:cs="Arial"/>
          <w:szCs w:val="24"/>
          <w:u w:val="single"/>
        </w:rPr>
        <w:t>L’acceptation</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Article 1386 CcQ. Article 1387 CcQ : le contrat est formé dès l’acceptation et est formé au lieu de l’acceptation. Déterminer le lieu est important pour déterminer le lieu du contrat donc le lieu d’une éventuelle poursuite. Il faut une acceptation pure et simple pour que cela soit une acceptation, pas de conditions.</w:t>
      </w:r>
    </w:p>
    <w:p w:rsidR="009615F3" w:rsidRDefault="009615F3" w:rsidP="009615F3">
      <w:pPr>
        <w:pStyle w:val="ListParagraph"/>
        <w:ind w:left="0"/>
        <w:rPr>
          <w:rFonts w:cs="Arial"/>
          <w:szCs w:val="24"/>
        </w:rPr>
      </w:pPr>
    </w:p>
    <w:p w:rsidR="009615F3" w:rsidRPr="009126DC" w:rsidRDefault="009615F3" w:rsidP="009615F3">
      <w:pPr>
        <w:pStyle w:val="Heading1"/>
      </w:pPr>
      <w:bookmarkStart w:id="5" w:name="_Toc289807000"/>
      <w:r w:rsidRPr="009126DC">
        <w:t>Droit de premier refus</w:t>
      </w:r>
      <w:bookmarkEnd w:id="5"/>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 xml:space="preserve">On vend un bien à quelqu’un et on se réserve le droit de le racheter si la personne décide de le vendre. </w:t>
      </w:r>
    </w:p>
    <w:p w:rsidR="009615F3" w:rsidRDefault="009615F3" w:rsidP="009615F3">
      <w:pPr>
        <w:pStyle w:val="ListParagraph"/>
        <w:ind w:left="0"/>
        <w:rPr>
          <w:rFonts w:cs="Arial"/>
          <w:szCs w:val="24"/>
        </w:rPr>
      </w:pPr>
    </w:p>
    <w:p w:rsidR="009615F3" w:rsidRPr="009126DC" w:rsidRDefault="009615F3" w:rsidP="009615F3">
      <w:pPr>
        <w:pStyle w:val="Heading1"/>
      </w:pPr>
      <w:bookmarkStart w:id="6" w:name="_Toc289807001"/>
      <w:r w:rsidRPr="009126DC">
        <w:t>Pacte de préférence</w:t>
      </w:r>
      <w:bookmarkEnd w:id="6"/>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lastRenderedPageBreak/>
        <w:t>On ne peut pas forcer l’autre personne à nous vendre le bien mais si la personne vend, on la force à nous l’offrir en premier cependant. Donc ce n’est pas une promesse de vente.  On peut appliquer 1397 CcQ quand même.</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p>
    <w:p w:rsidR="009615F3" w:rsidRPr="009126DC" w:rsidRDefault="009615F3" w:rsidP="009615F3">
      <w:pPr>
        <w:pStyle w:val="ListParagraph"/>
        <w:ind w:left="0"/>
        <w:rPr>
          <w:rFonts w:cs="Arial"/>
          <w:szCs w:val="24"/>
          <w:u w:val="single"/>
        </w:rPr>
      </w:pPr>
      <w:r w:rsidRPr="009126DC">
        <w:rPr>
          <w:rFonts w:cs="Arial"/>
          <w:szCs w:val="24"/>
          <w:u w:val="single"/>
        </w:rPr>
        <w:t>Mise en demeure</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Article 1590 CcQ pour le délai lorsqu’il n’y a pas de délai d’indiqué. Donc quand pas de délai, il faut mettre en demeure avant…</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p>
    <w:p w:rsidR="009615F3" w:rsidRPr="009126DC" w:rsidRDefault="009615F3" w:rsidP="009615F3">
      <w:pPr>
        <w:pStyle w:val="ListParagraph"/>
        <w:ind w:left="0"/>
        <w:rPr>
          <w:rFonts w:cs="Arial"/>
          <w:szCs w:val="24"/>
          <w:u w:val="single"/>
        </w:rPr>
      </w:pPr>
      <w:r w:rsidRPr="009126DC">
        <w:rPr>
          <w:rFonts w:cs="Arial"/>
          <w:szCs w:val="24"/>
          <w:u w:val="single"/>
        </w:rPr>
        <w:t>La rédaction d’une promesse de vente, p. 17 polycopié</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-Un dépôt raisonnable accompagnant l’offre (normalement le dépôt est mis chez le notaire qui va faire la transaction)</w:t>
      </w:r>
    </w:p>
    <w:p w:rsidR="009615F3" w:rsidRDefault="009615F3" w:rsidP="009615F3">
      <w:pPr>
        <w:pStyle w:val="ListParagraph"/>
        <w:ind w:left="0"/>
        <w:rPr>
          <w:rFonts w:cs="Arial"/>
          <w:szCs w:val="24"/>
        </w:rPr>
      </w:pPr>
      <w:r>
        <w:rPr>
          <w:rFonts w:cs="Arial"/>
          <w:szCs w:val="24"/>
        </w:rPr>
        <w:t>-Le choix du notaire et ses coordonnés</w:t>
      </w:r>
    </w:p>
    <w:p w:rsidR="009615F3" w:rsidRDefault="009615F3" w:rsidP="009615F3">
      <w:pPr>
        <w:pStyle w:val="ListParagraph"/>
        <w:ind w:left="0"/>
        <w:rPr>
          <w:rFonts w:cs="Arial"/>
          <w:szCs w:val="24"/>
        </w:rPr>
      </w:pPr>
      <w:r>
        <w:rPr>
          <w:rFonts w:cs="Arial"/>
          <w:szCs w:val="24"/>
        </w:rPr>
        <w:t>-Les délais précis pour le respect des conditions prévues (acceptation, financement, signature de l’acte de vente, etc), quoique ces délais ne sont pas généralement considérés comme étant de rigueur à moins de stipulation contraire. Exemple : délai de 1 semaine pour financement, si pas fait dans 1 semaine, l’offre tombe.</w:t>
      </w:r>
    </w:p>
    <w:p w:rsidR="009615F3" w:rsidRDefault="009615F3" w:rsidP="009615F3">
      <w:pPr>
        <w:pStyle w:val="ListParagraph"/>
        <w:ind w:left="0"/>
        <w:rPr>
          <w:rFonts w:cs="Arial"/>
          <w:szCs w:val="24"/>
        </w:rPr>
      </w:pPr>
      <w:r>
        <w:rPr>
          <w:rFonts w:cs="Arial"/>
          <w:szCs w:val="24"/>
        </w:rPr>
        <w:t>-la description de ce qui fait l’objet de la vente avec toutes les inclusions et les exclusions (la plupart du temps on enlève la garantie légale pour les inclusions)</w:t>
      </w:r>
    </w:p>
    <w:p w:rsidR="009615F3" w:rsidRDefault="009615F3" w:rsidP="009615F3">
      <w:pPr>
        <w:pStyle w:val="ListParagraph"/>
        <w:ind w:left="0"/>
        <w:rPr>
          <w:rFonts w:cs="Arial"/>
          <w:szCs w:val="24"/>
        </w:rPr>
      </w:pPr>
      <w:r>
        <w:rPr>
          <w:rFonts w:cs="Arial"/>
          <w:szCs w:val="24"/>
        </w:rPr>
        <w:t>-les modalités de paiement et le cas échéant, de financement du prix de vente</w:t>
      </w:r>
    </w:p>
    <w:p w:rsidR="009615F3" w:rsidRDefault="009615F3" w:rsidP="009615F3">
      <w:pPr>
        <w:pStyle w:val="ListParagraph"/>
        <w:ind w:left="0"/>
        <w:rPr>
          <w:rFonts w:cs="Arial"/>
          <w:szCs w:val="24"/>
        </w:rPr>
      </w:pPr>
      <w:r>
        <w:rPr>
          <w:rFonts w:cs="Arial"/>
          <w:szCs w:val="24"/>
        </w:rPr>
        <w:t>-l’obligation de fournir un certificat de localisation : pour vérifier si toutes les constructions sont situés sur l’immeuble ou s’il y a empiètement sur d’autres immeubles.</w:t>
      </w:r>
    </w:p>
    <w:p w:rsidR="009615F3" w:rsidRDefault="009615F3" w:rsidP="009615F3">
      <w:pPr>
        <w:pStyle w:val="ListParagraph"/>
        <w:ind w:left="0"/>
        <w:rPr>
          <w:rFonts w:cs="Arial"/>
          <w:szCs w:val="24"/>
        </w:rPr>
      </w:pPr>
      <w:r>
        <w:rPr>
          <w:rFonts w:cs="Arial"/>
          <w:szCs w:val="24"/>
        </w:rPr>
        <w:t>-le moment du transfert de la propriété, du transfert de risques, de la délivrance du bien, de l’occupation de l’immeuble</w:t>
      </w:r>
    </w:p>
    <w:p w:rsidR="009615F3" w:rsidRDefault="009615F3" w:rsidP="009615F3">
      <w:pPr>
        <w:pStyle w:val="ListParagraph"/>
        <w:ind w:left="0"/>
        <w:rPr>
          <w:rFonts w:cs="Arial"/>
          <w:szCs w:val="24"/>
        </w:rPr>
      </w:pPr>
      <w:r>
        <w:rPr>
          <w:rFonts w:cs="Arial"/>
          <w:szCs w:val="24"/>
        </w:rPr>
        <w:t>-l’obligation de garantie du vendeur et certaines déclarations concernant l’état physique et juridique de l’immeuble (exemple : qu’il y a eu deux infiltrations d’eau dans le passé sans réparation, il faut être prudent si le vendeur ne veut pas faire de déclaration sur l’immeuble)</w:t>
      </w:r>
    </w:p>
    <w:p w:rsidR="009615F3" w:rsidRDefault="009615F3" w:rsidP="009615F3">
      <w:pPr>
        <w:pStyle w:val="ListParagraph"/>
        <w:ind w:left="0"/>
        <w:rPr>
          <w:rFonts w:cs="Arial"/>
          <w:szCs w:val="24"/>
        </w:rPr>
      </w:pPr>
      <w:r>
        <w:rPr>
          <w:rFonts w:cs="Arial"/>
          <w:szCs w:val="24"/>
        </w:rPr>
        <w:t>-le concours ou le consentement du conjoint du vendeur</w:t>
      </w:r>
    </w:p>
    <w:p w:rsidR="009615F3" w:rsidRDefault="009615F3" w:rsidP="009615F3">
      <w:pPr>
        <w:pStyle w:val="ListParagraph"/>
        <w:ind w:left="0"/>
        <w:rPr>
          <w:rFonts w:cs="Arial"/>
          <w:szCs w:val="24"/>
        </w:rPr>
      </w:pPr>
    </w:p>
    <w:p w:rsidR="009615F3" w:rsidRPr="00BB1C26" w:rsidRDefault="009615F3" w:rsidP="009615F3">
      <w:pPr>
        <w:pStyle w:val="Heading1"/>
      </w:pPr>
      <w:bookmarkStart w:id="7" w:name="_Toc289807002"/>
      <w:r w:rsidRPr="00BB1C26">
        <w:t>La convention d’arrhes et la faculté de dédit</w:t>
      </w:r>
      <w:bookmarkEnd w:id="7"/>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 xml:space="preserve">Ceci permet de se dédire de sa promesse en perdant le montant d’argent qu’on avait donné pour ça. Aujourd’hui ceci n’existe plus dans la loi. Si on verse un dépôt pour une vente, on ne peut pas se dédire en perdant le dépôt. Article 1711 CcQ. Le vendeur ne peut pas non plus garder ce dépôt si  on décide de ne pas acheter. Mais on a encore la possibilité dans un contrat de vente de mettre une convention d’arrhes. </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lastRenderedPageBreak/>
        <w:t xml:space="preserve">Bien que la faculté de dédit n’existe plus dans le contrat de vente, elle existe encore à l’article 1785 CcQ, question d’ordre public. </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 xml:space="preserve">Donc la convention d’arrhes n’existe plus dans le CcQ mais on peut toujours le mettre comme stipulation conventionnelle dans un contrat. </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p>
    <w:p w:rsidR="009615F3" w:rsidRPr="00F32BFF" w:rsidRDefault="009615F3" w:rsidP="009615F3">
      <w:pPr>
        <w:pStyle w:val="ListParagraph"/>
        <w:ind w:left="0"/>
        <w:rPr>
          <w:rFonts w:cs="Arial"/>
          <w:i/>
          <w:szCs w:val="24"/>
          <w:u w:val="single"/>
        </w:rPr>
      </w:pPr>
      <w:r w:rsidRPr="00F32BFF">
        <w:rPr>
          <w:rFonts w:cs="Arial"/>
          <w:i/>
          <w:szCs w:val="24"/>
          <w:u w:val="single"/>
        </w:rPr>
        <w:t>Cours 3, le 3 février 2011</w:t>
      </w:r>
    </w:p>
    <w:p w:rsidR="009615F3" w:rsidRDefault="009615F3" w:rsidP="009615F3">
      <w:pPr>
        <w:pStyle w:val="ListParagraph"/>
        <w:ind w:left="0"/>
        <w:rPr>
          <w:rFonts w:cs="Arial"/>
          <w:szCs w:val="24"/>
        </w:rPr>
      </w:pPr>
    </w:p>
    <w:p w:rsidR="009615F3" w:rsidRPr="0032061E" w:rsidRDefault="009615F3" w:rsidP="009615F3">
      <w:pPr>
        <w:pStyle w:val="Heading1"/>
      </w:pPr>
      <w:bookmarkStart w:id="8" w:name="_Toc289807003"/>
      <w:r w:rsidRPr="0032061E">
        <w:t>Titre 2 La vente</w:t>
      </w:r>
      <w:bookmarkEnd w:id="8"/>
    </w:p>
    <w:p w:rsidR="009615F3" w:rsidRDefault="009615F3" w:rsidP="009615F3">
      <w:pPr>
        <w:pStyle w:val="ListParagraph"/>
        <w:ind w:left="0"/>
        <w:rPr>
          <w:rFonts w:cs="Arial"/>
          <w:szCs w:val="24"/>
        </w:rPr>
      </w:pPr>
    </w:p>
    <w:p w:rsidR="009615F3" w:rsidRPr="0082458D" w:rsidRDefault="009615F3" w:rsidP="009615F3">
      <w:pPr>
        <w:pStyle w:val="Heading2"/>
      </w:pPr>
      <w:bookmarkStart w:id="9" w:name="_Toc289807004"/>
      <w:r w:rsidRPr="0082458D">
        <w:t>Chapitre 1 - Notions générales</w:t>
      </w:r>
      <w:bookmarkEnd w:id="9"/>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-Article 1708 CcQ. Deux éléments pour une vente : (1) transfert d’un droit (réel ou personnel comme un droit d’action ou de créance, ou droit intellectuel comme marque de commerce) et (2) un prix de vente en argent. On peut vendre un démembrement du droit de la propriété comme un droit de passage. Si prix pas en argent mais en bien, ce n’est pas un contrat de vente</w:t>
      </w:r>
    </w:p>
    <w:p w:rsidR="009615F3" w:rsidRDefault="009615F3" w:rsidP="009615F3">
      <w:pPr>
        <w:pStyle w:val="ListParagraph"/>
        <w:ind w:left="0"/>
        <w:rPr>
          <w:rFonts w:cs="Arial"/>
          <w:szCs w:val="24"/>
        </w:rPr>
      </w:pPr>
    </w:p>
    <w:p w:rsidR="009615F3" w:rsidRPr="0082458D" w:rsidRDefault="009615F3" w:rsidP="009615F3">
      <w:pPr>
        <w:pStyle w:val="Heading2"/>
      </w:pPr>
      <w:bookmarkStart w:id="10" w:name="_Toc289807005"/>
      <w:r w:rsidRPr="0082458D">
        <w:t>Chapitre 2 – La formation du contrat de vente</w:t>
      </w:r>
      <w:bookmarkEnd w:id="10"/>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Au Canada, autonomie pour la formation du contrat. Mais il y a certaines limites concernant la capacité ou pour certains biens.</w:t>
      </w:r>
    </w:p>
    <w:p w:rsidR="009615F3" w:rsidRDefault="009615F3" w:rsidP="009615F3">
      <w:pPr>
        <w:pStyle w:val="ListParagraph"/>
        <w:ind w:left="0"/>
        <w:rPr>
          <w:rFonts w:cs="Arial"/>
          <w:szCs w:val="24"/>
        </w:rPr>
      </w:pPr>
    </w:p>
    <w:p w:rsidR="009615F3" w:rsidRPr="001B5D58" w:rsidRDefault="009615F3" w:rsidP="009615F3">
      <w:pPr>
        <w:pStyle w:val="Heading3"/>
      </w:pPr>
      <w:bookmarkStart w:id="11" w:name="_Toc289807006"/>
      <w:r w:rsidRPr="001B5D58">
        <w:t>Section 1- Le consentement dans la vente</w:t>
      </w:r>
      <w:bookmarkEnd w:id="11"/>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 xml:space="preserve">Du moment où on a un échange de consentement, on a un contrat de vente. L’échange de consentement n’a pas de formalité spécifique : oralement ou par écrit (meilleure preuve). </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Certaines exceptions qui doivent être un contrat écrit : article 58 Loi protection consommateur : contrat de vente avec vendeur itinérant. Aussi article 54.1 Lpl : contrat conclu à distance. Aussi article 1785 CcQ : vente d’un immeuble neuf par un promoteur. Aussi en droit de la preuve, entre deux particuliers, on ne peut jamais faire la preuve d’un acte juridique dont la valeur est de plus de 1500$ par témoignage : article 2862 CcQ. Deux commerçants entre eux peuvent prouver par témoignage mais pas pour les particuliers.  Exemple de commencement de preuve : chèque de 1000$ avec mention premier versement pour le remboursement d’un prêt de plus de 1500$.</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lastRenderedPageBreak/>
        <w:t>Le consentement doit être libre et éclairé : article 1399 CcQ. Il peut être vicié par l’erreur, la lésion ou la crainte.</w:t>
      </w:r>
    </w:p>
    <w:p w:rsidR="009615F3" w:rsidRPr="00166804" w:rsidRDefault="009615F3" w:rsidP="009615F3">
      <w:pPr>
        <w:pStyle w:val="ListParagraph"/>
        <w:ind w:left="0"/>
        <w:rPr>
          <w:rFonts w:cs="Arial"/>
          <w:szCs w:val="24"/>
          <w:u w:val="single"/>
        </w:rPr>
      </w:pPr>
      <w:r w:rsidRPr="00166804">
        <w:rPr>
          <w:rFonts w:cs="Arial"/>
          <w:szCs w:val="24"/>
          <w:u w:val="single"/>
        </w:rPr>
        <w:t>L’erreur</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Article 1400 CcQ. Trois types d’erreurs: (1) sur la nature du contrat,  (2) sur l’objet de la prestation et (3) sur un élément essentiel qui a déterminé le consentement (exemple loué un véhicule pour transporter telle pièce mais véhicule qui ne peut le faire).</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L’erreur inexcusable ne peut jamais mené à un vice de consentement. Voir définition dans Beaudoin. Est-ce qu’un acheteur prudent et diligent aurait découvert  ceci ? L’acheteur a une obligation de se renseigner. Il faut peser dans la balance l’âge, l’état mental, l’intelligence, la position professionnelle ou économique des parties.</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Pour l’erreur, on peut demander la nullité relative, dans l’intérêt des parties et non pas dans l’intérêt public. Une partie victime d’une erreur peut quand même confirmer le contrat. Articles  1407, 1419, 1423 CcQ. Donc quand erreur dans un contrat, on peut confirmer par les agissements, ce qui empêche de demander la nullité par la suite.</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L’article 1407 limite les recours suite à une erreur. La seule chose qu’on peut demander pour l’erreur, c’est la nullité du contrat. Délai de prescription de 3 ans pour demander la nullité du contrat. Si on annule le contrat, chaque partie doit restituer les prestations en vertu de  1699 CcQ.</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 xml:space="preserve">L’erreur provoquée par le dol (article 1401 CcQ) : par une réticence ou par omission (on connait un problème mais on omet de le dire),  par un mensonge ou par une manœuvre frauduleuse. </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Erreur par réticence ou par omission : Il faut mettre en preuve que si on avait su ce problème là, on n’aurait pas contracté ou du moins par à ce prix là. L’erreur n’a pas à venir du vendeur  mais peut venir d’un tiers, mais connaissance par le vendeur qu’une fausse déclaration est faite.</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Erreur par mensonge : exemple la vente de thermopompe qui se payait toute seule…</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 xml:space="preserve">Conditions d’applications : article 1407 CcQ. In fine, plus de recours possibles que la nullité. Dommages et intérêts ou réduction de son obligation possibles également dans le cas d’erreur par le dol. </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C’est toujours à la personne qui prétend victime de dol qui doit prouver ce dol, c’est la personne qui prétend qu’il y a eu erreur qui le fardeau de preuve.</w:t>
      </w:r>
    </w:p>
    <w:p w:rsidR="009615F3" w:rsidRDefault="009615F3" w:rsidP="009615F3">
      <w:pPr>
        <w:pStyle w:val="ListParagraph"/>
        <w:ind w:left="0"/>
        <w:rPr>
          <w:rFonts w:cs="Arial"/>
          <w:szCs w:val="24"/>
          <w:u w:val="single"/>
        </w:rPr>
      </w:pPr>
    </w:p>
    <w:p w:rsidR="009615F3" w:rsidRPr="00F71BAC" w:rsidRDefault="009615F3" w:rsidP="009615F3">
      <w:pPr>
        <w:pStyle w:val="Heading2"/>
      </w:pPr>
      <w:bookmarkStart w:id="12" w:name="_Toc289807007"/>
      <w:r w:rsidRPr="00F71BAC">
        <w:lastRenderedPageBreak/>
        <w:t>Crainte</w:t>
      </w:r>
      <w:bookmarkEnd w:id="12"/>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-Article 1402 CcQ. Voir conditions dans le polycopié et dans l’article. Cinq conditions : (1) présence au moment de la formation du contrat (crainte dans le passé pas valable ni subséquente), (2) crainte doit être déterminante (si on avait pas eu la crainte on n’aurait pas signé le contrat), (3) crainte sérieuse, (4) produite par la personne avec qui on contracte ou avec un tiers mais la personne avec qui on contracte le sait et (5) la crainte doit être illégitime (la poursuite en justice est légitime donc pas une crainte possible).</w:t>
      </w:r>
    </w:p>
    <w:p w:rsidR="009615F3" w:rsidRDefault="009615F3" w:rsidP="009615F3">
      <w:pPr>
        <w:pStyle w:val="ListParagraph"/>
        <w:ind w:left="0"/>
        <w:rPr>
          <w:rFonts w:cs="Arial"/>
          <w:szCs w:val="24"/>
        </w:rPr>
      </w:pPr>
    </w:p>
    <w:p w:rsidR="009615F3" w:rsidRPr="00F71BAC" w:rsidRDefault="009615F3" w:rsidP="009615F3">
      <w:pPr>
        <w:pStyle w:val="Heading2"/>
      </w:pPr>
      <w:bookmarkStart w:id="13" w:name="_Toc289807008"/>
      <w:r w:rsidRPr="00F71BAC">
        <w:t>Lésion</w:t>
      </w:r>
      <w:bookmarkEnd w:id="13"/>
    </w:p>
    <w:p w:rsidR="009615F3" w:rsidRDefault="009615F3" w:rsidP="009615F3">
      <w:pPr>
        <w:pStyle w:val="Heading2"/>
      </w:pPr>
    </w:p>
    <w:p w:rsidR="009615F3" w:rsidRDefault="009615F3" w:rsidP="009615F3">
      <w:pPr>
        <w:pStyle w:val="ListParagraph"/>
        <w:ind w:left="0"/>
        <w:rPr>
          <w:rFonts w:cs="Arial"/>
          <w:szCs w:val="24"/>
        </w:rPr>
      </w:pPr>
      <w:r>
        <w:rPr>
          <w:rFonts w:cs="Arial"/>
          <w:szCs w:val="24"/>
        </w:rPr>
        <w:t>Vice de consentement le plus fréquent, surtout dans la Lpc car la lésion dans le CcQ ne s’applique jamais pour les majeurs.  Article 1405 CcQ : lésion pour mineur et majeur protégé. Donc entre majeurs, on a le droit de se faire avoir…</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Lésion définition 1406 CcQ. Disproportion importante dans les prestations des parties. Aussi obligation excessive pour la situation patrimoniale du contractant, en vertu de la situation ou des circonstances. Preuve plus difficile en vertu de 1406 al 2 CcQ.</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Nullité relative donc ce contrat peut être confirmé par l’agissement des parties. Sanctions 1407 CcQ et prescription de trois ans.</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Qu’est-ce qu’un tribunal va faire quand action en nullité? Article 1408 CcQ. Tribunal a la discrétion : annuler le contrat  ou continuer le contrat en fonction d’une réduction de l’obligation. Rééquilibrer les parties.</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 xml:space="preserve">Article 2 Lpc : activités habituelles du commerce seulement. Si pas dans le cours habituelle, cela ne s’applique pas. Articles 8 et 9 Lpc. Très important : il faut vérifier si la Lpc peut s’appliquer dans le cas présenté. </w:t>
      </w:r>
    </w:p>
    <w:p w:rsidR="009615F3" w:rsidRDefault="009615F3" w:rsidP="009615F3">
      <w:pPr>
        <w:pStyle w:val="ListParagraph"/>
        <w:ind w:left="0"/>
        <w:rPr>
          <w:rFonts w:cs="Arial"/>
          <w:szCs w:val="24"/>
        </w:rPr>
      </w:pPr>
    </w:p>
    <w:p w:rsidR="009615F3" w:rsidRPr="000C5B4A" w:rsidRDefault="009615F3" w:rsidP="009615F3">
      <w:pPr>
        <w:pStyle w:val="Heading3"/>
      </w:pPr>
      <w:bookmarkStart w:id="14" w:name="_Toc289807009"/>
      <w:r>
        <w:t xml:space="preserve">Section 2 - </w:t>
      </w:r>
      <w:r w:rsidRPr="000C5B4A">
        <w:t>La capacité de vendre ou d’acheter</w:t>
      </w:r>
      <w:bookmarkEnd w:id="14"/>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Deux règles d’incapacités : celles de droit commun et celle particulières.</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Incapacités de droit commun : prévues dans le livre de la personne.</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bookmarkStart w:id="15" w:name="_Toc289807010"/>
      <w:r w:rsidRPr="00167677">
        <w:rPr>
          <w:rStyle w:val="Heading1Char"/>
          <w:rFonts w:eastAsia="Calibri"/>
        </w:rPr>
        <w:t>Mineur</w:t>
      </w:r>
      <w:bookmarkEnd w:id="15"/>
      <w:r w:rsidRPr="00167677">
        <w:rPr>
          <w:rStyle w:val="Heading1Char"/>
          <w:rFonts w:eastAsia="Calibri"/>
        </w:rPr>
        <w:t> </w:t>
      </w:r>
      <w:r>
        <w:rPr>
          <w:rFonts w:cs="Arial"/>
          <w:szCs w:val="24"/>
        </w:rPr>
        <w:t>: mineur de plus de 14 ans peut faire tout contrat relatif à son emploi, son art ou sa profession (article 156) (mais le cas de l’achat d’un immeuble n’est pas protégé selon le prof). Aussi le mineur peut contracter pour ses besoins usuels ou ordinaires comme le resto et les vêtements. Selon le prof, un mineur de 16-17 ans pourrait signer un bail selon l’article 157 CcQ.</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Article 158 CcQ : tous les autres contrats doivent être fait par le tuteur. Renvoi à l’article 213. Toute transaction de plus de 25 000$ doit prendre l’autorisation du tribunal. Qu’est-ce qui arrive si l’autorisation n’est pas obtenue : sanction à 162 CcQ. On n’a pas besoin de démontrer un préjudice. Et le mineur peut l’annuler.</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Article 163 CcQ : les autres transactions que celles vues par article 162. Il faut que le mineur prouve le préjudice pour pouvoir annuler ce contrat. Sans preuve de préjudice le contrat est maintenu.</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Article 161 CcQ comme pour la donation de biens de valeur qui est interdite par la loi.</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Si le mineur se fait passer pour majeur, on fait subir la faute à l’autre personne : article 165 CcQ. Tout repose sur le contractant pour s’assurer que la personne avec qui il contracte est mineur.</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sidRPr="002D6442">
        <w:rPr>
          <w:rFonts w:cs="Arial"/>
          <w:szCs w:val="24"/>
          <w:u w:val="single"/>
        </w:rPr>
        <w:t>Mineur simplement émancipé</w:t>
      </w:r>
      <w:r>
        <w:rPr>
          <w:rFonts w:cs="Arial"/>
          <w:szCs w:val="24"/>
        </w:rPr>
        <w:t> a des pouvoirs de plus que le mineur normal. Tous les pouvoirs du mineur plus les actes de simple administration : article 172 CcQ. Est-ce que ceci veut dire que le mineur ne peut pas le faire??? Question à se poser.</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Si le mineur émancipé outrepasse son pouvoir, l’acte accompli sans assistance ne peut être annulé que s’il y a préjudice pour le mineur.</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Article 174 CcQ : il ne peut pas faire de transactions importantes par rapport à son patrimoine.</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sidRPr="002D6442">
        <w:rPr>
          <w:rFonts w:cs="Arial"/>
          <w:szCs w:val="24"/>
          <w:u w:val="single"/>
        </w:rPr>
        <w:t>Mineur pleinement émancipé</w:t>
      </w:r>
      <w:r>
        <w:rPr>
          <w:rFonts w:cs="Arial"/>
          <w:szCs w:val="24"/>
        </w:rPr>
        <w:t xml:space="preserve"> comme un majeur au niveau de la loi : article 176 CcQ. </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sidRPr="002D6442">
        <w:rPr>
          <w:rFonts w:cs="Arial"/>
          <w:szCs w:val="24"/>
          <w:u w:val="single"/>
        </w:rPr>
        <w:t>Majeur inapte </w:t>
      </w:r>
      <w:r>
        <w:rPr>
          <w:rFonts w:cs="Arial"/>
          <w:szCs w:val="24"/>
        </w:rPr>
        <w:t>: majeur sous curatelle (invalide de façon permanente et ne peut plus faire aucun acte juridique, curateur pleine administration des biens), sous tutelle ou avec conseiller.</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sidRPr="002D6442">
        <w:rPr>
          <w:rFonts w:cs="Arial"/>
          <w:szCs w:val="24"/>
          <w:u w:val="single"/>
        </w:rPr>
        <w:t>Majeur sous curatelle</w:t>
      </w:r>
      <w:r>
        <w:rPr>
          <w:rFonts w:cs="Arial"/>
          <w:szCs w:val="24"/>
        </w:rPr>
        <w:t>  qui contracte sans l’aide de son curateur peut être annulé sans la preuve de préjudice. Article 283 CcQ.</w:t>
      </w:r>
    </w:p>
    <w:p w:rsidR="009615F3" w:rsidRDefault="009615F3" w:rsidP="009615F3">
      <w:pPr>
        <w:pStyle w:val="ListParagraph"/>
        <w:ind w:left="0"/>
        <w:rPr>
          <w:rFonts w:cs="Arial"/>
          <w:szCs w:val="24"/>
        </w:rPr>
      </w:pPr>
      <w:r>
        <w:rPr>
          <w:rFonts w:cs="Arial"/>
          <w:szCs w:val="24"/>
        </w:rPr>
        <w:t xml:space="preserve">Mais est-ce qu’on peut annuler les actes du curateur? Article 282 CcQ. Curateur peut faire ce qu’il veut mais il peut engager sa responsabilité face à ses agissements. Mais face aux contractants, les contrats ne peuvent pas être annulés. Mais si administration pas bonne, on peut le poursuivre. </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sidRPr="002D6442">
        <w:rPr>
          <w:rFonts w:cs="Arial"/>
          <w:szCs w:val="24"/>
          <w:u w:val="single"/>
        </w:rPr>
        <w:t>Majeur sous tutelle</w:t>
      </w:r>
      <w:r>
        <w:rPr>
          <w:rFonts w:cs="Arial"/>
          <w:szCs w:val="24"/>
        </w:rPr>
        <w:t> : article 286 CcQ. Tuteur simple administration. On suit les règles comme si on avait un mineur. Donc il peut faire la même chose qu’un mineur 156 et 157 CcQ.</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sidRPr="002D6442">
        <w:rPr>
          <w:rFonts w:cs="Arial"/>
          <w:szCs w:val="24"/>
          <w:u w:val="single"/>
        </w:rPr>
        <w:lastRenderedPageBreak/>
        <w:t>Majeur pourvu d’un conseiller</w:t>
      </w:r>
      <w:r>
        <w:rPr>
          <w:rFonts w:cs="Arial"/>
          <w:szCs w:val="24"/>
        </w:rPr>
        <w:t> : règles différentes selon le jugement de la cour pour voir quels types d’actes nécessitent l’autorisation du conseiller. Si silence, on renvoie aux règles du mineur simplement émancipé. Article 293 CcQ. Donc renvoie à la règle de 174 CcQ.</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 xml:space="preserve">Article 294 donne les conséquences pour le majeur pourvu d’un conseiller : l’acte ne peut être annulé que si le majeur a subi un préjudice. </w:t>
      </w:r>
    </w:p>
    <w:p w:rsidR="009615F3" w:rsidRDefault="009615F3" w:rsidP="009615F3">
      <w:pPr>
        <w:pStyle w:val="ListParagraph"/>
        <w:ind w:left="0"/>
        <w:rPr>
          <w:rFonts w:cs="Arial"/>
          <w:szCs w:val="24"/>
        </w:rPr>
      </w:pPr>
    </w:p>
    <w:p w:rsidR="009615F3" w:rsidRPr="002D6442" w:rsidRDefault="009615F3" w:rsidP="009615F3">
      <w:pPr>
        <w:pStyle w:val="ListParagraph"/>
        <w:ind w:left="0"/>
        <w:rPr>
          <w:rFonts w:cs="Arial"/>
          <w:szCs w:val="24"/>
          <w:u w:val="single"/>
        </w:rPr>
      </w:pPr>
      <w:r w:rsidRPr="002D6442">
        <w:rPr>
          <w:rFonts w:cs="Arial"/>
          <w:szCs w:val="24"/>
          <w:u w:val="single"/>
        </w:rPr>
        <w:t>Incapacités spéciales</w:t>
      </w:r>
    </w:p>
    <w:p w:rsidR="009615F3" w:rsidRDefault="009615F3" w:rsidP="009615F3">
      <w:pPr>
        <w:pStyle w:val="ListParagraph"/>
        <w:ind w:left="0"/>
        <w:rPr>
          <w:rFonts w:cs="Arial"/>
          <w:szCs w:val="24"/>
        </w:rPr>
      </w:pPr>
    </w:p>
    <w:p w:rsidR="009615F3" w:rsidRDefault="009615F3" w:rsidP="009615F3">
      <w:pPr>
        <w:pStyle w:val="ListParagraph"/>
        <w:numPr>
          <w:ilvl w:val="0"/>
          <w:numId w:val="2"/>
        </w:numPr>
        <w:rPr>
          <w:rFonts w:cs="Arial"/>
          <w:szCs w:val="24"/>
        </w:rPr>
      </w:pPr>
      <w:r>
        <w:rPr>
          <w:rFonts w:cs="Arial"/>
          <w:szCs w:val="24"/>
        </w:rPr>
        <w:t>Personnes chargées de vendre ou administrer le bien d’autrui.</w:t>
      </w:r>
    </w:p>
    <w:p w:rsidR="009615F3" w:rsidRDefault="009615F3" w:rsidP="009615F3">
      <w:pPr>
        <w:ind w:left="360"/>
        <w:rPr>
          <w:rFonts w:cs="Arial"/>
          <w:szCs w:val="24"/>
        </w:rPr>
      </w:pPr>
      <w:r>
        <w:rPr>
          <w:rFonts w:cs="Arial"/>
          <w:szCs w:val="24"/>
        </w:rPr>
        <w:t>Article 1709 CcQ. Il faut que ces personnes obtiennent le meilleur prix possible pour ce bien. Exemple : syndic de faillite, tuteur, curateur, agent d’immeuble.</w:t>
      </w:r>
    </w:p>
    <w:p w:rsidR="009615F3" w:rsidRPr="002D6442" w:rsidRDefault="009615F3" w:rsidP="009615F3">
      <w:pPr>
        <w:ind w:left="360"/>
        <w:rPr>
          <w:rFonts w:cs="Arial"/>
          <w:szCs w:val="24"/>
        </w:rPr>
      </w:pPr>
      <w:r>
        <w:rPr>
          <w:rFonts w:cs="Arial"/>
          <w:szCs w:val="24"/>
        </w:rPr>
        <w:t>Article 1312 CcQ : l’administrateur du bien d’autrui peut acquérir le bien si le bénéficiaire lui permet de le faire. Donc nullité relative susceptible de confirmation</w:t>
      </w:r>
    </w:p>
    <w:p w:rsidR="009615F3" w:rsidRDefault="009615F3" w:rsidP="009615F3">
      <w:pPr>
        <w:pStyle w:val="ListParagraph"/>
        <w:numPr>
          <w:ilvl w:val="0"/>
          <w:numId w:val="2"/>
        </w:numPr>
        <w:rPr>
          <w:rFonts w:cs="Arial"/>
          <w:szCs w:val="24"/>
        </w:rPr>
      </w:pPr>
      <w:r>
        <w:rPr>
          <w:rFonts w:cs="Arial"/>
          <w:szCs w:val="24"/>
        </w:rPr>
        <w:t>Acquisition de droits litigieux par des administrateurs de la justice</w:t>
      </w:r>
    </w:p>
    <w:p w:rsidR="009615F3" w:rsidRDefault="009615F3" w:rsidP="009615F3">
      <w:pPr>
        <w:ind w:left="360"/>
        <w:rPr>
          <w:rFonts w:cs="Arial"/>
          <w:szCs w:val="24"/>
        </w:rPr>
      </w:pPr>
      <w:r>
        <w:rPr>
          <w:rFonts w:cs="Arial"/>
          <w:szCs w:val="24"/>
        </w:rPr>
        <w:t>Quand on achète les droits de poursuites d’une personne pour poursuivre nous-mêmes. Impossible pour juge, avocat, notaire, etc. Articles 1782  et 1783 CcQ. Si quelqu’un nous doit une somme d’argent et ne paye pas, ce n’est pas un droit litigieux car pas de contestation de la créance. Il faut que cela soit un droit incertain, un droit disputé. Peine : nullité absolue car d’ordre public, ne peut jamais être confirmé et le juge doit le soulever d’office.</w:t>
      </w:r>
    </w:p>
    <w:p w:rsidR="009615F3" w:rsidRDefault="009615F3" w:rsidP="009615F3">
      <w:pPr>
        <w:pStyle w:val="ListParagraph"/>
        <w:numPr>
          <w:ilvl w:val="0"/>
          <w:numId w:val="2"/>
        </w:numPr>
        <w:rPr>
          <w:rFonts w:cs="Arial"/>
          <w:szCs w:val="24"/>
        </w:rPr>
      </w:pPr>
      <w:r>
        <w:rPr>
          <w:rFonts w:cs="Arial"/>
          <w:szCs w:val="24"/>
        </w:rPr>
        <w:t>Restrictions pour les personnes mariées</w:t>
      </w:r>
    </w:p>
    <w:p w:rsidR="009615F3" w:rsidRPr="00762D7A" w:rsidRDefault="009615F3" w:rsidP="009615F3">
      <w:pPr>
        <w:ind w:left="360"/>
        <w:rPr>
          <w:rFonts w:cs="Arial"/>
          <w:szCs w:val="24"/>
        </w:rPr>
      </w:pPr>
      <w:r>
        <w:rPr>
          <w:rFonts w:cs="Arial"/>
          <w:szCs w:val="24"/>
        </w:rPr>
        <w:t>Autorisation du conjoint marié pour vendre une résidence familiale, les meubles etc. Articles 404 à 408 CcQ.</w:t>
      </w:r>
    </w:p>
    <w:p w:rsidR="009615F3" w:rsidRPr="00762D7A" w:rsidRDefault="009615F3" w:rsidP="009615F3">
      <w:pPr>
        <w:pStyle w:val="ListParagraph"/>
        <w:numPr>
          <w:ilvl w:val="0"/>
          <w:numId w:val="2"/>
        </w:numPr>
        <w:rPr>
          <w:rFonts w:cs="Arial"/>
          <w:szCs w:val="24"/>
        </w:rPr>
      </w:pPr>
      <w:r w:rsidRPr="00762D7A">
        <w:rPr>
          <w:rFonts w:cs="Arial"/>
          <w:szCs w:val="24"/>
        </w:rPr>
        <w:t xml:space="preserve"> </w:t>
      </w:r>
      <w:r>
        <w:rPr>
          <w:rFonts w:cs="Arial"/>
          <w:szCs w:val="24"/>
        </w:rPr>
        <w:t>Loi sur la protection du patrimoine agricole et autres lois.</w:t>
      </w:r>
    </w:p>
    <w:p w:rsidR="009615F3" w:rsidRDefault="009615F3" w:rsidP="009615F3">
      <w:pPr>
        <w:ind w:left="360"/>
        <w:rPr>
          <w:rFonts w:cs="Arial"/>
          <w:szCs w:val="24"/>
        </w:rPr>
      </w:pPr>
      <w:r>
        <w:rPr>
          <w:rFonts w:cs="Arial"/>
          <w:szCs w:val="24"/>
        </w:rPr>
        <w:t>On ne peut pas vendre une terre agricole comme on veut et la subdiviser. La loi sur la régie du logement aussi demande des autorisations pour transformer un bloc appartement en condominiums.</w:t>
      </w:r>
    </w:p>
    <w:p w:rsidR="009615F3" w:rsidRDefault="009615F3" w:rsidP="009615F3">
      <w:pPr>
        <w:ind w:left="360"/>
        <w:rPr>
          <w:rFonts w:cs="Arial"/>
          <w:szCs w:val="24"/>
        </w:rPr>
      </w:pPr>
    </w:p>
    <w:p w:rsidR="009615F3" w:rsidRDefault="009615F3" w:rsidP="009615F3">
      <w:pPr>
        <w:pStyle w:val="Heading3"/>
      </w:pPr>
      <w:bookmarkStart w:id="16" w:name="_Toc289807011"/>
      <w:r w:rsidRPr="00762D7A">
        <w:t>Section 3- L’objet du contrat de vente</w:t>
      </w:r>
      <w:bookmarkEnd w:id="16"/>
    </w:p>
    <w:p w:rsidR="009615F3" w:rsidRPr="001B5D58" w:rsidRDefault="009615F3" w:rsidP="009615F3"/>
    <w:p w:rsidR="009615F3" w:rsidRDefault="009615F3" w:rsidP="009615F3">
      <w:pPr>
        <w:rPr>
          <w:rFonts w:cs="Arial"/>
          <w:szCs w:val="24"/>
        </w:rPr>
      </w:pPr>
      <w:r>
        <w:rPr>
          <w:rFonts w:cs="Arial"/>
          <w:szCs w:val="24"/>
        </w:rPr>
        <w:t>Le bien comme tel qu’on vend et le prix</w:t>
      </w:r>
    </w:p>
    <w:p w:rsidR="009615F3" w:rsidRPr="00CC45DA" w:rsidRDefault="009615F3" w:rsidP="009615F3">
      <w:pPr>
        <w:rPr>
          <w:rFonts w:cs="Arial"/>
          <w:szCs w:val="24"/>
          <w:u w:val="single"/>
        </w:rPr>
      </w:pPr>
      <w:r w:rsidRPr="00CC45DA">
        <w:rPr>
          <w:rFonts w:cs="Arial"/>
          <w:szCs w:val="24"/>
          <w:u w:val="single"/>
        </w:rPr>
        <w:t>Le bien vendu</w:t>
      </w:r>
    </w:p>
    <w:p w:rsidR="009615F3" w:rsidRDefault="009615F3" w:rsidP="009615F3">
      <w:pPr>
        <w:rPr>
          <w:rFonts w:cs="Arial"/>
          <w:szCs w:val="24"/>
        </w:rPr>
      </w:pPr>
      <w:r>
        <w:rPr>
          <w:rFonts w:cs="Arial"/>
          <w:szCs w:val="24"/>
        </w:rPr>
        <w:lastRenderedPageBreak/>
        <w:t>On peut vendre un bien qui existe lors de la vente ou qui va être produit ou construit.</w:t>
      </w:r>
    </w:p>
    <w:p w:rsidR="009615F3" w:rsidRDefault="009615F3" w:rsidP="009615F3">
      <w:pPr>
        <w:rPr>
          <w:rFonts w:cs="Arial"/>
          <w:szCs w:val="24"/>
        </w:rPr>
      </w:pPr>
      <w:r>
        <w:rPr>
          <w:rFonts w:cs="Arial"/>
          <w:szCs w:val="24"/>
        </w:rPr>
        <w:t>Si le bien existe lors de la vente, que se passe-t-il si le bien périt avant le transfert du bien? Perte totale ou perte partielle? Si perte totale : il n’y a plus de contrat en vertu de 1385 CcQ. Si perte partielle, l’acheteur doit décider s’il prend le bien avec réduction du prix de vente ou annulation du contrat.</w:t>
      </w:r>
    </w:p>
    <w:p w:rsidR="009615F3" w:rsidRDefault="009615F3" w:rsidP="009615F3">
      <w:pPr>
        <w:rPr>
          <w:rFonts w:cs="Arial"/>
          <w:szCs w:val="24"/>
        </w:rPr>
      </w:pPr>
      <w:r>
        <w:rPr>
          <w:rFonts w:cs="Arial"/>
          <w:szCs w:val="24"/>
        </w:rPr>
        <w:t>Si vente d’un bien qui n’existe pas et qui n’existera jamais, exemple vente maison neuve mais constructeur décède.</w:t>
      </w:r>
    </w:p>
    <w:p w:rsidR="009615F3" w:rsidRDefault="009615F3" w:rsidP="009615F3">
      <w:pPr>
        <w:rPr>
          <w:rFonts w:cs="Arial"/>
          <w:szCs w:val="24"/>
        </w:rPr>
      </w:pPr>
      <w:r>
        <w:rPr>
          <w:rFonts w:cs="Arial"/>
          <w:szCs w:val="24"/>
        </w:rPr>
        <w:t>Si vente d’un bien futur et bien pas encore construit, possible en vertu de 1374 CcQ. Si cas de force majeure rend impossible la construction du bien : article 1470 CcQ, le vendeur ne peut pas être responsable pour l’inexécution de l’obligation. Article 1694 CcQ et 1693 CcQ.</w:t>
      </w:r>
    </w:p>
    <w:p w:rsidR="009615F3" w:rsidRDefault="009615F3" w:rsidP="009615F3">
      <w:pPr>
        <w:rPr>
          <w:rFonts w:cs="Arial"/>
          <w:szCs w:val="24"/>
        </w:rPr>
      </w:pPr>
      <w:r>
        <w:rPr>
          <w:rFonts w:cs="Arial"/>
          <w:szCs w:val="24"/>
        </w:rPr>
        <w:t>Si faute du vendeur si on n’a pas le bien, le vendeur est responsable. L’acheteur peut demander la résolution de la vente ainsi que des dommages et intérêts en vertu des articles 1590, 1604 et 1607 CcQ. Il peut aussi demander la résolution de la vente de façon extrajudiciaire : article 1736 CcQ : annulation sur simple constatation que le bien n’a pas été livré.</w:t>
      </w:r>
    </w:p>
    <w:p w:rsidR="009615F3" w:rsidRDefault="009615F3" w:rsidP="009615F3">
      <w:pPr>
        <w:rPr>
          <w:rFonts w:cs="Arial"/>
          <w:szCs w:val="24"/>
        </w:rPr>
      </w:pPr>
      <w:r>
        <w:rPr>
          <w:rFonts w:cs="Arial"/>
          <w:szCs w:val="24"/>
        </w:rPr>
        <w:t xml:space="preserve">La vente d’un bien futur peut être un contrat aléatoire : article 1382 CcQ. Si le bien ne se réalise pas, sans faute de part et d’autre, c’est alors l’acheteur qui doit supporter la perte. </w:t>
      </w:r>
    </w:p>
    <w:p w:rsidR="009615F3" w:rsidRDefault="009615F3" w:rsidP="009615F3">
      <w:pPr>
        <w:rPr>
          <w:rFonts w:cs="Arial"/>
          <w:szCs w:val="24"/>
        </w:rPr>
      </w:pPr>
      <w:r>
        <w:rPr>
          <w:rFonts w:cs="Arial"/>
          <w:szCs w:val="24"/>
        </w:rPr>
        <w:t>Le bien doit être déterminé ou déterminable. Si le contrat ne permet pas de déterminer le bien, alors pas un contrat de vente. Article 1374 CcQ. Si on achète toute la quantité de bien : bien déterminé. Ou encore une véhicule en particulier. Un bien déterminé que par l’espèce : véhicule Toyota Camry de couleur blanche.</w:t>
      </w:r>
    </w:p>
    <w:p w:rsidR="009615F3" w:rsidRDefault="009615F3" w:rsidP="009615F3">
      <w:pPr>
        <w:rPr>
          <w:rFonts w:cs="Arial"/>
          <w:szCs w:val="24"/>
        </w:rPr>
      </w:pPr>
      <w:r>
        <w:rPr>
          <w:rFonts w:cs="Arial"/>
          <w:szCs w:val="24"/>
        </w:rPr>
        <w:t>Exemple : Exploitation minière : on peut acheter toute l’exploitation ou acheter au fur et à mesure de l’exploitation. Dans les deux cas, c’est un bien déterminé.</w:t>
      </w:r>
    </w:p>
    <w:p w:rsidR="009615F3" w:rsidRDefault="009615F3" w:rsidP="009615F3">
      <w:pPr>
        <w:rPr>
          <w:rFonts w:cs="Arial"/>
          <w:szCs w:val="24"/>
        </w:rPr>
      </w:pPr>
      <w:r>
        <w:rPr>
          <w:rFonts w:cs="Arial"/>
          <w:szCs w:val="24"/>
        </w:rPr>
        <w:t>Si on n’indique pas la qualité dans un contrat, on doit offrir une qualité moyenne, pas la meilleure ni la pire. Article 1563 CcQ.</w:t>
      </w:r>
    </w:p>
    <w:p w:rsidR="009615F3" w:rsidRDefault="009615F3" w:rsidP="009615F3">
      <w:pPr>
        <w:rPr>
          <w:rFonts w:cs="Arial"/>
          <w:szCs w:val="24"/>
        </w:rPr>
      </w:pPr>
      <w:r>
        <w:rPr>
          <w:rFonts w:cs="Arial"/>
          <w:szCs w:val="24"/>
        </w:rPr>
        <w:t>Le bien vendu doit être un bien licite. On ne peut pas vendre un contrat de vente d’organes, de services sexuels ou encore de drogues. Article 1373 al 2 CcQ.</w:t>
      </w:r>
    </w:p>
    <w:p w:rsidR="009615F3" w:rsidRDefault="009615F3" w:rsidP="009615F3">
      <w:pPr>
        <w:rPr>
          <w:rFonts w:cs="Arial"/>
          <w:szCs w:val="24"/>
        </w:rPr>
      </w:pPr>
    </w:p>
    <w:p w:rsidR="009615F3" w:rsidRPr="00B463B4" w:rsidRDefault="009615F3" w:rsidP="009615F3">
      <w:pPr>
        <w:pStyle w:val="ListParagraph"/>
        <w:ind w:left="0"/>
        <w:rPr>
          <w:rFonts w:cs="Arial"/>
          <w:i/>
          <w:szCs w:val="24"/>
          <w:u w:val="single"/>
        </w:rPr>
      </w:pPr>
      <w:r w:rsidRPr="00B463B4">
        <w:rPr>
          <w:rFonts w:cs="Arial"/>
          <w:i/>
          <w:szCs w:val="24"/>
          <w:u w:val="single"/>
        </w:rPr>
        <w:t>Cours 4, le 9 février 2011</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Pour les prochains cours, il faut faire les exercices sur le consentement, les effets du contrat de vente et l’examen pratique sur les mesures préalables à la vente.</w:t>
      </w:r>
    </w:p>
    <w:p w:rsidR="009615F3" w:rsidRDefault="009615F3" w:rsidP="009615F3">
      <w:pPr>
        <w:pStyle w:val="ListParagraph"/>
        <w:ind w:left="0"/>
        <w:rPr>
          <w:rFonts w:cs="Arial"/>
          <w:szCs w:val="24"/>
        </w:rPr>
      </w:pPr>
    </w:p>
    <w:p w:rsidR="009615F3" w:rsidRPr="00CC2F03" w:rsidRDefault="009615F3" w:rsidP="009615F3">
      <w:pPr>
        <w:pStyle w:val="ListParagraph"/>
        <w:ind w:left="0"/>
        <w:rPr>
          <w:rFonts w:cs="Arial"/>
          <w:szCs w:val="24"/>
          <w:u w:val="single"/>
        </w:rPr>
      </w:pPr>
      <w:r w:rsidRPr="00CC2F03">
        <w:rPr>
          <w:rFonts w:cs="Arial"/>
          <w:szCs w:val="24"/>
          <w:u w:val="single"/>
        </w:rPr>
        <w:t>Sous-section 1 : le bien vendu (suite)</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 xml:space="preserve">Le bien vendu doit appartenir au vendeur : article 1713 CcQ. </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Dans tous les cas d’une vente par un vendeur non propriétaire, le véritable propriétaire va pouvoir revendiquer le bien en fonction de l’article 1714 CcQ. Sauf exceptions :</w:t>
      </w:r>
    </w:p>
    <w:p w:rsidR="009615F3" w:rsidRDefault="009615F3" w:rsidP="009615F3">
      <w:pPr>
        <w:pStyle w:val="ListParagraph"/>
        <w:numPr>
          <w:ilvl w:val="0"/>
          <w:numId w:val="3"/>
        </w:numPr>
        <w:rPr>
          <w:rFonts w:cs="Arial"/>
          <w:szCs w:val="24"/>
        </w:rPr>
      </w:pPr>
      <w:r>
        <w:rPr>
          <w:rFonts w:cs="Arial"/>
          <w:szCs w:val="24"/>
        </w:rPr>
        <w:t>L’acheteur a acquis le bien par prescription acquisitive (immeuble 10 ans, meuble 3 ans : délai commence quand l’acheteur est en possession du bien)</w:t>
      </w:r>
    </w:p>
    <w:p w:rsidR="009615F3" w:rsidRDefault="009615F3" w:rsidP="009615F3">
      <w:pPr>
        <w:pStyle w:val="ListParagraph"/>
        <w:numPr>
          <w:ilvl w:val="0"/>
          <w:numId w:val="3"/>
        </w:numPr>
        <w:rPr>
          <w:rFonts w:cs="Arial"/>
          <w:szCs w:val="24"/>
        </w:rPr>
      </w:pPr>
      <w:r>
        <w:rPr>
          <w:rFonts w:cs="Arial"/>
          <w:szCs w:val="24"/>
        </w:rPr>
        <w:t>Le bien a été vendu sous contrôle ou autorité de la justice. Normalement, le législateur protège les gens qui achètent un tel bien. Par contre, si toutes les formalités non pas toutes été respectées, alors le véritable propriétaire va pouvoir réclamer le bien.</w:t>
      </w:r>
    </w:p>
    <w:p w:rsidR="009615F3" w:rsidRDefault="009615F3" w:rsidP="009615F3">
      <w:pPr>
        <w:pStyle w:val="ListParagraph"/>
        <w:numPr>
          <w:ilvl w:val="0"/>
          <w:numId w:val="3"/>
        </w:numPr>
        <w:rPr>
          <w:rFonts w:cs="Arial"/>
          <w:szCs w:val="24"/>
        </w:rPr>
      </w:pPr>
      <w:r>
        <w:rPr>
          <w:rFonts w:cs="Arial"/>
          <w:szCs w:val="24"/>
        </w:rPr>
        <w:t>Lorsque l’acheteur a transigé avec le propriétaire apparent. Exemple : un héritier commence la liquidation d’une succession mais qu’il perd la qualité d’héritier par un jugement</w:t>
      </w:r>
    </w:p>
    <w:p w:rsidR="009615F3" w:rsidRDefault="009615F3" w:rsidP="009615F3">
      <w:pPr>
        <w:pStyle w:val="ListParagraph"/>
        <w:numPr>
          <w:ilvl w:val="0"/>
          <w:numId w:val="3"/>
        </w:numPr>
        <w:rPr>
          <w:rFonts w:cs="Arial"/>
          <w:szCs w:val="24"/>
        </w:rPr>
      </w:pPr>
      <w:r>
        <w:rPr>
          <w:rFonts w:cs="Arial"/>
          <w:szCs w:val="24"/>
        </w:rPr>
        <w:t xml:space="preserve">Le cas de la double aliénation : la personne qui vend le bien à deux personnes. Articles 1454 et 1455 CcQ. </w:t>
      </w:r>
    </w:p>
    <w:p w:rsidR="009615F3" w:rsidRDefault="009615F3" w:rsidP="009615F3">
      <w:pPr>
        <w:pStyle w:val="ListParagraph"/>
        <w:rPr>
          <w:rFonts w:cs="Arial"/>
          <w:szCs w:val="24"/>
        </w:rPr>
      </w:pPr>
      <w:r>
        <w:rPr>
          <w:rFonts w:cs="Arial"/>
          <w:szCs w:val="24"/>
        </w:rPr>
        <w:t>Dans le cas d’un meuble : Le premier qui est en possession du bien est déclaré propriétaire même s’il a acheté en 2</w:t>
      </w:r>
      <w:r w:rsidRPr="00CC2F03">
        <w:rPr>
          <w:rFonts w:cs="Arial"/>
          <w:szCs w:val="24"/>
          <w:vertAlign w:val="superscript"/>
        </w:rPr>
        <w:t>e</w:t>
      </w:r>
      <w:r>
        <w:rPr>
          <w:rFonts w:cs="Arial"/>
          <w:szCs w:val="24"/>
        </w:rPr>
        <w:t xml:space="preserve">. </w:t>
      </w:r>
    </w:p>
    <w:p w:rsidR="009615F3" w:rsidRDefault="009615F3" w:rsidP="009615F3">
      <w:pPr>
        <w:pStyle w:val="ListParagraph"/>
        <w:rPr>
          <w:rFonts w:cs="Arial"/>
          <w:szCs w:val="24"/>
        </w:rPr>
      </w:pPr>
    </w:p>
    <w:p w:rsidR="009615F3" w:rsidRDefault="009615F3" w:rsidP="009615F3">
      <w:pPr>
        <w:pStyle w:val="ListParagraph"/>
        <w:rPr>
          <w:rFonts w:cs="Arial"/>
          <w:szCs w:val="24"/>
        </w:rPr>
      </w:pPr>
      <w:r>
        <w:rPr>
          <w:rFonts w:cs="Arial"/>
          <w:szCs w:val="24"/>
        </w:rPr>
        <w:t xml:space="preserve">Si Pierre, non propriétaire, vend à Roger son auto et vend subséquemment à Stéphane. Stéphane est mis en possession du bien en premier. Stéphane n’est pas protégé par l’exception de la double aliénation. Si Pierre est propriétaire, alors protection pour Stéphane. L’article 1454 ne protège pas les acheteurs si le vendeur n’est pas propriétaire au départ, même si vendu à deux personnes. </w:t>
      </w:r>
    </w:p>
    <w:p w:rsidR="009615F3" w:rsidRDefault="009615F3" w:rsidP="009615F3">
      <w:pPr>
        <w:pStyle w:val="ListParagraph"/>
        <w:rPr>
          <w:rFonts w:cs="Arial"/>
          <w:szCs w:val="24"/>
        </w:rPr>
      </w:pPr>
    </w:p>
    <w:p w:rsidR="009615F3" w:rsidRDefault="009615F3" w:rsidP="009615F3">
      <w:pPr>
        <w:pStyle w:val="ListParagraph"/>
        <w:rPr>
          <w:rFonts w:cs="Arial"/>
          <w:szCs w:val="24"/>
        </w:rPr>
      </w:pPr>
      <w:r>
        <w:rPr>
          <w:rFonts w:cs="Arial"/>
          <w:szCs w:val="24"/>
        </w:rPr>
        <w:t>Immeuble : article 1455. Renvoie à 2946 et 2956? CcQ.</w:t>
      </w:r>
    </w:p>
    <w:p w:rsidR="009615F3" w:rsidRDefault="009615F3" w:rsidP="009615F3">
      <w:pPr>
        <w:pStyle w:val="ListParagraph"/>
        <w:rPr>
          <w:rFonts w:cs="Arial"/>
          <w:szCs w:val="24"/>
        </w:rPr>
      </w:pPr>
    </w:p>
    <w:p w:rsidR="009615F3" w:rsidRDefault="009615F3" w:rsidP="009615F3">
      <w:pPr>
        <w:pStyle w:val="ListParagraph"/>
        <w:rPr>
          <w:rFonts w:cs="Arial"/>
          <w:szCs w:val="24"/>
        </w:rPr>
      </w:pPr>
      <w:r>
        <w:rPr>
          <w:rFonts w:cs="Arial"/>
          <w:szCs w:val="24"/>
        </w:rPr>
        <w:t>Si le vendeur n’est  pas propriétaire au départ, on ne peut appliquer l’article 1454 mais on applique 1714 CcQ.</w:t>
      </w:r>
    </w:p>
    <w:p w:rsidR="009615F3" w:rsidRDefault="009615F3" w:rsidP="009615F3">
      <w:pPr>
        <w:pStyle w:val="ListParagraph"/>
        <w:rPr>
          <w:rFonts w:cs="Arial"/>
          <w:szCs w:val="24"/>
        </w:rPr>
      </w:pPr>
    </w:p>
    <w:p w:rsidR="009615F3" w:rsidRPr="00DA5EB8" w:rsidRDefault="009615F3" w:rsidP="009615F3">
      <w:pPr>
        <w:pStyle w:val="ListParagraph"/>
        <w:numPr>
          <w:ilvl w:val="0"/>
          <w:numId w:val="3"/>
        </w:numPr>
        <w:rPr>
          <w:rFonts w:cs="Arial"/>
          <w:szCs w:val="24"/>
        </w:rPr>
      </w:pPr>
      <w:r w:rsidRPr="00DA5EB8">
        <w:rPr>
          <w:rFonts w:cs="Arial"/>
          <w:szCs w:val="24"/>
        </w:rPr>
        <w:t>Un bien perdu ou oublié. Cette personne a la détention du bien. Le détenteur doit essayer de trouver le véritable propriétaire. Si elle ne le trouve pas, elle peut vendre le bien en détention. Dans ce cas, l’article 946 al 2 CcQ, le véritable propriétaire peut revendiquer ce qu’il reste du prix de vente.</w:t>
      </w:r>
    </w:p>
    <w:p w:rsidR="009615F3" w:rsidRDefault="009615F3" w:rsidP="009615F3">
      <w:pPr>
        <w:pStyle w:val="ListParagraph"/>
        <w:rPr>
          <w:rFonts w:cs="Arial"/>
          <w:szCs w:val="24"/>
        </w:rPr>
      </w:pPr>
    </w:p>
    <w:p w:rsidR="009615F3" w:rsidRDefault="009615F3" w:rsidP="009615F3">
      <w:pPr>
        <w:pStyle w:val="ListParagraph"/>
        <w:ind w:left="0"/>
        <w:rPr>
          <w:rFonts w:cs="Arial"/>
          <w:szCs w:val="24"/>
        </w:rPr>
      </w:pPr>
      <w:r>
        <w:rPr>
          <w:rFonts w:cs="Arial"/>
          <w:szCs w:val="24"/>
        </w:rPr>
        <w:t xml:space="preserve">L’article 1714 va pouvoir s’appliquer à des acquéreurs subséquents. </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 xml:space="preserve">Si on se retrouve dans les situations de 1 à 5, le véritable propriétaire peut faire une poursuite contre le vendeur en dommages et intérêts en vertu de 1457 CcQ. </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lastRenderedPageBreak/>
        <w:t>Quand le véritable propriétaire reprend le bien il n’a rien à payer sauf les impenses par l’acheteur (déboursés pour des réparations par exemple). Article 958 CcQ. Les règles de la possession doivent s’appliquer dans ce cas.</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Le 2e alinéa de 1714 CcQ, le véritable propriétaire devra payer les coûts déboursés par l’acheteur, si le bien a été vendu dans le cours des activités d’une entreprise.</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Dans la vente d’un bien d’autrui, l’acheteur qui est mis au courant peut annuler la vente juste pour ce motif. Article 1715 CcQ. L’acheteur peut confirmer la vente en vertu de 1420 CcQ. À partir de la confirmation, aucune possibilité d’annuler la vente. Aussi si le vendeur est devenu le propriétaire du bien par la suite, l’acheteur ne peut plus demander l’annulation de la vente.</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Si l’acheteur achète en sachant que le vendeur n’est pas véritablement propriétaire, c’est un contrat aléatoire, il ne peut plus s’en plaindre et demander l’annulation de la vente.</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Le vendeur : ne peut pas dans aucun cas demander l’annulation de la vente. L’acheteur va toujours pouvoir le poursuivre pour dommages suite à une dépossession du bien : Articles 1607 et 1613 CcQ.</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p>
    <w:p w:rsidR="009615F3" w:rsidRPr="00D75ED8" w:rsidRDefault="009615F3" w:rsidP="009615F3">
      <w:pPr>
        <w:pStyle w:val="Heading1"/>
      </w:pPr>
      <w:bookmarkStart w:id="17" w:name="_Toc289807012"/>
      <w:r w:rsidRPr="00D75ED8">
        <w:t>LE PRIX</w:t>
      </w:r>
      <w:bookmarkEnd w:id="17"/>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 xml:space="preserve">-Le prix doit être en argent. Le prix doit être déterminé et déterminable. </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-Pour le prix déterminable, il ne faut plus qu’il y ait discrétion entre les parties. Exemple : prix fixé par règlement pour l’exploitation minière : genre le prix fixé +10%. Exemple : personne achète du bois et achète pour un certain prix le pied linéaire mais le nombre de prix linéaire n’est pas fixé, le prix est déterminable. Si on lit le contrat, on ne trouve pas un prix déterminable : il n’y a pas de consentement sur tous les éléments essentiels à un contrat de vente. Article 1421 CcQ.</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-Le prix doit être réel. Comme quand on vend un véhicule pour 100$ pour ne pas payer de taxes…ça c’est une libéralité et non pas un contrat de vente ou une donation déguisée.</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-Le prix doit être équitable. Le prix n’a pas à être équitable dans tous les cas : seulement pour les mineurs et les majeurs protégés pour éviter la lésion. Sauf aussi en vertu de 8 et 9 Lpc, entre un commerçant et un consommateur.</w:t>
      </w:r>
    </w:p>
    <w:p w:rsidR="009615F3" w:rsidRDefault="009615F3" w:rsidP="009615F3">
      <w:pPr>
        <w:pStyle w:val="ListParagraph"/>
        <w:ind w:left="0"/>
        <w:rPr>
          <w:rFonts w:cs="Arial"/>
          <w:szCs w:val="24"/>
        </w:rPr>
      </w:pPr>
    </w:p>
    <w:p w:rsidR="009615F3" w:rsidRPr="001B5D58" w:rsidRDefault="009615F3" w:rsidP="009615F3">
      <w:pPr>
        <w:pStyle w:val="Heading2"/>
      </w:pPr>
      <w:bookmarkStart w:id="18" w:name="_Toc289807013"/>
      <w:r w:rsidRPr="00D75ED8">
        <w:lastRenderedPageBreak/>
        <w:t>Chapitre 3 – Les effets du contrat de vente</w:t>
      </w:r>
      <w:bookmarkEnd w:id="18"/>
    </w:p>
    <w:p w:rsidR="009615F3" w:rsidRPr="00D75ED8" w:rsidRDefault="009615F3" w:rsidP="009615F3">
      <w:pPr>
        <w:pStyle w:val="Heading3"/>
      </w:pPr>
      <w:bookmarkStart w:id="19" w:name="_Toc289807014"/>
      <w:r w:rsidRPr="00D75ED8">
        <w:t>Section 1- Le transfert du droit faisant l’objet de la vente</w:t>
      </w:r>
      <w:bookmarkEnd w:id="19"/>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-Il est important de se rappeler de l’article 1453 CcQ. Le transfert se fait en général dès l’échange de consentement. Il faut que le bien ait été individualisé comme une auto usagée, une table démo qu’on achète ou encore une universalité de biens (donc l’ensemble des biens dans un endroit).</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 xml:space="preserve">-Sur une terre à bois, j’achète tant de bois ce n’est pas une universalité Si on achète tout le bois sur la terre, c’est une universalité. </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 xml:space="preserve">-Exception à ceci : articles 1454 et 1455 CcQ. Si Pierre à vendu sa voiture à Roger le 8 septembre et livraison le 12 septembre. Le transfert se fait le 8 septembre. Mais si une autre personne paye 2000$ de plus pour acheter l’auto et Pierre accepte et la personne part avec le bien, l’article 1454 va protéger la deuxième personne. </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-Exception : La vente de créance.</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-Dans certains cas, on retarde le transfert de propriété :</w:t>
      </w:r>
    </w:p>
    <w:p w:rsidR="009615F3" w:rsidRDefault="009615F3" w:rsidP="009615F3">
      <w:pPr>
        <w:pStyle w:val="ListParagraph"/>
        <w:ind w:left="0"/>
        <w:rPr>
          <w:rFonts w:cs="Arial"/>
          <w:szCs w:val="24"/>
        </w:rPr>
      </w:pPr>
    </w:p>
    <w:p w:rsidR="009615F3" w:rsidRDefault="009615F3" w:rsidP="009615F3">
      <w:pPr>
        <w:pStyle w:val="ListParagraph"/>
        <w:ind w:left="708"/>
        <w:rPr>
          <w:rFonts w:cs="Arial"/>
          <w:szCs w:val="24"/>
        </w:rPr>
      </w:pPr>
      <w:r>
        <w:rPr>
          <w:rFonts w:cs="Arial"/>
          <w:szCs w:val="24"/>
        </w:rPr>
        <w:t>(1) Les ventes de biens déterminés quant à leur espèce seulement. Exemple : concessionnaire et on essaie une automobile en démo et on commande une automobile qui va venir. Article 1453 al 2 CcQ. Deux conditions : il faut que le bien ait été individualisé et il faut que le vendeur ait informé l’acheteur pour lui dire que le bien est arrivé. Pas de mode particulier pour aviser l’acheteur. Mais l’acheteur n’est pas nécessairement en possession tout de suite.</w:t>
      </w:r>
    </w:p>
    <w:p w:rsidR="009615F3" w:rsidRDefault="009615F3" w:rsidP="009615F3">
      <w:pPr>
        <w:pStyle w:val="ListParagraph"/>
        <w:ind w:left="708"/>
        <w:rPr>
          <w:rFonts w:cs="Arial"/>
          <w:szCs w:val="24"/>
        </w:rPr>
      </w:pPr>
    </w:p>
    <w:p w:rsidR="009615F3" w:rsidRDefault="009615F3" w:rsidP="009615F3">
      <w:pPr>
        <w:pStyle w:val="ListParagraph"/>
        <w:ind w:left="708"/>
        <w:rPr>
          <w:rFonts w:cs="Arial"/>
          <w:szCs w:val="24"/>
        </w:rPr>
      </w:pPr>
      <w:r>
        <w:rPr>
          <w:rFonts w:cs="Arial"/>
          <w:szCs w:val="24"/>
        </w:rPr>
        <w:t>(2) La vente à l’essai. Lorsqu’un vendeur vend le bien avec échange de consentement sur tous les éléments mais il y a une période pour l’essai. Tant que la période n’est pas terminée, le vendeur demeure propriétaire du bien. L’acheteur ne peut pas annuler la vente car il n’aime pas le bien. Si on n’a pas mis de délai dans le contrat : le législateur dit que c’est 30 jours pour l’essai. Article 1744 CcQ. Renvoi à 1506 et 1507 CcQ. Ce n’est pas une vente satisfaction garantie.</w:t>
      </w:r>
    </w:p>
    <w:p w:rsidR="009615F3" w:rsidRDefault="009615F3" w:rsidP="009615F3">
      <w:pPr>
        <w:pStyle w:val="ListParagraph"/>
        <w:ind w:left="708"/>
        <w:rPr>
          <w:rFonts w:cs="Arial"/>
          <w:szCs w:val="24"/>
        </w:rPr>
      </w:pPr>
    </w:p>
    <w:p w:rsidR="009615F3" w:rsidRDefault="009615F3" w:rsidP="009615F3">
      <w:pPr>
        <w:pStyle w:val="ListParagraph"/>
        <w:ind w:left="708"/>
        <w:rPr>
          <w:rFonts w:cs="Arial"/>
          <w:szCs w:val="24"/>
        </w:rPr>
      </w:pPr>
      <w:r>
        <w:rPr>
          <w:rFonts w:cs="Arial"/>
          <w:szCs w:val="24"/>
        </w:rPr>
        <w:t xml:space="preserve">(3) La vente à tempérament. Le vendeur vend un bien à une personne mais ne transféra pas la propriété tant et aussi longtemps que le prix n’a pas été payé en entier. Il n’y a pas d’effet rétroactif. Article 1745 CcQ. Pas de conditions suspensive comme la vente à l’essai. VERSUS vente à terme : on donne un terme pour payer le prix de vente. Dans la vente à tempérament, il faut qu’il y ait une stipulation de réserve de propriété. </w:t>
      </w:r>
    </w:p>
    <w:p w:rsidR="009615F3" w:rsidRDefault="009615F3" w:rsidP="009615F3">
      <w:pPr>
        <w:pStyle w:val="ListParagraph"/>
        <w:ind w:left="708"/>
        <w:rPr>
          <w:rFonts w:cs="Arial"/>
          <w:szCs w:val="24"/>
        </w:rPr>
      </w:pPr>
    </w:p>
    <w:p w:rsidR="009615F3" w:rsidRDefault="009615F3" w:rsidP="009615F3">
      <w:pPr>
        <w:pStyle w:val="ListParagraph"/>
        <w:ind w:left="708"/>
        <w:rPr>
          <w:rFonts w:cs="Arial"/>
          <w:szCs w:val="24"/>
        </w:rPr>
      </w:pPr>
      <w:r>
        <w:rPr>
          <w:rFonts w:cs="Arial"/>
          <w:szCs w:val="24"/>
        </w:rPr>
        <w:t xml:space="preserve">(4) La vente où le transfert de droit réel est conventionnellement retardé. </w:t>
      </w:r>
    </w:p>
    <w:p w:rsidR="009615F3" w:rsidRDefault="009615F3" w:rsidP="009615F3">
      <w:pPr>
        <w:pStyle w:val="ListParagraph"/>
        <w:ind w:left="708"/>
        <w:rPr>
          <w:rFonts w:cs="Arial"/>
          <w:szCs w:val="24"/>
        </w:rPr>
      </w:pPr>
    </w:p>
    <w:p w:rsidR="009615F3" w:rsidRDefault="009615F3" w:rsidP="009615F3">
      <w:pPr>
        <w:pStyle w:val="ListParagraph"/>
        <w:ind w:left="708"/>
        <w:rPr>
          <w:rFonts w:cs="Arial"/>
          <w:szCs w:val="24"/>
        </w:rPr>
      </w:pPr>
    </w:p>
    <w:p w:rsidR="009615F3" w:rsidRDefault="009615F3" w:rsidP="009615F3">
      <w:pPr>
        <w:pStyle w:val="ListParagraph"/>
        <w:ind w:left="708"/>
        <w:rPr>
          <w:rFonts w:cs="Arial"/>
          <w:szCs w:val="24"/>
        </w:rPr>
      </w:pPr>
    </w:p>
    <w:p w:rsidR="009615F3" w:rsidRDefault="009615F3" w:rsidP="009615F3">
      <w:pPr>
        <w:pStyle w:val="ListParagraph"/>
        <w:ind w:left="708"/>
        <w:rPr>
          <w:rFonts w:cs="Arial"/>
          <w:szCs w:val="24"/>
        </w:rPr>
      </w:pPr>
    </w:p>
    <w:p w:rsidR="009615F3" w:rsidRDefault="009615F3" w:rsidP="009615F3">
      <w:pPr>
        <w:pStyle w:val="Heading3"/>
      </w:pPr>
      <w:bookmarkStart w:id="20" w:name="_Toc289807015"/>
      <w:r>
        <w:t>Section 2- Le transfert des risques</w:t>
      </w:r>
      <w:bookmarkEnd w:id="20"/>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Qui assume les risques du bien ?</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-Article 1456 CcQ. Le propriétaire assure les risques. Renvoi à 950 CcQ. Toutefois, tant que la délivrance du bien n’a pas été faite, le débiteur de l’obligation de délivrance. Toutefois si l’acheteur est en demeure, c’est l’acheteur qui assure les risques : renvoi 1582  al 2 CcQ. ?????</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-Si perte partielle, on utilise l’article 1562 CcQ. Il faut déterminer si c’est la faute du vendeur ou de l’acheteur. L’acheteur n’est jamais obligé de prendre autre chose que ce qui lui a été promis.</w:t>
      </w:r>
    </w:p>
    <w:p w:rsidR="009615F3" w:rsidRDefault="009615F3" w:rsidP="009615F3">
      <w:pPr>
        <w:pStyle w:val="Heading3"/>
      </w:pPr>
    </w:p>
    <w:p w:rsidR="009615F3" w:rsidRPr="00E406F1" w:rsidRDefault="009615F3" w:rsidP="009615F3">
      <w:pPr>
        <w:rPr>
          <w:rFonts w:cs="Arial"/>
          <w:i/>
          <w:szCs w:val="24"/>
          <w:u w:val="single"/>
        </w:rPr>
      </w:pPr>
      <w:r w:rsidRPr="00E406F1">
        <w:rPr>
          <w:rFonts w:cs="Arial"/>
          <w:i/>
          <w:szCs w:val="24"/>
          <w:u w:val="single"/>
        </w:rPr>
        <w:t>Cours 5, le 10 février 2011</w:t>
      </w:r>
    </w:p>
    <w:p w:rsidR="009615F3" w:rsidRDefault="009615F3" w:rsidP="009615F3">
      <w:pPr>
        <w:pStyle w:val="Heading3"/>
      </w:pPr>
      <w:bookmarkStart w:id="21" w:name="_Toc289807016"/>
      <w:r>
        <w:t>Section 3 – Les obligations du vendeur</w:t>
      </w:r>
      <w:bookmarkEnd w:id="21"/>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Prendre les cours d’Émilie ou de Kevin car j’ai manqué la première heure.</w:t>
      </w:r>
    </w:p>
    <w:p w:rsidR="009615F3" w:rsidRDefault="009615F3" w:rsidP="009615F3">
      <w:pPr>
        <w:pStyle w:val="ListParagraph"/>
        <w:ind w:left="0"/>
        <w:rPr>
          <w:rFonts w:cs="Arial"/>
          <w:szCs w:val="24"/>
        </w:rPr>
      </w:pPr>
    </w:p>
    <w:p w:rsidR="009615F3" w:rsidRPr="006E6DDD" w:rsidRDefault="009615F3" w:rsidP="009615F3">
      <w:pPr>
        <w:pStyle w:val="ListParagraph"/>
        <w:ind w:left="0"/>
        <w:rPr>
          <w:rFonts w:cs="Arial"/>
          <w:i/>
          <w:szCs w:val="24"/>
          <w:u w:val="single"/>
        </w:rPr>
      </w:pPr>
      <w:r w:rsidRPr="006E6DDD">
        <w:rPr>
          <w:rFonts w:cs="Arial"/>
          <w:i/>
          <w:szCs w:val="24"/>
          <w:u w:val="single"/>
        </w:rPr>
        <w:t>Cours 6, le 16 février 2011</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Exercice pour l’application de l’article 1714 CcQ versus application de l’article 1454 CcQ. Exceptions prévues à 1714 CcQ : prescription acquisitive (on peut cumuler la possession des possesseurs) et la vente en justice sauf si formalités de la vente par strictement respectées. Autre exception par la jurisprudence: vendeur apparent. Autre exception à 1714 CcQ : l’article 1454 CcQ. Voir exemple suivant :</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Le 1</w:t>
      </w:r>
      <w:r w:rsidRPr="006E6DDD">
        <w:rPr>
          <w:rFonts w:cs="Arial"/>
          <w:szCs w:val="24"/>
          <w:vertAlign w:val="superscript"/>
        </w:rPr>
        <w:t>e</w:t>
      </w:r>
      <w:r>
        <w:rPr>
          <w:rFonts w:cs="Arial"/>
          <w:szCs w:val="24"/>
        </w:rPr>
        <w:t xml:space="preserve"> février 2011, jean offre de vendre son auto Buick pour la somme de 10 000$. Le 2 février 2011, Pierre accepte l’offre de Jean, et les parties s’entendent pour la remise du véhicule dans une semaine. Le 6 février 2011, Jean décide de vendre son auto Buick  à  Roger pour le somme de 12 000$. Cette même journée, Roger quitte avec le véhicule et paie le prix de vente. </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 xml:space="preserve">Donc promesse bilatérale, bien et prix, acceptation. Application de l’article 1453 CcQ : nous indique que le transfert du droit réel d’un bien individualisé en rang l’acquéreur titulaire dès la formation du contrat, donc propriétaire. Donc, le 6 février, Jean a vendu un bien pour lequel il n’était plus propriétaire, il a vendu le </w:t>
      </w:r>
      <w:r>
        <w:rPr>
          <w:rFonts w:cs="Arial"/>
          <w:szCs w:val="24"/>
        </w:rPr>
        <w:lastRenderedPageBreak/>
        <w:t>bien d’autrui. Pierre ne peut pas utiliser l’article 1714 CcQ et revendiqué le bien dans les mains de Roger car il s’agit d’une exception prévue à l’article 1454 CcQ.</w:t>
      </w:r>
    </w:p>
    <w:p w:rsidR="009615F3" w:rsidRDefault="009615F3" w:rsidP="009615F3">
      <w:pPr>
        <w:pStyle w:val="ListParagraph"/>
        <w:ind w:left="0"/>
        <w:rPr>
          <w:rFonts w:cs="Arial"/>
          <w:szCs w:val="24"/>
        </w:rPr>
      </w:pPr>
    </w:p>
    <w:p w:rsidR="009615F3" w:rsidRDefault="009615F3" w:rsidP="009615F3">
      <w:pPr>
        <w:pStyle w:val="ListParagraph"/>
        <w:ind w:left="0"/>
        <w:rPr>
          <w:rFonts w:cs="Arial"/>
          <w:i/>
          <w:szCs w:val="24"/>
        </w:rPr>
      </w:pPr>
      <w:r>
        <w:rPr>
          <w:rFonts w:cs="Arial"/>
          <w:i/>
          <w:szCs w:val="24"/>
        </w:rPr>
        <w:t>Sous-section 2 –</w:t>
      </w:r>
    </w:p>
    <w:p w:rsidR="009615F3" w:rsidRPr="000A2C18" w:rsidRDefault="009615F3" w:rsidP="009615F3">
      <w:pPr>
        <w:pStyle w:val="Heading1"/>
        <w:rPr>
          <w:rStyle w:val="Heading1Char"/>
        </w:rPr>
      </w:pPr>
      <w:r>
        <w:rPr>
          <w:rFonts w:cs="Arial"/>
          <w:i/>
          <w:szCs w:val="24"/>
        </w:rPr>
        <w:t xml:space="preserve"> </w:t>
      </w:r>
      <w:bookmarkStart w:id="22" w:name="_Toc289807017"/>
      <w:r w:rsidRPr="000A2C18">
        <w:t>L’obligation de garantie</w:t>
      </w:r>
      <w:bookmarkEnd w:id="22"/>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-Articles 1723 à 1731 CcQ.</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-Garantie qui existe de plein droit, même si pas stipulée dans le contrat (article 1716 CcQ). On peut les enlever ou en ajouter cependant.</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-En droit immobilier, cela touche la majeure partie des dossiers qu’on voit. Limite de propriétés et vice cachés.</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 xml:space="preserve">-Article 1723 CcQ : garantie de propriété. Il faut que le vendeur garantisse que l’acheteur va pouvoir jouir pleinement de la propriété du bien acheté. </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-Trouble de faits : empiètement sur le terrain. Troubles de droit aussi : démembrement de droit de propriété, droit de passage). Ces troubles peuvent émaner du vendeur lui-même. Le vendeur ne peut jamais se dégager des troubles causés par ses faits personnels (article 1732 CcQ).</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-Il y a trois grandes composantes à la garantie du droit de propriété : limitations du droit, empiètements et limitations de droit public. Article 1723 à 1735 CcQ.</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r>
        <w:rPr>
          <w:rFonts w:cs="Arial"/>
          <w:szCs w:val="24"/>
        </w:rPr>
        <w:t xml:space="preserve">(1)Limitations de droit : droit de passage, servitude d’accès, droit d’usage, les hypothèques, les baux, etc. Les baux ne sont pas nécessairement publiés donc il faut les divulguer. Si un droit est créé après la vente n’est pas la responsabilité du vendeur. Donc pas protégé par l’article 1723 CcQ. « Servitudes établies » par la loi aux articles 976 CcQ ne sont pas protégées par l’article 1723 CcQ. Exemple de ces servitudes légales : l’écoulement naturel des eaux; les arbres des voisins qui viennent limiter notre droit de jouissance, on doit les accepter ou autre servitude de vue. </w:t>
      </w:r>
    </w:p>
    <w:p w:rsidR="009615F3" w:rsidRDefault="009615F3" w:rsidP="009615F3">
      <w:pPr>
        <w:pStyle w:val="ListParagraph"/>
        <w:ind w:left="0"/>
        <w:rPr>
          <w:rFonts w:cs="Arial"/>
          <w:szCs w:val="24"/>
        </w:rPr>
      </w:pPr>
    </w:p>
    <w:p w:rsidR="009615F3" w:rsidRDefault="009615F3" w:rsidP="009615F3">
      <w:pPr>
        <w:pStyle w:val="ListParagraph"/>
        <w:ind w:left="708"/>
        <w:rPr>
          <w:rFonts w:cs="Arial"/>
          <w:szCs w:val="24"/>
        </w:rPr>
      </w:pPr>
      <w:r>
        <w:rPr>
          <w:rFonts w:cs="Arial"/>
          <w:szCs w:val="24"/>
        </w:rPr>
        <w:t xml:space="preserve">Comment applique-t-on l’article 1723 CcQ? À partir du moment où on a la connaissance, le délai de prescription commence (trois ans 2925 CcQ).  On ne peut pas poursuivre comme on veut 2 ans après. Il faut mettre en demeure, </w:t>
      </w:r>
      <w:r w:rsidRPr="00876B78">
        <w:rPr>
          <w:rFonts w:cs="Arial"/>
          <w:szCs w:val="24"/>
          <w:u w:val="single"/>
        </w:rPr>
        <w:t>par écrit</w:t>
      </w:r>
      <w:r>
        <w:rPr>
          <w:rFonts w:cs="Arial"/>
          <w:szCs w:val="24"/>
        </w:rPr>
        <w:t xml:space="preserve">,  le vendeur dans un </w:t>
      </w:r>
      <w:r w:rsidRPr="00876B78">
        <w:rPr>
          <w:rFonts w:cs="Arial"/>
          <w:szCs w:val="24"/>
          <w:u w:val="single"/>
        </w:rPr>
        <w:t>délai raisonnable</w:t>
      </w:r>
      <w:r>
        <w:rPr>
          <w:rFonts w:cs="Arial"/>
          <w:szCs w:val="24"/>
        </w:rPr>
        <w:t xml:space="preserve"> selon l’article 1738 CcQ (qui est pour l’application des articles 1723 à 1725 CcQ). Si le vendeur connaissait le problème, il ne peut pas prétendre qu’il n’a pas reçu d’avis. </w:t>
      </w:r>
    </w:p>
    <w:p w:rsidR="009615F3" w:rsidRDefault="009615F3" w:rsidP="009615F3">
      <w:pPr>
        <w:pStyle w:val="ListParagraph"/>
        <w:ind w:left="708"/>
        <w:rPr>
          <w:rFonts w:cs="Arial"/>
          <w:szCs w:val="24"/>
        </w:rPr>
      </w:pPr>
    </w:p>
    <w:p w:rsidR="009615F3" w:rsidRDefault="009615F3" w:rsidP="009615F3">
      <w:pPr>
        <w:pStyle w:val="ListParagraph"/>
        <w:ind w:left="708"/>
        <w:rPr>
          <w:rFonts w:cs="Arial"/>
          <w:szCs w:val="24"/>
        </w:rPr>
      </w:pPr>
      <w:r>
        <w:rPr>
          <w:rFonts w:cs="Arial"/>
          <w:szCs w:val="24"/>
        </w:rPr>
        <w:t xml:space="preserve">Souvent, on publie la servitude d’accès. Ceci est opposable aux tiers. Article 2941 CcQ  et article 2943 CcQ. Donc même  si le vendeur n’en parle pas ni le notaire lors de la signature, l’acheteur ne peut pas rien </w:t>
      </w:r>
      <w:r>
        <w:rPr>
          <w:rFonts w:cs="Arial"/>
          <w:szCs w:val="24"/>
        </w:rPr>
        <w:lastRenderedPageBreak/>
        <w:t>réclamer sauf pour le notaire car erreur de sa part. À partir de la publication, il y a des présomptions de connaissance envers l’acheteur.</w:t>
      </w:r>
    </w:p>
    <w:p w:rsidR="009615F3" w:rsidRDefault="009615F3" w:rsidP="009615F3">
      <w:pPr>
        <w:pStyle w:val="ListParagraph"/>
        <w:ind w:left="0"/>
        <w:rPr>
          <w:rFonts w:cs="Arial"/>
          <w:szCs w:val="24"/>
        </w:rPr>
      </w:pPr>
    </w:p>
    <w:p w:rsidR="009615F3" w:rsidRDefault="009615F3" w:rsidP="009615F3">
      <w:pPr>
        <w:pStyle w:val="ListParagraph"/>
        <w:ind w:left="708"/>
        <w:rPr>
          <w:rFonts w:cs="Arial"/>
          <w:szCs w:val="24"/>
        </w:rPr>
      </w:pPr>
      <w:r>
        <w:rPr>
          <w:rFonts w:cs="Arial"/>
          <w:szCs w:val="24"/>
        </w:rPr>
        <w:t xml:space="preserve">Recours de l’acheteur. Recours généraux : annuler la vente, réduction prix vente ou dommages intérêts Article 1604 CcQ. Si encore hypothèque, recours pour purger l’hypothèque mais très rare en pratique. Si troubles de faits du vendeur, on peut exiger du vendeur d’arrêter les troubles de faits. Si troubles par un tiers, on peut mettre le vendeur en demeure de faire cesser les troubles de faits : délai de 3 ans à côté de la connaissance. </w:t>
      </w:r>
    </w:p>
    <w:p w:rsidR="009615F3" w:rsidRDefault="009615F3" w:rsidP="009615F3">
      <w:pPr>
        <w:pStyle w:val="ListParagraph"/>
        <w:ind w:left="0"/>
        <w:rPr>
          <w:rFonts w:cs="Arial"/>
          <w:szCs w:val="24"/>
        </w:rPr>
      </w:pPr>
    </w:p>
    <w:p w:rsidR="009615F3" w:rsidRPr="00E514EA" w:rsidRDefault="009615F3" w:rsidP="009615F3">
      <w:pPr>
        <w:rPr>
          <w:rFonts w:cs="Arial"/>
          <w:szCs w:val="24"/>
        </w:rPr>
      </w:pPr>
      <w:r w:rsidRPr="00E514EA">
        <w:rPr>
          <w:rFonts w:cs="Arial"/>
          <w:szCs w:val="24"/>
        </w:rPr>
        <w:t>(2</w:t>
      </w:r>
      <w:r>
        <w:rPr>
          <w:rFonts w:cs="Arial"/>
          <w:szCs w:val="24"/>
        </w:rPr>
        <w:t xml:space="preserve">) </w:t>
      </w:r>
      <w:r w:rsidRPr="00E514EA">
        <w:rPr>
          <w:rFonts w:cs="Arial"/>
          <w:szCs w:val="24"/>
        </w:rPr>
        <w:t>Garantie contre l’empiètement. Vendeur ait garant à moins d’avis avant la vente. Article 1724 CcQ.  Il faut donc que l’empiètement soit présent au moment de la vente et non pas après la vente. Pour s’assurer qu’il n’y a pas empiètement, on prend un certificat de localisation avec un arpenteur. Pour savoir si les immeubles sont sur le terrait ou non, si les clôtures sont sur notre terrain. Si erreur par l’arpenteur, on peut le poursuivre car il a des assurances professionnels.</w:t>
      </w:r>
    </w:p>
    <w:p w:rsidR="009615F3" w:rsidRDefault="009615F3" w:rsidP="009615F3">
      <w:pPr>
        <w:rPr>
          <w:rFonts w:cs="Arial"/>
          <w:szCs w:val="24"/>
        </w:rPr>
      </w:pPr>
      <w:r>
        <w:rPr>
          <w:rFonts w:cs="Arial"/>
          <w:szCs w:val="24"/>
        </w:rPr>
        <w:t>(3) Garantie contre les limitations de droit public. En matière immobilière seulement. Article 1725 CcQ. Critères cumulatifs et doivent tous être présents pour qu’on puisse appliquer l’article 1725 CcQ.</w:t>
      </w:r>
    </w:p>
    <w:p w:rsidR="009615F3" w:rsidRDefault="009615F3" w:rsidP="009615F3">
      <w:pPr>
        <w:ind w:left="708"/>
        <w:rPr>
          <w:rFonts w:cs="Arial"/>
          <w:szCs w:val="24"/>
        </w:rPr>
      </w:pPr>
      <w:r>
        <w:rPr>
          <w:rFonts w:cs="Arial"/>
          <w:szCs w:val="24"/>
        </w:rPr>
        <w:t>1</w:t>
      </w:r>
      <w:r w:rsidRPr="00E514EA">
        <w:rPr>
          <w:rFonts w:cs="Arial"/>
          <w:szCs w:val="24"/>
          <w:vertAlign w:val="superscript"/>
        </w:rPr>
        <w:t>e</w:t>
      </w:r>
      <w:r>
        <w:rPr>
          <w:rFonts w:cs="Arial"/>
          <w:szCs w:val="24"/>
        </w:rPr>
        <w:t xml:space="preserve"> condition : il faut une limitation de droit public, une limitation qui vise la protection générale du public. Si on parle d’un droit de passage pour nos 10 voisins : pas de droit public car intérêt de particuliers. Exemple : loi sur la protection du littoral (qui veut empêcher l’érosion autour des lacs, on ne peut pas enlever la végétation ou couper des arbres dans la limite des 10 mètres de la ligne des hautes eaux). Exemple : la municipalité a une emprise sur le bord de notre terrain pour l’entretien des routes. Certaines lois visent aussi les marais ou les cours d’eau. Si marais sur terrain, on ne peut pas faire de construction sur le terrain avant d’avoir un rapport qui dit qu’aucun poisson ou grenouille ne sera en danger. </w:t>
      </w:r>
    </w:p>
    <w:p w:rsidR="009615F3" w:rsidRPr="00E514EA" w:rsidRDefault="009615F3" w:rsidP="009615F3">
      <w:pPr>
        <w:ind w:left="708"/>
        <w:rPr>
          <w:rFonts w:cs="Arial"/>
          <w:szCs w:val="24"/>
        </w:rPr>
      </w:pPr>
      <w:r>
        <w:rPr>
          <w:rFonts w:cs="Arial"/>
          <w:szCs w:val="24"/>
        </w:rPr>
        <w:t>2</w:t>
      </w:r>
      <w:r w:rsidRPr="00E514EA">
        <w:rPr>
          <w:rFonts w:cs="Arial"/>
          <w:szCs w:val="24"/>
          <w:vertAlign w:val="superscript"/>
        </w:rPr>
        <w:t>e</w:t>
      </w:r>
      <w:r>
        <w:rPr>
          <w:rFonts w:cs="Arial"/>
          <w:szCs w:val="24"/>
          <w:vertAlign w:val="superscript"/>
        </w:rPr>
        <w:t xml:space="preserve"> </w:t>
      </w:r>
      <w:r>
        <w:rPr>
          <w:rFonts w:cs="Arial"/>
          <w:szCs w:val="24"/>
        </w:rPr>
        <w:t>condition</w:t>
      </w:r>
      <w:r>
        <w:rPr>
          <w:rFonts w:cs="Arial"/>
          <w:szCs w:val="24"/>
          <w:vertAlign w:val="superscript"/>
        </w:rPr>
        <w:t> </w:t>
      </w:r>
      <w:r>
        <w:rPr>
          <w:rFonts w:cs="Arial"/>
          <w:szCs w:val="24"/>
        </w:rPr>
        <w:t>: il faut que la protection échappe aux droits communs. Exemple : règlement de zonage. Si on a un besoin patrimonial, cela échappe aux droits communs, couvert par la limitation du droit public.</w:t>
      </w:r>
    </w:p>
    <w:p w:rsidR="009615F3" w:rsidRDefault="009615F3" w:rsidP="009615F3">
      <w:pPr>
        <w:pStyle w:val="ListParagraph"/>
        <w:ind w:left="0"/>
        <w:rPr>
          <w:rFonts w:cs="Arial"/>
          <w:szCs w:val="24"/>
        </w:rPr>
      </w:pPr>
      <w:r>
        <w:rPr>
          <w:rFonts w:cs="Arial"/>
          <w:szCs w:val="24"/>
        </w:rPr>
        <w:tab/>
        <w:t>3</w:t>
      </w:r>
      <w:r w:rsidRPr="00E514EA">
        <w:rPr>
          <w:rFonts w:cs="Arial"/>
          <w:szCs w:val="24"/>
          <w:vertAlign w:val="superscript"/>
        </w:rPr>
        <w:t>e</w:t>
      </w:r>
      <w:r>
        <w:rPr>
          <w:rFonts w:cs="Arial"/>
          <w:szCs w:val="24"/>
        </w:rPr>
        <w:t xml:space="preserve"> condition : la limite existe avant la vente.</w:t>
      </w:r>
    </w:p>
    <w:p w:rsidR="009615F3" w:rsidRDefault="009615F3" w:rsidP="009615F3">
      <w:pPr>
        <w:pStyle w:val="ListParagraph"/>
        <w:ind w:left="708"/>
        <w:rPr>
          <w:rFonts w:cs="Arial"/>
          <w:szCs w:val="24"/>
        </w:rPr>
      </w:pPr>
    </w:p>
    <w:p w:rsidR="009615F3" w:rsidRDefault="009615F3" w:rsidP="009615F3">
      <w:pPr>
        <w:pStyle w:val="ListParagraph"/>
        <w:ind w:left="708"/>
        <w:rPr>
          <w:rFonts w:cs="Arial"/>
          <w:szCs w:val="24"/>
        </w:rPr>
      </w:pPr>
      <w:r>
        <w:rPr>
          <w:rFonts w:cs="Arial"/>
          <w:szCs w:val="24"/>
        </w:rPr>
        <w:t>4</w:t>
      </w:r>
      <w:r w:rsidRPr="00BC5E43">
        <w:rPr>
          <w:rFonts w:cs="Arial"/>
          <w:szCs w:val="24"/>
          <w:vertAlign w:val="superscript"/>
        </w:rPr>
        <w:t>e</w:t>
      </w:r>
      <w:r>
        <w:rPr>
          <w:rFonts w:cs="Arial"/>
          <w:szCs w:val="24"/>
        </w:rPr>
        <w:t xml:space="preserve"> condition : la limite a été violée avant la vente. </w:t>
      </w:r>
    </w:p>
    <w:p w:rsidR="009615F3" w:rsidRDefault="009615F3" w:rsidP="009615F3">
      <w:pPr>
        <w:pStyle w:val="ListParagraph"/>
        <w:ind w:left="708"/>
        <w:rPr>
          <w:rFonts w:cs="Arial"/>
          <w:szCs w:val="24"/>
        </w:rPr>
      </w:pPr>
    </w:p>
    <w:p w:rsidR="009615F3" w:rsidRDefault="009615F3" w:rsidP="009615F3">
      <w:pPr>
        <w:pStyle w:val="ListParagraph"/>
        <w:ind w:left="708"/>
        <w:rPr>
          <w:rFonts w:cs="Arial"/>
          <w:szCs w:val="24"/>
        </w:rPr>
      </w:pPr>
      <w:r>
        <w:rPr>
          <w:rFonts w:cs="Arial"/>
          <w:szCs w:val="24"/>
        </w:rPr>
        <w:t>5</w:t>
      </w:r>
      <w:r w:rsidRPr="00BC5E43">
        <w:rPr>
          <w:rFonts w:cs="Arial"/>
          <w:szCs w:val="24"/>
          <w:vertAlign w:val="superscript"/>
        </w:rPr>
        <w:t>e</w:t>
      </w:r>
      <w:r>
        <w:rPr>
          <w:rFonts w:cs="Arial"/>
          <w:szCs w:val="24"/>
        </w:rPr>
        <w:t xml:space="preserve"> condition : la limitation n’a pas été dénoncée lors de la vente</w:t>
      </w:r>
    </w:p>
    <w:p w:rsidR="009615F3" w:rsidRDefault="009615F3" w:rsidP="009615F3">
      <w:pPr>
        <w:pStyle w:val="ListParagraph"/>
        <w:ind w:left="708"/>
        <w:rPr>
          <w:rFonts w:cs="Arial"/>
          <w:szCs w:val="24"/>
        </w:rPr>
      </w:pPr>
    </w:p>
    <w:p w:rsidR="009615F3" w:rsidRDefault="009615F3" w:rsidP="009615F3">
      <w:pPr>
        <w:pStyle w:val="ListParagraph"/>
        <w:ind w:left="708"/>
        <w:rPr>
          <w:rFonts w:cs="Arial"/>
          <w:szCs w:val="24"/>
        </w:rPr>
      </w:pPr>
      <w:r>
        <w:rPr>
          <w:rFonts w:cs="Arial"/>
          <w:szCs w:val="24"/>
        </w:rPr>
        <w:t>6</w:t>
      </w:r>
      <w:r w:rsidRPr="00BC5E43">
        <w:rPr>
          <w:rFonts w:cs="Arial"/>
          <w:szCs w:val="24"/>
          <w:vertAlign w:val="superscript"/>
        </w:rPr>
        <w:t>e</w:t>
      </w:r>
      <w:r>
        <w:rPr>
          <w:rFonts w:cs="Arial"/>
          <w:szCs w:val="24"/>
        </w:rPr>
        <w:t xml:space="preserve"> condition : la limite ne doit pas avoir été publiée. Si limite publiée, aucun recours à 1725 CcQ.</w:t>
      </w:r>
    </w:p>
    <w:p w:rsidR="009615F3" w:rsidRDefault="009615F3" w:rsidP="009615F3">
      <w:pPr>
        <w:pStyle w:val="ListParagraph"/>
        <w:ind w:left="708"/>
        <w:rPr>
          <w:rFonts w:cs="Arial"/>
          <w:szCs w:val="24"/>
        </w:rPr>
      </w:pPr>
    </w:p>
    <w:p w:rsidR="009615F3" w:rsidRDefault="009615F3" w:rsidP="009615F3">
      <w:pPr>
        <w:pStyle w:val="ListParagraph"/>
        <w:ind w:left="708"/>
        <w:rPr>
          <w:rFonts w:cs="Arial"/>
          <w:szCs w:val="24"/>
        </w:rPr>
      </w:pPr>
      <w:r>
        <w:rPr>
          <w:rFonts w:cs="Arial"/>
          <w:szCs w:val="24"/>
        </w:rPr>
        <w:lastRenderedPageBreak/>
        <w:t>7</w:t>
      </w:r>
      <w:r w:rsidRPr="00BC5E43">
        <w:rPr>
          <w:rFonts w:cs="Arial"/>
          <w:szCs w:val="24"/>
          <w:vertAlign w:val="superscript"/>
        </w:rPr>
        <w:t>e</w:t>
      </w:r>
      <w:r>
        <w:rPr>
          <w:rFonts w:cs="Arial"/>
          <w:szCs w:val="24"/>
        </w:rPr>
        <w:t xml:space="preserve"> condition : l’acheteur a été prudent et diligent. </w:t>
      </w:r>
    </w:p>
    <w:p w:rsidR="009615F3" w:rsidRDefault="009615F3" w:rsidP="009615F3">
      <w:pPr>
        <w:pStyle w:val="ListParagraph"/>
        <w:ind w:left="0"/>
        <w:rPr>
          <w:rFonts w:cs="Arial"/>
          <w:szCs w:val="24"/>
        </w:rPr>
      </w:pPr>
    </w:p>
    <w:p w:rsidR="009615F3" w:rsidRDefault="009615F3" w:rsidP="009615F3">
      <w:pPr>
        <w:pStyle w:val="ListParagraph"/>
        <w:ind w:left="708"/>
        <w:rPr>
          <w:rFonts w:cs="Arial"/>
          <w:szCs w:val="24"/>
        </w:rPr>
      </w:pPr>
      <w:r>
        <w:rPr>
          <w:rFonts w:cs="Arial"/>
          <w:szCs w:val="24"/>
        </w:rPr>
        <w:t>Recours : il faut commencer par un avis de dénonciation, article 1738 CcQ. On peut amener le vendeur en garantie.</w:t>
      </w:r>
    </w:p>
    <w:p w:rsidR="009615F3" w:rsidRDefault="009615F3" w:rsidP="009615F3">
      <w:pPr>
        <w:pStyle w:val="ListParagraph"/>
        <w:ind w:left="708"/>
        <w:rPr>
          <w:rFonts w:cs="Arial"/>
          <w:szCs w:val="24"/>
        </w:rPr>
      </w:pPr>
    </w:p>
    <w:p w:rsidR="009615F3" w:rsidRDefault="009615F3" w:rsidP="009615F3">
      <w:pPr>
        <w:pStyle w:val="ListParagraph"/>
        <w:ind w:left="708"/>
        <w:rPr>
          <w:rFonts w:cs="Arial"/>
          <w:szCs w:val="24"/>
        </w:rPr>
      </w:pPr>
      <w:r>
        <w:rPr>
          <w:rFonts w:cs="Arial"/>
          <w:szCs w:val="24"/>
        </w:rPr>
        <w:t xml:space="preserve">Exemple : une personne qui  veut aller chercher une vignette de stationnement à Montréal. On lui dit que déjà 2 vignettes pour logement donc pas droit de 3 vignettes car il y a seulement deux logements. Or, il y avait trois logements. Pas de permis pour 3 logements par cela était non conforme au règlement de zonage. Poursuite du vendeur du logement pour que celui-ci soit modifié pour répondre aux règles de zonage. </w:t>
      </w:r>
    </w:p>
    <w:p w:rsidR="009615F3" w:rsidRDefault="009615F3" w:rsidP="009615F3">
      <w:pPr>
        <w:pStyle w:val="ListParagraph"/>
        <w:ind w:left="0"/>
        <w:rPr>
          <w:rFonts w:cs="Arial"/>
          <w:szCs w:val="24"/>
        </w:rPr>
      </w:pPr>
    </w:p>
    <w:p w:rsidR="009615F3" w:rsidRDefault="009615F3" w:rsidP="009615F3">
      <w:pPr>
        <w:pStyle w:val="ListParagraph"/>
        <w:ind w:left="0"/>
        <w:rPr>
          <w:rFonts w:cs="Arial"/>
          <w:szCs w:val="24"/>
        </w:rPr>
      </w:pPr>
    </w:p>
    <w:p w:rsidR="009615F3" w:rsidRPr="006261E4" w:rsidRDefault="009615F3" w:rsidP="009615F3">
      <w:pPr>
        <w:pStyle w:val="ListParagraph"/>
        <w:ind w:left="0"/>
        <w:rPr>
          <w:rFonts w:cs="Arial"/>
          <w:i/>
          <w:szCs w:val="24"/>
          <w:u w:val="single"/>
        </w:rPr>
      </w:pPr>
      <w:r w:rsidRPr="00A52B9C">
        <w:rPr>
          <w:rFonts w:cs="Arial"/>
          <w:i/>
          <w:szCs w:val="24"/>
          <w:u w:val="single"/>
        </w:rPr>
        <w:t>Cours 7, le 17 f</w:t>
      </w:r>
      <w:r w:rsidRPr="006261E4">
        <w:rPr>
          <w:rFonts w:cs="Arial"/>
          <w:i/>
          <w:szCs w:val="24"/>
          <w:u w:val="single"/>
        </w:rPr>
        <w:t>évrier 2011</w:t>
      </w:r>
    </w:p>
    <w:p w:rsidR="009615F3" w:rsidRPr="006261E4" w:rsidRDefault="009615F3" w:rsidP="009615F3">
      <w:pPr>
        <w:pStyle w:val="ListParagraph"/>
        <w:ind w:left="0"/>
        <w:rPr>
          <w:rFonts w:cs="Arial"/>
          <w:szCs w:val="24"/>
        </w:rPr>
      </w:pPr>
    </w:p>
    <w:p w:rsidR="009615F3" w:rsidRDefault="009615F3" w:rsidP="009615F3">
      <w:pPr>
        <w:rPr>
          <w:rFonts w:cs="Arial"/>
          <w:szCs w:val="24"/>
        </w:rPr>
      </w:pPr>
      <w:r>
        <w:rPr>
          <w:rFonts w:cs="Arial"/>
          <w:szCs w:val="24"/>
        </w:rPr>
        <w:t>B.Modifications conventionnelles</w:t>
      </w:r>
    </w:p>
    <w:p w:rsidR="009615F3" w:rsidRDefault="009615F3" w:rsidP="009615F3">
      <w:pPr>
        <w:rPr>
          <w:rFonts w:cs="Arial"/>
          <w:szCs w:val="24"/>
        </w:rPr>
      </w:pPr>
      <w:r>
        <w:rPr>
          <w:rFonts w:cs="Arial"/>
          <w:szCs w:val="24"/>
        </w:rPr>
        <w:t>-Articles 1732 et 1733 CcQ.</w:t>
      </w:r>
    </w:p>
    <w:p w:rsidR="009615F3" w:rsidRDefault="009615F3" w:rsidP="009615F3">
      <w:pPr>
        <w:rPr>
          <w:rFonts w:cs="Arial"/>
          <w:szCs w:val="24"/>
        </w:rPr>
      </w:pPr>
      <w:r>
        <w:rPr>
          <w:rFonts w:cs="Arial"/>
          <w:szCs w:val="24"/>
        </w:rPr>
        <w:t>-Article 1732 : on ne peut jamais exclure sa responsabilité pour ses faits personnels. Article 1733 CcQ : le vendeur ne peut exclure sa responsabilité s’il connaissait le vice ou aurait dû le connaître. Sauf si vente à ses risques et périls par un vendeur professionnel. ?</w:t>
      </w:r>
    </w:p>
    <w:p w:rsidR="009615F3" w:rsidRDefault="009615F3" w:rsidP="009615F3">
      <w:pPr>
        <w:rPr>
          <w:rFonts w:cs="Arial"/>
          <w:szCs w:val="24"/>
        </w:rPr>
      </w:pPr>
      <w:r>
        <w:rPr>
          <w:rFonts w:cs="Arial"/>
          <w:szCs w:val="24"/>
        </w:rPr>
        <w:t>-Clause d’exclusion de garantie : aux risques et périls de l’acheteur. Sans garantie n’est pas une clause valide.</w:t>
      </w:r>
    </w:p>
    <w:p w:rsidR="009615F3" w:rsidRDefault="009615F3" w:rsidP="009615F3">
      <w:pPr>
        <w:rPr>
          <w:rFonts w:cs="Arial"/>
          <w:szCs w:val="24"/>
        </w:rPr>
      </w:pPr>
      <w:r>
        <w:rPr>
          <w:rFonts w:cs="Arial"/>
          <w:szCs w:val="24"/>
        </w:rPr>
        <w:t>II. La garantie de qualité</w:t>
      </w:r>
    </w:p>
    <w:p w:rsidR="009615F3" w:rsidRDefault="009615F3" w:rsidP="009615F3">
      <w:pPr>
        <w:rPr>
          <w:rFonts w:cs="Arial"/>
          <w:szCs w:val="24"/>
        </w:rPr>
      </w:pPr>
      <w:r>
        <w:rPr>
          <w:rFonts w:cs="Arial"/>
          <w:szCs w:val="24"/>
        </w:rPr>
        <w:t>-La Lpc va plus loin que le CcQ.</w:t>
      </w:r>
    </w:p>
    <w:p w:rsidR="009615F3" w:rsidRDefault="009615F3" w:rsidP="009615F3">
      <w:pPr>
        <w:rPr>
          <w:rFonts w:cs="Arial"/>
          <w:szCs w:val="24"/>
        </w:rPr>
      </w:pPr>
      <w:r>
        <w:rPr>
          <w:rFonts w:cs="Arial"/>
          <w:szCs w:val="24"/>
        </w:rPr>
        <w:t>-Articles 1726 à 1731 CcQ. Vient automatiquement avec tout contrat de vente. Sauf l’exception de la vente sous contrôle de justice article 1731 CcQ.</w:t>
      </w:r>
    </w:p>
    <w:p w:rsidR="009615F3" w:rsidRDefault="009615F3" w:rsidP="009615F3">
      <w:pPr>
        <w:rPr>
          <w:rFonts w:cs="Arial"/>
          <w:szCs w:val="24"/>
        </w:rPr>
      </w:pPr>
    </w:p>
    <w:p w:rsidR="009615F3" w:rsidRDefault="009615F3" w:rsidP="009615F3">
      <w:pPr>
        <w:rPr>
          <w:rFonts w:cs="Arial"/>
          <w:szCs w:val="24"/>
        </w:rPr>
      </w:pPr>
      <w:r>
        <w:rPr>
          <w:rFonts w:cs="Arial"/>
          <w:szCs w:val="24"/>
        </w:rPr>
        <w:t>-Conditions d’applications : il faut démontrer tous les éléments (le demandeur a le fardeau de preuve)</w:t>
      </w:r>
    </w:p>
    <w:p w:rsidR="009615F3" w:rsidRDefault="009615F3" w:rsidP="009615F3">
      <w:pPr>
        <w:ind w:left="708"/>
        <w:rPr>
          <w:rFonts w:cs="Arial"/>
          <w:szCs w:val="24"/>
        </w:rPr>
      </w:pPr>
      <w:r>
        <w:rPr>
          <w:rFonts w:cs="Arial"/>
          <w:szCs w:val="24"/>
        </w:rPr>
        <w:t>(1) Il faut que le vice soit nuisible à l’utilisation du bien. Il faut que le vice empêche l’utilisation normale. Comme on a vu dans la présentation hier, si défaut code de bâtiment et pas de problème d’utilité, ce n’est pas évident qu’il s’agira d’un vice caché en cour.</w:t>
      </w:r>
    </w:p>
    <w:p w:rsidR="009615F3" w:rsidRDefault="009615F3" w:rsidP="009615F3">
      <w:pPr>
        <w:ind w:left="708"/>
        <w:rPr>
          <w:rFonts w:cs="Arial"/>
          <w:szCs w:val="24"/>
        </w:rPr>
      </w:pPr>
      <w:r>
        <w:rPr>
          <w:rFonts w:cs="Arial"/>
          <w:szCs w:val="24"/>
        </w:rPr>
        <w:t xml:space="preserve">(2) Il faut que le vice soit d’une certaine gravité. On regarde par exemple la valeur du défaut, du vice. Réparation d’entretien n’est pas un vice caché. On doit normalement mettre de 1 à 4% de la valeur de la maison en entretien par année. Attention ce n’est pas une règle. Si on doit </w:t>
      </w:r>
      <w:r>
        <w:rPr>
          <w:rFonts w:cs="Arial"/>
          <w:szCs w:val="24"/>
        </w:rPr>
        <w:lastRenderedPageBreak/>
        <w:t xml:space="preserve">dépenser 16 000$ sur une maison de 400 000$ peut constituer un vice caché quand même. </w:t>
      </w:r>
    </w:p>
    <w:p w:rsidR="009615F3" w:rsidRDefault="009615F3" w:rsidP="009615F3">
      <w:pPr>
        <w:ind w:left="708"/>
        <w:rPr>
          <w:rFonts w:cs="Arial"/>
          <w:szCs w:val="24"/>
        </w:rPr>
      </w:pPr>
      <w:r>
        <w:rPr>
          <w:rFonts w:cs="Arial"/>
          <w:szCs w:val="24"/>
        </w:rPr>
        <w:t>(3) Il faut que le vice soit caché. Exemple des souris dans les murs, on ne peut pas les voir. Exemple : les drains français ne sont pas visibles. Souvent ils peuvent bloquer et l’eau peut rentrer à l’intérieur des maisons : infiltration d’eau. Donc ici vice caché si drains bloqués. Mais si fissure dans la fondation devrait être vu par un acheteur prudent et diligent. Si moisissures tout le long d’un mur, c’est probablement qu’il y a un problème avec drains et infiltration d’eau; un acheteur prudent et diligent aurait dû découvrir ce problème. Vice caché VS vice apparent. Bardeaux qui frisent : fini apparent. Si acheteur en janvier et qu’on ne voit pas les bardeaux, l’acheteur prudent et diligent ne demande pas de déneiger le toit. Donc même un vice qui aurait dû être apparent pourrait être caché dans certaines circonstances. On doit au minimum aller voir dans le grenier pour les infiltrations d’eau.</w:t>
      </w:r>
    </w:p>
    <w:p w:rsidR="009615F3" w:rsidRDefault="009615F3" w:rsidP="009615F3">
      <w:pPr>
        <w:ind w:left="708"/>
        <w:rPr>
          <w:rFonts w:cs="Arial"/>
          <w:szCs w:val="24"/>
        </w:rPr>
      </w:pPr>
      <w:r>
        <w:rPr>
          <w:rFonts w:cs="Arial"/>
          <w:szCs w:val="24"/>
        </w:rPr>
        <w:t>(4) Il faut que le vice soit inconnu de l’acheteur. L’agent immobilier a un formulaire type qui s’appelle déclaration du vendeur. Cette déclaration du vendeur peut faire en sorte qu’on ne puisse plus poursuivre pour vice caché. Si on sait qu’il y a eu infiltration, l’acheteur doit s’assurer des réparations qui ont été faites. Le vendeur devrait déclarer tout ce qui s’est passé pour se protéger contre les poursuites éventuelles. Si le vendeur connaissait le vice mais ne l’a pas déclaré, il peut être responsable des coûts de réparation mais aussi des dommages et intérêts. Article 1728 CcQ. Sous l’article 272 Lpc, on peut demander en plus des dommages punitifs pour ceci. ATTENTION. Dans la déclaration du vendeur, il va dire depuis quand il a acheté l’immeuble, les réparations effectuées, et chacun des systèmes de la maison, s’il y a eu problème.</w:t>
      </w:r>
    </w:p>
    <w:p w:rsidR="009615F3" w:rsidRDefault="009615F3" w:rsidP="009615F3">
      <w:pPr>
        <w:ind w:left="708"/>
        <w:rPr>
          <w:rFonts w:cs="Arial"/>
          <w:szCs w:val="24"/>
        </w:rPr>
      </w:pPr>
      <w:r>
        <w:rPr>
          <w:rFonts w:cs="Arial"/>
          <w:szCs w:val="24"/>
        </w:rPr>
        <w:t>(5) Il faut que le vice soit antérieur à la vente. Il faut démontrer que le problème existait avant la vente. Genre 5 ans après l’achat, infiltration d’eau, plus difficile à prouver. Autre exemple : fondation avec pyrite.</w:t>
      </w:r>
    </w:p>
    <w:p w:rsidR="009615F3" w:rsidRDefault="009615F3" w:rsidP="009615F3">
      <w:pPr>
        <w:pStyle w:val="ListParagraph"/>
        <w:numPr>
          <w:ilvl w:val="0"/>
          <w:numId w:val="4"/>
        </w:numPr>
        <w:rPr>
          <w:rFonts w:cs="Arial"/>
          <w:szCs w:val="24"/>
        </w:rPr>
      </w:pPr>
      <w:r w:rsidRPr="00773AEE">
        <w:rPr>
          <w:rFonts w:cs="Arial"/>
          <w:szCs w:val="24"/>
        </w:rPr>
        <w:t>Ne pas oublier l’avis de dénonciation si on veut poursuivre en garantie.</w:t>
      </w:r>
    </w:p>
    <w:p w:rsidR="009615F3" w:rsidRDefault="009615F3" w:rsidP="009615F3">
      <w:pPr>
        <w:pStyle w:val="ListParagraph"/>
        <w:ind w:left="1428"/>
        <w:rPr>
          <w:rFonts w:cs="Arial"/>
          <w:szCs w:val="24"/>
        </w:rPr>
      </w:pPr>
    </w:p>
    <w:p w:rsidR="009615F3" w:rsidRPr="006D0490" w:rsidRDefault="009615F3" w:rsidP="009615F3">
      <w:pPr>
        <w:pStyle w:val="ListParagraph"/>
        <w:numPr>
          <w:ilvl w:val="0"/>
          <w:numId w:val="3"/>
        </w:numPr>
        <w:rPr>
          <w:rFonts w:cs="Arial"/>
          <w:szCs w:val="24"/>
        </w:rPr>
      </w:pPr>
      <w:r w:rsidRPr="006D0490">
        <w:rPr>
          <w:rFonts w:cs="Arial"/>
          <w:szCs w:val="24"/>
        </w:rPr>
        <w:t>Il faut que le vice a été dénoncé par écrit au vendeur dans un délai raisonnable, par courrier recommandé ou par huissier. Article 1739 CcQ. On y explique le problème pour que le vendeur le sache. On lui donne une délai pour répondre, venir constater lui-même et réparer lui-même les problèmes.</w:t>
      </w:r>
    </w:p>
    <w:p w:rsidR="009615F3" w:rsidRDefault="009615F3" w:rsidP="009615F3">
      <w:pPr>
        <w:pStyle w:val="ListParagraph"/>
        <w:rPr>
          <w:rFonts w:cs="Arial"/>
          <w:szCs w:val="24"/>
        </w:rPr>
      </w:pPr>
    </w:p>
    <w:p w:rsidR="009615F3" w:rsidRDefault="009615F3" w:rsidP="009615F3">
      <w:pPr>
        <w:pStyle w:val="ListParagraph"/>
        <w:rPr>
          <w:rFonts w:cs="Arial"/>
          <w:szCs w:val="24"/>
        </w:rPr>
      </w:pPr>
      <w:r>
        <w:rPr>
          <w:rFonts w:cs="Arial"/>
          <w:szCs w:val="24"/>
        </w:rPr>
        <w:t xml:space="preserve">Lors d’une rencontre avec le client, on lui demande d’apporter </w:t>
      </w:r>
      <w:r w:rsidRPr="008075AF">
        <w:rPr>
          <w:rFonts w:cs="Arial"/>
          <w:szCs w:val="24"/>
          <w:u w:val="single"/>
        </w:rPr>
        <w:t>l’offre d’achat et la déclaration du vendeur</w:t>
      </w:r>
      <w:r>
        <w:rPr>
          <w:rFonts w:cs="Arial"/>
          <w:szCs w:val="24"/>
        </w:rPr>
        <w:t xml:space="preserve">. Aussi </w:t>
      </w:r>
      <w:r w:rsidRPr="008075AF">
        <w:rPr>
          <w:rFonts w:cs="Arial"/>
          <w:szCs w:val="24"/>
          <w:u w:val="single"/>
        </w:rPr>
        <w:t>l’acte d’acquisition</w:t>
      </w:r>
      <w:r>
        <w:rPr>
          <w:rFonts w:cs="Arial"/>
          <w:szCs w:val="24"/>
        </w:rPr>
        <w:t xml:space="preserve"> pour vérifier si le bien a été vendu avec ou sans garantie légale. Aussi, le </w:t>
      </w:r>
      <w:r w:rsidRPr="008075AF">
        <w:rPr>
          <w:rFonts w:cs="Arial"/>
          <w:szCs w:val="24"/>
          <w:u w:val="single"/>
        </w:rPr>
        <w:t xml:space="preserve">rapport </w:t>
      </w:r>
      <w:r>
        <w:rPr>
          <w:rFonts w:cs="Arial"/>
          <w:szCs w:val="24"/>
          <w:u w:val="single"/>
        </w:rPr>
        <w:t>d</w:t>
      </w:r>
      <w:r w:rsidRPr="008075AF">
        <w:rPr>
          <w:rFonts w:cs="Arial"/>
          <w:szCs w:val="24"/>
          <w:u w:val="single"/>
        </w:rPr>
        <w:t>’inspection pré-achat</w:t>
      </w:r>
      <w:r>
        <w:rPr>
          <w:rFonts w:cs="Arial"/>
          <w:szCs w:val="24"/>
        </w:rPr>
        <w:t xml:space="preserve"> pour découvrir les problèmes avec la maison. Une maison devrait avoir des gouttières et une pente qui part de la maison. Si </w:t>
      </w:r>
      <w:r>
        <w:rPr>
          <w:rFonts w:cs="Arial"/>
          <w:szCs w:val="24"/>
        </w:rPr>
        <w:lastRenderedPageBreak/>
        <w:t>pas le cas, alors peut-être un vice apparent et non pas caché car un acheteur prudent et diligent devrait vérifier ça. Si un vendeur ne veut pas signer de déclaration du vendeur, problème là, il faut se poser des questions…Aussi, on demande s’il y a eu avis de dénonciation. Si oui, on veut la preuve et si pas fait, on lui demande de le faire. Aussi, on peut demander des estimations de constructeur pour réparer avant de prendre des décisions.</w:t>
      </w:r>
    </w:p>
    <w:p w:rsidR="009615F3" w:rsidRDefault="009615F3" w:rsidP="009615F3">
      <w:pPr>
        <w:pStyle w:val="ListParagraph"/>
        <w:rPr>
          <w:rFonts w:cs="Arial"/>
          <w:szCs w:val="24"/>
        </w:rPr>
      </w:pPr>
    </w:p>
    <w:p w:rsidR="009615F3" w:rsidRDefault="009615F3" w:rsidP="009615F3">
      <w:pPr>
        <w:pStyle w:val="ListParagraph"/>
        <w:rPr>
          <w:rFonts w:cs="Arial"/>
          <w:szCs w:val="24"/>
        </w:rPr>
      </w:pPr>
      <w:r>
        <w:rPr>
          <w:rFonts w:cs="Arial"/>
          <w:szCs w:val="24"/>
        </w:rPr>
        <w:t xml:space="preserve">Un dossier en vice caché, souvent cela se règle hors cours. Il faut limiter les coûts des gens. Si dossier en vice caché pour remplacer des drains français, si 12 000$ pour réparations et les frais d’avocats et d’expertises plus élevés…Si cela ne se règle pas, aller en conférence de règlement à l’amiable. </w:t>
      </w:r>
    </w:p>
    <w:p w:rsidR="009615F3" w:rsidRDefault="009615F3" w:rsidP="009615F3">
      <w:pPr>
        <w:pStyle w:val="ListParagraph"/>
        <w:rPr>
          <w:rFonts w:cs="Arial"/>
          <w:szCs w:val="24"/>
        </w:rPr>
      </w:pPr>
    </w:p>
    <w:p w:rsidR="009615F3" w:rsidRDefault="009615F3" w:rsidP="009615F3">
      <w:pPr>
        <w:pStyle w:val="ListParagraph"/>
        <w:rPr>
          <w:rFonts w:cs="Arial"/>
          <w:szCs w:val="24"/>
        </w:rPr>
      </w:pPr>
      <w:r>
        <w:rPr>
          <w:rFonts w:cs="Arial"/>
          <w:szCs w:val="24"/>
        </w:rPr>
        <w:t>Maintenant, pour tous les dossiers de plus d’une journée, il faut signer un formulaire conjoint pour dénoncer le montant dépensé pour les frais d’expertise et les frais d’avocats. Problème avec le juge si on n’a trop dépensé car article 4.2 Cpc : proportionnalité des frais et des dépenses.</w:t>
      </w:r>
    </w:p>
    <w:p w:rsidR="009615F3" w:rsidRDefault="009615F3" w:rsidP="009615F3">
      <w:pPr>
        <w:pStyle w:val="ListParagraph"/>
        <w:rPr>
          <w:rFonts w:cs="Arial"/>
          <w:szCs w:val="24"/>
        </w:rPr>
      </w:pPr>
    </w:p>
    <w:p w:rsidR="009615F3" w:rsidRDefault="009615F3" w:rsidP="009615F3">
      <w:pPr>
        <w:pStyle w:val="ListParagraph"/>
        <w:ind w:left="0"/>
        <w:rPr>
          <w:rFonts w:cs="Arial"/>
          <w:szCs w:val="24"/>
        </w:rPr>
      </w:pPr>
      <w:r>
        <w:rPr>
          <w:rFonts w:cs="Arial"/>
          <w:szCs w:val="24"/>
        </w:rPr>
        <w:t>Le vendeur est responsable de garantir tout ceci. Mais il y a aussi des autres personnes qui sont responsables.</w:t>
      </w:r>
    </w:p>
    <w:p w:rsidR="009615F3" w:rsidRDefault="009615F3" w:rsidP="009615F3">
      <w:pPr>
        <w:pStyle w:val="ListParagraph"/>
        <w:ind w:left="0"/>
        <w:rPr>
          <w:rFonts w:cs="Arial"/>
          <w:szCs w:val="24"/>
        </w:rPr>
      </w:pPr>
      <w:r>
        <w:rPr>
          <w:rFonts w:cs="Arial"/>
          <w:szCs w:val="24"/>
        </w:rPr>
        <w:t>Article 1730 CcQ : tout le monde dans la chaine est responsable des dommages. Exemple : problème avec une auto et concessionnaire dit que garantie finie, on envoie une mise en demeure au fabricant. Exemple : on achète un véhicule usagé, on poursuit directement le fabricant ou le vendeur original.</w:t>
      </w:r>
    </w:p>
    <w:p w:rsidR="009615F3" w:rsidRDefault="009615F3" w:rsidP="009615F3">
      <w:pPr>
        <w:pStyle w:val="ListParagraph"/>
        <w:rPr>
          <w:rFonts w:cs="Arial"/>
          <w:szCs w:val="24"/>
        </w:rPr>
      </w:pPr>
    </w:p>
    <w:p w:rsidR="009615F3" w:rsidRDefault="009615F3" w:rsidP="009615F3">
      <w:pPr>
        <w:pStyle w:val="ListParagraph"/>
        <w:ind w:left="0"/>
        <w:rPr>
          <w:rFonts w:cs="Arial"/>
          <w:szCs w:val="24"/>
        </w:rPr>
      </w:pPr>
      <w:r>
        <w:rPr>
          <w:rFonts w:cs="Arial"/>
          <w:szCs w:val="24"/>
        </w:rPr>
        <w:t xml:space="preserve">Article 1442 CcQ : un contrat comprend tous ces accessoires. Une garantie est un accessoire à un contrat de vente. En vertu de 1442, on transmet la garantie, donc c’est pour ça qu’on peut avoir recours contre tous les vendeurs antérieurs. </w:t>
      </w:r>
    </w:p>
    <w:p w:rsidR="009615F3" w:rsidRDefault="009615F3" w:rsidP="009615F3">
      <w:pPr>
        <w:pStyle w:val="ListParagraph"/>
        <w:ind w:left="0"/>
        <w:rPr>
          <w:rFonts w:cs="Arial"/>
          <w:szCs w:val="24"/>
        </w:rPr>
      </w:pPr>
    </w:p>
    <w:p w:rsidR="009615F3" w:rsidRPr="006D0490" w:rsidRDefault="009615F3" w:rsidP="009615F3">
      <w:pPr>
        <w:pStyle w:val="ListParagraph"/>
        <w:ind w:left="0"/>
        <w:rPr>
          <w:rFonts w:cs="Arial"/>
          <w:szCs w:val="24"/>
        </w:rPr>
      </w:pPr>
      <w:r>
        <w:rPr>
          <w:rFonts w:cs="Arial"/>
          <w:szCs w:val="24"/>
        </w:rPr>
        <w:t xml:space="preserve">Donc si on connait le problème, on ne parle pas et on vend aux risques et périls pour l’acheteur et on se protège ainsi. </w:t>
      </w:r>
    </w:p>
    <w:p w:rsidR="009615F3" w:rsidRDefault="009615F3" w:rsidP="009615F3">
      <w:pPr>
        <w:rPr>
          <w:rFonts w:cs="Arial"/>
          <w:szCs w:val="24"/>
        </w:rPr>
      </w:pPr>
      <w:r>
        <w:rPr>
          <w:rFonts w:cs="Arial"/>
          <w:szCs w:val="24"/>
        </w:rPr>
        <w:t>Renvoi aux articles 37 et 38 Lpc. Cause vice caché pour véhicule Honda acheté sans garantie légale que le moteur est en mauvaise condition. Le vendeur avait mis de l’huile à tracteur dans son moteur. Pas de garantie conventionnelle car 100K$ fini. Articles 37</w:t>
      </w:r>
      <w:r>
        <w:rPr>
          <w:rFonts w:cs="Arial"/>
          <w:szCs w:val="24"/>
          <w:vertAlign w:val="superscript"/>
        </w:rPr>
        <w:t xml:space="preserve"> </w:t>
      </w:r>
      <w:r>
        <w:rPr>
          <w:rFonts w:cs="Arial"/>
          <w:szCs w:val="24"/>
        </w:rPr>
        <w:t xml:space="preserve">et 38 Lpc vient protéger l’acheteuse. Aucune clause de non garantie n’est valide. Article 53 Lpc : présomption absolue. Clause de limitation de garantie : interdit par l’article 10 Lpc. « Sans garantie légale » ne fonctionne pas pour se dégager de sa responsabilité selon la Lpc. </w:t>
      </w:r>
    </w:p>
    <w:p w:rsidR="009615F3" w:rsidRDefault="009615F3" w:rsidP="009615F3">
      <w:pPr>
        <w:rPr>
          <w:rFonts w:cs="Arial"/>
          <w:szCs w:val="24"/>
        </w:rPr>
      </w:pPr>
    </w:p>
    <w:p w:rsidR="009615F3" w:rsidRPr="00FF57C3" w:rsidRDefault="009615F3" w:rsidP="009615F3">
      <w:pPr>
        <w:rPr>
          <w:rFonts w:cs="Arial"/>
          <w:i/>
          <w:szCs w:val="24"/>
          <w:u w:val="single"/>
        </w:rPr>
      </w:pPr>
      <w:r w:rsidRPr="00FF57C3">
        <w:rPr>
          <w:rFonts w:cs="Arial"/>
          <w:i/>
          <w:szCs w:val="24"/>
          <w:u w:val="single"/>
        </w:rPr>
        <w:t>Cours 8, le 2 mars 2011</w:t>
      </w:r>
    </w:p>
    <w:p w:rsidR="009615F3" w:rsidRDefault="009615F3" w:rsidP="009615F3">
      <w:pPr>
        <w:rPr>
          <w:rFonts w:cs="Arial"/>
          <w:szCs w:val="24"/>
        </w:rPr>
      </w:pPr>
      <w:r>
        <w:rPr>
          <w:rFonts w:cs="Arial"/>
          <w:szCs w:val="24"/>
        </w:rPr>
        <w:t>Situations où les 6 conditions ne sont pas nécessaires à démontrer :</w:t>
      </w:r>
    </w:p>
    <w:p w:rsidR="009615F3" w:rsidRDefault="009615F3" w:rsidP="009615F3">
      <w:pPr>
        <w:rPr>
          <w:rFonts w:cs="Arial"/>
          <w:szCs w:val="24"/>
        </w:rPr>
      </w:pPr>
      <w:bookmarkStart w:id="23" w:name="_Toc289807018"/>
      <w:r w:rsidRPr="000A2C18">
        <w:rPr>
          <w:rStyle w:val="Heading1Char"/>
          <w:rFonts w:eastAsia="Calibri"/>
        </w:rPr>
        <w:lastRenderedPageBreak/>
        <w:t>Principe de vétusté</w:t>
      </w:r>
      <w:bookmarkEnd w:id="23"/>
      <w:r>
        <w:rPr>
          <w:rFonts w:cs="Arial"/>
          <w:szCs w:val="24"/>
        </w:rPr>
        <w:t> : permet de prendre un recours même si on ne rencontre pas les 6 conditions de la garantie de 1726 CcW. Un bien vétuste n’est pas un vice caché. Exemple : champ septique a une durée de vie de 30 ans, on ne peut pas poursuivre s’il a 35 ans. Si le champ septique a 20 ans lors de l’achat, il faut appliquer une dépréciation de la réclamation lors d’une réclamation pour vice caché. Est-ce que cette dépréciation va être accordée par le tribunal? NON c’est au vendeur de mettre en preuve devant le juge qu’il devrait y avoir dépréciation sur la durée d’un bien.</w:t>
      </w:r>
    </w:p>
    <w:p w:rsidR="009615F3" w:rsidRPr="007A3CBE" w:rsidRDefault="009615F3" w:rsidP="009615F3">
      <w:pPr>
        <w:rPr>
          <w:rFonts w:cs="Arial"/>
          <w:szCs w:val="24"/>
        </w:rPr>
      </w:pPr>
      <w:r>
        <w:rPr>
          <w:rFonts w:cs="Arial"/>
          <w:szCs w:val="24"/>
        </w:rPr>
        <w:t xml:space="preserve">Principe de vice juridiquement caché aussi nous permet de faire un recours sans les 6 conditions : si le vendeur nous réassure sur la condition du bien et que le problème a été réglé par exemple, et ce même si le problème était apparent. Si ceci se produit lors d’une vente, il faut idéalement mettre ceci dans la déclaration du vendeur qu’il signe comme ça on a une belle preuve. </w:t>
      </w:r>
    </w:p>
    <w:p w:rsidR="009615F3" w:rsidRDefault="009615F3" w:rsidP="009615F3">
      <w:pPr>
        <w:rPr>
          <w:rFonts w:cs="Arial"/>
          <w:szCs w:val="24"/>
        </w:rPr>
      </w:pPr>
      <w:r>
        <w:rPr>
          <w:rFonts w:cs="Arial"/>
          <w:szCs w:val="24"/>
        </w:rPr>
        <w:t xml:space="preserve"> Dernière situation lorsqu’on ne rencontre pas les 6 conditions : le dol. Le vendeur omet de dire des choses, ment ou fraude. On a juste à démontrer qu’il y a eu dol pour pouvoir faire une réclamation. Est-ce qu’on doit dénoncer selon l’article 1739 CcQ? Pas obligatoire dans le cas d’un dol.</w:t>
      </w:r>
    </w:p>
    <w:p w:rsidR="009615F3" w:rsidRDefault="009615F3" w:rsidP="009615F3">
      <w:pPr>
        <w:rPr>
          <w:rFonts w:cs="Arial"/>
          <w:szCs w:val="24"/>
        </w:rPr>
      </w:pPr>
      <w:r>
        <w:rPr>
          <w:rFonts w:cs="Arial"/>
          <w:szCs w:val="24"/>
        </w:rPr>
        <w:t>Exclusion de garantie : 1 article important 1733 CcQ. Un vendeur non professionnel a la possibilité d’exclure sa garantie mais le vendeur professionnel a beaucoup de difficulté à faire de même à cause de l’article 1729 CcQ (présomption de connaissance du vice pour le vendeur professionnel). Cause Zagros Developpement (Honda Civic avec exclusion de garantie : pas valide pour le vendeur professionnel).</w:t>
      </w:r>
    </w:p>
    <w:p w:rsidR="009615F3" w:rsidRDefault="009615F3" w:rsidP="009615F3">
      <w:pPr>
        <w:rPr>
          <w:rFonts w:cs="Arial"/>
          <w:szCs w:val="24"/>
        </w:rPr>
      </w:pPr>
      <w:r>
        <w:rPr>
          <w:rFonts w:cs="Arial"/>
          <w:szCs w:val="24"/>
        </w:rPr>
        <w:t>Article 1730 CcQ. Tout le monde peut être poursuivi. Si on poursuit le distributeur, son recours à lui : poursuite en garantie du fabricant.</w:t>
      </w:r>
    </w:p>
    <w:p w:rsidR="009615F3" w:rsidRDefault="009615F3" w:rsidP="009615F3">
      <w:pPr>
        <w:rPr>
          <w:rFonts w:cs="Arial"/>
          <w:szCs w:val="24"/>
        </w:rPr>
      </w:pPr>
      <w:r>
        <w:rPr>
          <w:rFonts w:cs="Arial"/>
          <w:szCs w:val="24"/>
        </w:rPr>
        <w:t>Article 1728 CcQ. Normalement, le vendeur doit donner ou rembourser le coût de la réparation. Il n’est pas tenu de payer davantage sauf s’il connaissait le vice, qui dans ce cas il peut avoir à payer des dommages supplémentaires.</w:t>
      </w:r>
    </w:p>
    <w:p w:rsidR="009615F3" w:rsidRDefault="009615F3" w:rsidP="009615F3">
      <w:pPr>
        <w:rPr>
          <w:rFonts w:cs="Arial"/>
          <w:szCs w:val="24"/>
        </w:rPr>
      </w:pPr>
      <w:r>
        <w:rPr>
          <w:rFonts w:cs="Arial"/>
          <w:szCs w:val="24"/>
        </w:rPr>
        <w:t>Article 1727 CcQ IMPORTANT. Exemple : une personne vend une propriété en 2005 et 6 mois après la vente, le feu prend à l’immeuble à cause d’un foyer non conforme. Cie d’assurance du nouvel acheteur reconstruit l’immeuble. La Cie d’assurances poursuit le vendeur pour récupérer le coût de construction. Mais la seule chose que l’on peut réclamer c’est le prix de vente : donc ici 150 000$ prix payé mais reconstruction de 210 000$. Si cela nous arrive en tant que vendeur, on fait une poursuite contre notre assurance et on poursuit en garantie et en théorie l’assurance ne couvre pas les vices cachés mais elle doit couvrir les sinistres donc elle doit payer pour la reconstruction (sous la base de la responsabilité civile).</w:t>
      </w:r>
    </w:p>
    <w:p w:rsidR="009615F3" w:rsidRDefault="009615F3" w:rsidP="009615F3">
      <w:pPr>
        <w:rPr>
          <w:rFonts w:cs="Arial"/>
          <w:szCs w:val="24"/>
        </w:rPr>
      </w:pPr>
    </w:p>
    <w:p w:rsidR="009615F3" w:rsidRDefault="009615F3" w:rsidP="009615F3">
      <w:pPr>
        <w:pStyle w:val="Heading3"/>
      </w:pPr>
      <w:bookmarkStart w:id="24" w:name="_Toc289807019"/>
      <w:r>
        <w:lastRenderedPageBreak/>
        <w:t>Section 4 – Les obligations de l’acheteur</w:t>
      </w:r>
      <w:bookmarkEnd w:id="24"/>
    </w:p>
    <w:p w:rsidR="009615F3" w:rsidRDefault="009615F3" w:rsidP="009615F3">
      <w:pPr>
        <w:rPr>
          <w:rFonts w:cs="Arial"/>
          <w:szCs w:val="24"/>
        </w:rPr>
      </w:pPr>
    </w:p>
    <w:p w:rsidR="009615F3" w:rsidRPr="00E93DD8" w:rsidRDefault="009615F3" w:rsidP="009615F3">
      <w:pPr>
        <w:rPr>
          <w:rFonts w:cs="Arial"/>
          <w:szCs w:val="24"/>
        </w:rPr>
      </w:pPr>
      <w:r>
        <w:rPr>
          <w:rFonts w:cs="Arial"/>
          <w:szCs w:val="24"/>
        </w:rPr>
        <w:t>Sous-section 1 – L’obligation de prendre livraison du bien</w:t>
      </w:r>
    </w:p>
    <w:p w:rsidR="009615F3" w:rsidRDefault="009615F3" w:rsidP="009615F3">
      <w:pPr>
        <w:rPr>
          <w:rFonts w:cs="Arial"/>
          <w:szCs w:val="24"/>
        </w:rPr>
      </w:pPr>
      <w:r>
        <w:rPr>
          <w:rFonts w:cs="Arial"/>
          <w:szCs w:val="24"/>
        </w:rPr>
        <w:t>Si l’acheteur refuse de prendre livraison, le vendeur, suite à une mise en demeure, peut forcer l’exécution en nature de la livraison,  demander la résolution du bien (article 1604 CcQ), annuler la vente sans la décision du tribunal (articles 1740 et 1741 CcQ), exiger des dommages et intérêts (article 1607 CcQ). Exemple dommages et intérêts : concessionnaire qui doit revendre un véhicule commandé qui n’est pas livré, l’automobile perd de la valeur.</w:t>
      </w:r>
    </w:p>
    <w:p w:rsidR="009615F3" w:rsidRDefault="009615F3" w:rsidP="009615F3">
      <w:pPr>
        <w:rPr>
          <w:rFonts w:cs="Arial"/>
          <w:szCs w:val="24"/>
        </w:rPr>
      </w:pPr>
      <w:r>
        <w:rPr>
          <w:rFonts w:cs="Arial"/>
          <w:szCs w:val="24"/>
        </w:rPr>
        <w:t xml:space="preserve">En vertu de 1582 et 1600, c’est l’acheteur mis en demeure qui assume les risques de perte du bien. </w:t>
      </w:r>
    </w:p>
    <w:p w:rsidR="009615F3" w:rsidRDefault="009615F3" w:rsidP="009615F3">
      <w:pPr>
        <w:rPr>
          <w:rFonts w:cs="Arial"/>
          <w:szCs w:val="24"/>
        </w:rPr>
      </w:pPr>
    </w:p>
    <w:p w:rsidR="009615F3" w:rsidRDefault="009615F3" w:rsidP="009615F3">
      <w:pPr>
        <w:rPr>
          <w:rFonts w:cs="Arial"/>
          <w:szCs w:val="24"/>
        </w:rPr>
      </w:pPr>
      <w:r>
        <w:rPr>
          <w:rFonts w:cs="Arial"/>
          <w:szCs w:val="24"/>
        </w:rPr>
        <w:t>Sous-section 2 – L’obligation de payer le prix</w:t>
      </w:r>
    </w:p>
    <w:p w:rsidR="009615F3" w:rsidRDefault="009615F3" w:rsidP="009615F3">
      <w:pPr>
        <w:rPr>
          <w:rFonts w:cs="Arial"/>
          <w:szCs w:val="24"/>
        </w:rPr>
      </w:pPr>
      <w:r>
        <w:rPr>
          <w:rFonts w:cs="Arial"/>
          <w:szCs w:val="24"/>
        </w:rPr>
        <w:t>Le prix doit être payé comptant sauf indication contraire. Articles 1734 et 1735 CcQ. Si pas d’intérêt prévu au contrat : article 1735 et 1565 CcQ.</w:t>
      </w:r>
    </w:p>
    <w:p w:rsidR="009615F3" w:rsidRDefault="009615F3" w:rsidP="009615F3">
      <w:pPr>
        <w:rPr>
          <w:rFonts w:cs="Arial"/>
          <w:szCs w:val="24"/>
        </w:rPr>
      </w:pPr>
      <w:r>
        <w:rPr>
          <w:rFonts w:cs="Arial"/>
          <w:szCs w:val="24"/>
        </w:rPr>
        <w:t>Dans le cas d’une vente à terme (c’est lorsqu’on a des modalités de paiement pour payer le prix), l’acheteur peut prendre possession du bien sans payer le prix sauf si l’acheteur perd le bénéfice du terme (faillite, insolvable, etc).</w:t>
      </w:r>
    </w:p>
    <w:p w:rsidR="009615F3" w:rsidRDefault="009615F3" w:rsidP="009615F3">
      <w:pPr>
        <w:rPr>
          <w:rFonts w:cs="Arial"/>
          <w:szCs w:val="24"/>
        </w:rPr>
      </w:pPr>
    </w:p>
    <w:p w:rsidR="009615F3" w:rsidRDefault="009615F3" w:rsidP="009615F3">
      <w:pPr>
        <w:rPr>
          <w:rFonts w:cs="Arial"/>
          <w:szCs w:val="24"/>
        </w:rPr>
      </w:pPr>
      <w:r>
        <w:rPr>
          <w:rFonts w:cs="Arial"/>
          <w:szCs w:val="24"/>
        </w:rPr>
        <w:t>Sanctions de défaut de paiement</w:t>
      </w:r>
    </w:p>
    <w:p w:rsidR="009615F3" w:rsidRDefault="009615F3" w:rsidP="009615F3">
      <w:pPr>
        <w:rPr>
          <w:rFonts w:cs="Arial"/>
          <w:szCs w:val="24"/>
        </w:rPr>
      </w:pPr>
      <w:r>
        <w:rPr>
          <w:rFonts w:cs="Arial"/>
          <w:szCs w:val="24"/>
        </w:rPr>
        <w:t>-Article 1591 CcQ : l’exception d’inexécution. On n’a pas à remplir notre engagement s’il l’autre partie ne remplit pas la sienne.</w:t>
      </w:r>
    </w:p>
    <w:p w:rsidR="009615F3" w:rsidRDefault="009615F3" w:rsidP="009615F3">
      <w:pPr>
        <w:rPr>
          <w:rFonts w:cs="Arial"/>
          <w:szCs w:val="24"/>
        </w:rPr>
      </w:pPr>
      <w:r>
        <w:rPr>
          <w:rFonts w:cs="Arial"/>
          <w:szCs w:val="24"/>
        </w:rPr>
        <w:tab/>
        <w:t xml:space="preserve">A. Action en paiement. </w:t>
      </w:r>
    </w:p>
    <w:p w:rsidR="009615F3" w:rsidRDefault="009615F3" w:rsidP="009615F3">
      <w:pPr>
        <w:rPr>
          <w:rFonts w:cs="Arial"/>
          <w:szCs w:val="24"/>
        </w:rPr>
      </w:pPr>
      <w:r>
        <w:rPr>
          <w:rFonts w:cs="Arial"/>
          <w:szCs w:val="24"/>
        </w:rPr>
        <w:t>Requête introductive d’instance en recouvrement de créance. On peut faire aussi une saisie avant jugement, mais c’est rare que cela fonctionne. Si on a une hypothèque, on fait une requête pour recouvrement d’hypothèque.</w:t>
      </w:r>
    </w:p>
    <w:p w:rsidR="009615F3" w:rsidRDefault="009615F3" w:rsidP="009615F3">
      <w:pPr>
        <w:rPr>
          <w:rFonts w:cs="Arial"/>
          <w:szCs w:val="24"/>
        </w:rPr>
      </w:pPr>
      <w:r>
        <w:rPr>
          <w:rFonts w:cs="Arial"/>
          <w:szCs w:val="24"/>
        </w:rPr>
        <w:t>Le vendeur d’un bien meuble a priorité sur ce bien vendu (article 2156 CcQ)</w:t>
      </w:r>
    </w:p>
    <w:p w:rsidR="009615F3" w:rsidRDefault="009615F3" w:rsidP="009615F3">
      <w:pPr>
        <w:rPr>
          <w:rFonts w:cs="Arial"/>
          <w:szCs w:val="24"/>
        </w:rPr>
      </w:pPr>
      <w:r>
        <w:rPr>
          <w:rFonts w:cs="Arial"/>
          <w:szCs w:val="24"/>
        </w:rPr>
        <w:tab/>
        <w:t xml:space="preserve">B. </w:t>
      </w:r>
      <w:r w:rsidRPr="000A2C18">
        <w:rPr>
          <w:rStyle w:val="Heading1Char"/>
          <w:rFonts w:eastAsia="Calibri"/>
        </w:rPr>
        <w:t>Résolution de la vente</w:t>
      </w:r>
    </w:p>
    <w:p w:rsidR="009615F3" w:rsidRDefault="009615F3" w:rsidP="009615F3">
      <w:pPr>
        <w:rPr>
          <w:rFonts w:cs="Arial"/>
          <w:szCs w:val="24"/>
        </w:rPr>
      </w:pPr>
      <w:r>
        <w:rPr>
          <w:rFonts w:cs="Arial"/>
          <w:szCs w:val="24"/>
        </w:rPr>
        <w:t xml:space="preserve">Dans le cas d’une vente immobilière, on ne peut jamais annuler cette vente par le vendeur sauf s’il y a une clause résolutoire dans le contrat. Cette clause dit que tant et aussi longtemps qu’il n’a pas été payé pour l’immeuble, il peut reprendre l’immeuble. Ceci doit être publié au registre foncier absolument. C’est un peu comme une hypothèque. Article 1742 CcQ. Article 2939 CcQ.  Deux conditions pour reprendre l’immeuble : (1) il faut exercer ceci dans les 5 ans à compter de la vente (délai de rigueur) et (2) il faut procéder comme un recours </w:t>
      </w:r>
      <w:r>
        <w:rPr>
          <w:rFonts w:cs="Arial"/>
          <w:szCs w:val="24"/>
        </w:rPr>
        <w:lastRenderedPageBreak/>
        <w:t xml:space="preserve">hypothécaire (il faut envoyer un avis d’exercice de recours hypothécaire, il faut donner 60 jours pour payer à l’individu et autre personne intéressé et s’il paye, recours hypothécaire tombe. Article 1743 CcQ : le vendeur reprend le bien libre de toutes charges prises après la vente. </w:t>
      </w:r>
    </w:p>
    <w:p w:rsidR="009615F3" w:rsidRDefault="009615F3" w:rsidP="009615F3">
      <w:pPr>
        <w:rPr>
          <w:rFonts w:cs="Arial"/>
          <w:szCs w:val="24"/>
        </w:rPr>
      </w:pPr>
      <w:r>
        <w:rPr>
          <w:rFonts w:cs="Arial"/>
          <w:szCs w:val="24"/>
        </w:rPr>
        <w:t xml:space="preserve">Problème avec clause résolutoire : on ne voit nécessairement clause résolutoire dans le registre, il faut aller voir l’acte de vente. </w:t>
      </w:r>
    </w:p>
    <w:p w:rsidR="009615F3" w:rsidRDefault="009615F3" w:rsidP="009615F3">
      <w:pPr>
        <w:rPr>
          <w:rFonts w:cs="Arial"/>
          <w:szCs w:val="24"/>
        </w:rPr>
      </w:pPr>
      <w:r>
        <w:rPr>
          <w:rFonts w:cs="Arial"/>
          <w:szCs w:val="24"/>
        </w:rPr>
        <w:t xml:space="preserve">Dans le cas d’une vente mobilière. Article 1740 CcQ. Contrat annulé sans même aller devant les tribunaux. Il faut que l’acheteur ne paye pas le prix et ne prend pas délivrance du bien. Il n’a pas besoin d’aller devant les tribunaux dans ce cas. </w:t>
      </w:r>
    </w:p>
    <w:p w:rsidR="009615F3" w:rsidRDefault="009615F3" w:rsidP="009615F3">
      <w:pPr>
        <w:rPr>
          <w:rFonts w:cs="Arial"/>
          <w:szCs w:val="24"/>
        </w:rPr>
      </w:pPr>
      <w:r>
        <w:rPr>
          <w:rFonts w:cs="Arial"/>
          <w:szCs w:val="24"/>
        </w:rPr>
        <w:t xml:space="preserve">Vente à terme : on ne peut pas appliquer l’article 1741 CcQ. L’article 1741 CcQ s’applique une fois que le bien a été vendu. Si l’acheteur ne veut pas remettre le bien volontairement, il faut une action en revendication du bien devant les tribunaux. Si le bien a été saisi par un créancier, on peut aller le récupérer chez l’huissier. </w:t>
      </w:r>
    </w:p>
    <w:p w:rsidR="009615F3" w:rsidRDefault="009615F3" w:rsidP="009615F3">
      <w:pPr>
        <w:rPr>
          <w:rFonts w:cs="Arial"/>
          <w:szCs w:val="24"/>
        </w:rPr>
      </w:pPr>
      <w:r>
        <w:rPr>
          <w:rFonts w:cs="Arial"/>
          <w:szCs w:val="24"/>
        </w:rPr>
        <w:t xml:space="preserve">Dans une promesse de vente, on a toujours une clause d’inspection généralement. </w:t>
      </w:r>
    </w:p>
    <w:p w:rsidR="009615F3" w:rsidRDefault="009615F3" w:rsidP="009615F3">
      <w:pPr>
        <w:rPr>
          <w:rFonts w:cs="Arial"/>
          <w:szCs w:val="24"/>
        </w:rPr>
      </w:pPr>
    </w:p>
    <w:p w:rsidR="009615F3" w:rsidRPr="008D31B8" w:rsidRDefault="009615F3" w:rsidP="009615F3">
      <w:pPr>
        <w:rPr>
          <w:rFonts w:cs="Arial"/>
          <w:i/>
          <w:szCs w:val="24"/>
          <w:u w:val="single"/>
        </w:rPr>
      </w:pPr>
      <w:r w:rsidRPr="008D31B8">
        <w:rPr>
          <w:rFonts w:cs="Arial"/>
          <w:i/>
          <w:szCs w:val="24"/>
          <w:u w:val="single"/>
        </w:rPr>
        <w:t>Cours 10, le 9 mars 2011</w:t>
      </w:r>
    </w:p>
    <w:p w:rsidR="009615F3" w:rsidRDefault="009615F3" w:rsidP="009615F3">
      <w:pPr>
        <w:pStyle w:val="Heading1"/>
      </w:pPr>
      <w:bookmarkStart w:id="25" w:name="_Toc289807020"/>
      <w:r>
        <w:t>Titre III – Les ventes particulières</w:t>
      </w:r>
      <w:bookmarkEnd w:id="25"/>
    </w:p>
    <w:p w:rsidR="009615F3" w:rsidRPr="00EC313D" w:rsidRDefault="009615F3" w:rsidP="009615F3">
      <w:pPr>
        <w:rPr>
          <w:rFonts w:cs="Arial"/>
          <w:szCs w:val="24"/>
        </w:rPr>
      </w:pPr>
    </w:p>
    <w:p w:rsidR="009615F3" w:rsidRPr="00EC313D" w:rsidRDefault="009615F3" w:rsidP="009615F3">
      <w:pPr>
        <w:rPr>
          <w:rFonts w:cs="Arial"/>
          <w:szCs w:val="24"/>
        </w:rPr>
      </w:pPr>
      <w:r w:rsidRPr="00EC313D">
        <w:rPr>
          <w:rFonts w:cs="Arial"/>
          <w:szCs w:val="24"/>
        </w:rPr>
        <w:t>Toutes les règles vues avant vont quand même s’appliquer. Si la règle spécifique déroge à la règle générale, on applique la règle spécifique.</w:t>
      </w:r>
    </w:p>
    <w:p w:rsidR="009615F3" w:rsidRPr="00EC313D" w:rsidRDefault="009615F3" w:rsidP="009615F3">
      <w:pPr>
        <w:pStyle w:val="Heading2"/>
      </w:pPr>
      <w:bookmarkStart w:id="26" w:name="_Toc289807021"/>
      <w:r>
        <w:t>Chapitre 1- Les ventes renforçant la protection des contractants</w:t>
      </w:r>
      <w:bookmarkEnd w:id="26"/>
    </w:p>
    <w:p w:rsidR="009615F3" w:rsidRPr="00EC313D" w:rsidRDefault="009615F3" w:rsidP="009615F3">
      <w:pPr>
        <w:pStyle w:val="Heading3"/>
      </w:pPr>
      <w:bookmarkStart w:id="27" w:name="_Toc289807022"/>
      <w:r>
        <w:t>Section 1 – La vente d’un immeuble à usage d’habitation</w:t>
      </w:r>
      <w:bookmarkEnd w:id="27"/>
    </w:p>
    <w:p w:rsidR="009615F3" w:rsidRDefault="009615F3" w:rsidP="009615F3">
      <w:pPr>
        <w:pStyle w:val="Heading4"/>
        <w:spacing w:after="240"/>
      </w:pPr>
      <w:r>
        <w:t>Sous-section 1- Remarques préliminaires</w:t>
      </w:r>
    </w:p>
    <w:p w:rsidR="009615F3" w:rsidRDefault="009615F3" w:rsidP="009615F3">
      <w:pPr>
        <w:rPr>
          <w:rFonts w:cs="Arial"/>
          <w:szCs w:val="24"/>
        </w:rPr>
      </w:pPr>
      <w:r>
        <w:rPr>
          <w:rFonts w:cs="Arial"/>
          <w:szCs w:val="24"/>
        </w:rPr>
        <w:t>-Articles 1785 et suivants : Nouvelles règles</w:t>
      </w:r>
    </w:p>
    <w:p w:rsidR="009615F3" w:rsidRDefault="009615F3" w:rsidP="009615F3">
      <w:pPr>
        <w:rPr>
          <w:rFonts w:cs="Arial"/>
          <w:szCs w:val="24"/>
        </w:rPr>
      </w:pPr>
      <w:r>
        <w:rPr>
          <w:rFonts w:cs="Arial"/>
          <w:szCs w:val="24"/>
        </w:rPr>
        <w:t>-La vente doit être avec un particulier. Pour des particuliers qui achètent une résidence pour l’habitation et non pas pour des fins de location (dans ce cas, les articles 1785 CcQ ne s’appliqueront pas. Pour un investissement immobilier, cela ne fonctionne pas. Ces règles s’appliquent seulement lors de la conclusion du contrat.</w:t>
      </w:r>
    </w:p>
    <w:p w:rsidR="009615F3" w:rsidRDefault="009615F3" w:rsidP="009615F3">
      <w:pPr>
        <w:rPr>
          <w:rFonts w:cs="Arial"/>
          <w:szCs w:val="24"/>
        </w:rPr>
      </w:pPr>
      <w:r>
        <w:rPr>
          <w:rFonts w:cs="Arial"/>
          <w:szCs w:val="24"/>
        </w:rPr>
        <w:t>-Vendeur toujours un constructeur ou un promoteur immobilier et non pas un vendeur particulier.</w:t>
      </w:r>
    </w:p>
    <w:p w:rsidR="009615F3" w:rsidRDefault="009615F3" w:rsidP="009615F3">
      <w:pPr>
        <w:rPr>
          <w:rFonts w:cs="Arial"/>
          <w:szCs w:val="24"/>
        </w:rPr>
      </w:pPr>
      <w:r>
        <w:rPr>
          <w:rFonts w:cs="Arial"/>
          <w:szCs w:val="24"/>
        </w:rPr>
        <w:lastRenderedPageBreak/>
        <w:t>-Types d’immeubles : résidentiels et exclut commercial. Les condos ont des obligations supplémentaires pour les vendeurs de ceux-ci.</w:t>
      </w:r>
    </w:p>
    <w:p w:rsidR="009615F3" w:rsidRDefault="009615F3" w:rsidP="009615F3">
      <w:pPr>
        <w:rPr>
          <w:rFonts w:cs="Arial"/>
          <w:szCs w:val="24"/>
        </w:rPr>
      </w:pPr>
      <w:r>
        <w:rPr>
          <w:rFonts w:cs="Arial"/>
          <w:szCs w:val="24"/>
        </w:rPr>
        <w:t>-Objectif : protéger l’acheteur</w:t>
      </w:r>
    </w:p>
    <w:p w:rsidR="009615F3" w:rsidRDefault="009615F3" w:rsidP="009615F3">
      <w:pPr>
        <w:rPr>
          <w:rFonts w:cs="Arial"/>
          <w:szCs w:val="24"/>
        </w:rPr>
      </w:pPr>
      <w:r>
        <w:rPr>
          <w:rFonts w:cs="Arial"/>
          <w:szCs w:val="24"/>
        </w:rPr>
        <w:t>-Dispositions d’ordre public donc l’acheteur ne peut y renoncer</w:t>
      </w:r>
    </w:p>
    <w:p w:rsidR="009615F3" w:rsidRDefault="009615F3" w:rsidP="009615F3">
      <w:pPr>
        <w:rPr>
          <w:rFonts w:cs="Arial"/>
          <w:szCs w:val="24"/>
        </w:rPr>
      </w:pPr>
      <w:r>
        <w:rPr>
          <w:rFonts w:cs="Arial"/>
          <w:szCs w:val="24"/>
        </w:rPr>
        <w:t>-(1) Le constructeur doit fournier un contrat préliminaire avec information précises, (2) l’acheteur va avoir des garanties supplémentaires et (3) on doit permettre à l’acheteur d’annuler sa promesse dans le délai prévu à la loi. Article 1785 CcQ. On n’a pas besoin de transférer le terrain mais juste l’immeuble pour la protection : comme par exemple le client est déjà propriétaire du terrain sur lequel la maison va être construite.</w:t>
      </w:r>
    </w:p>
    <w:p w:rsidR="009615F3" w:rsidRDefault="009615F3" w:rsidP="009615F3">
      <w:pPr>
        <w:rPr>
          <w:rFonts w:cs="Arial"/>
          <w:szCs w:val="24"/>
        </w:rPr>
      </w:pPr>
      <w:r>
        <w:rPr>
          <w:rFonts w:cs="Arial"/>
          <w:szCs w:val="24"/>
        </w:rPr>
        <w:t>-Augmentation de garantie de l’article 1794 CcQ. Renvoi aux articles 2118 et suivants. Il faut que l’entrepreneur transfert la propriété du terrain pour passer des articles 1794 et 2118 et suivants. Garantie supplémentaire si promoteur transfère aussi le terrain. Mais on va utiliser ses règles générales dans le cadre d’un contrat de service si le client est déjà propriétaire du terrain.</w:t>
      </w:r>
    </w:p>
    <w:p w:rsidR="009615F3" w:rsidRDefault="009615F3" w:rsidP="009615F3">
      <w:pPr>
        <w:pStyle w:val="Heading4"/>
      </w:pPr>
    </w:p>
    <w:p w:rsidR="009615F3" w:rsidRDefault="009615F3" w:rsidP="009615F3">
      <w:pPr>
        <w:pStyle w:val="Heading4"/>
        <w:spacing w:after="240"/>
      </w:pPr>
      <w:r>
        <w:t>Sous-section 2 – Études des règles applicables</w:t>
      </w:r>
    </w:p>
    <w:p w:rsidR="009615F3" w:rsidRDefault="009615F3" w:rsidP="009615F3">
      <w:pPr>
        <w:rPr>
          <w:rFonts w:cs="Arial"/>
          <w:szCs w:val="24"/>
        </w:rPr>
      </w:pPr>
      <w:r>
        <w:rPr>
          <w:rFonts w:cs="Arial"/>
          <w:szCs w:val="24"/>
        </w:rPr>
        <w:t>I-</w:t>
      </w:r>
      <w:r w:rsidRPr="000A2C18">
        <w:rPr>
          <w:rStyle w:val="Heading1Char"/>
          <w:rFonts w:eastAsia="Calibri"/>
        </w:rPr>
        <w:t>Obligation de garantie de qualité du vendeur</w:t>
      </w:r>
      <w:r>
        <w:rPr>
          <w:rFonts w:cs="Arial"/>
          <w:szCs w:val="24"/>
        </w:rPr>
        <w:t xml:space="preserve"> (entrepreneur ou promoteur)</w:t>
      </w:r>
    </w:p>
    <w:p w:rsidR="009615F3" w:rsidRDefault="009615F3" w:rsidP="009615F3">
      <w:pPr>
        <w:rPr>
          <w:rFonts w:cs="Arial"/>
          <w:szCs w:val="24"/>
        </w:rPr>
      </w:pPr>
      <w:r>
        <w:rPr>
          <w:rFonts w:cs="Arial"/>
          <w:szCs w:val="24"/>
        </w:rPr>
        <w:t>-L’article 2118 CcQ fait en sorte de faire supporter la responsabilité aux entrepreneur, architecte, ingénieur qui ont fait construire la maison. Solidarité pour une période de 5 ans si perte de l’ouvrage. Pas de perte totale nécessaire mais perte important seulement et travaux importants pour corriger.</w:t>
      </w:r>
    </w:p>
    <w:p w:rsidR="009615F3" w:rsidRDefault="009615F3" w:rsidP="009615F3">
      <w:pPr>
        <w:rPr>
          <w:rFonts w:cs="Arial"/>
          <w:szCs w:val="24"/>
        </w:rPr>
      </w:pPr>
      <w:r>
        <w:rPr>
          <w:rFonts w:cs="Arial"/>
          <w:szCs w:val="24"/>
        </w:rPr>
        <w:t>-Article 2119  CcQ : pour se dégager de sa responsabilité donnée par l’article 2118 CcQ. Lire attentivement les 3 paragraphes pour voir les différences possibles</w:t>
      </w:r>
    </w:p>
    <w:p w:rsidR="009615F3" w:rsidRDefault="009615F3" w:rsidP="009615F3">
      <w:pPr>
        <w:rPr>
          <w:rFonts w:cs="Arial"/>
          <w:szCs w:val="24"/>
        </w:rPr>
      </w:pPr>
      <w:r>
        <w:rPr>
          <w:rFonts w:cs="Arial"/>
          <w:szCs w:val="24"/>
        </w:rPr>
        <w:t>-Article 2120 CcQ : garantie supplémentaire. Quand on rentre dans une maison, on devrait faire le tour de la maison et noter des défauts pour les faire arranger car dans la garantie. Les défauts et les malfaçons doivent être réparés dans l’année suivant l’achat de la maison.</w:t>
      </w:r>
    </w:p>
    <w:p w:rsidR="009615F3" w:rsidRDefault="009615F3" w:rsidP="009615F3">
      <w:pPr>
        <w:rPr>
          <w:rFonts w:cs="Arial"/>
          <w:szCs w:val="24"/>
        </w:rPr>
      </w:pPr>
      <w:r>
        <w:rPr>
          <w:rFonts w:cs="Arial"/>
          <w:szCs w:val="24"/>
        </w:rPr>
        <w:t>-Article 2124 CcQ : Le promoteur est aussi responsable car assimilé à l’entrepreneur.</w:t>
      </w:r>
    </w:p>
    <w:p w:rsidR="009615F3" w:rsidRDefault="009615F3" w:rsidP="009615F3">
      <w:pPr>
        <w:rPr>
          <w:rFonts w:cs="Arial"/>
          <w:szCs w:val="24"/>
        </w:rPr>
      </w:pPr>
    </w:p>
    <w:p w:rsidR="009615F3" w:rsidRDefault="009615F3" w:rsidP="009615F3">
      <w:pPr>
        <w:rPr>
          <w:rFonts w:cs="Arial"/>
          <w:szCs w:val="24"/>
        </w:rPr>
      </w:pPr>
      <w:r>
        <w:rPr>
          <w:rFonts w:cs="Arial"/>
          <w:szCs w:val="24"/>
        </w:rPr>
        <w:t>II- Obligation de conclure un contrat préliminaire</w:t>
      </w:r>
    </w:p>
    <w:p w:rsidR="009615F3" w:rsidRDefault="009615F3" w:rsidP="009615F3">
      <w:pPr>
        <w:rPr>
          <w:rFonts w:cs="Arial"/>
          <w:szCs w:val="24"/>
        </w:rPr>
      </w:pPr>
      <w:r>
        <w:rPr>
          <w:rFonts w:cs="Arial"/>
          <w:szCs w:val="24"/>
        </w:rPr>
        <w:t xml:space="preserve">-Article 1786 CcQ. Il doit y avoir des informations données lors de la vente. </w:t>
      </w:r>
    </w:p>
    <w:p w:rsidR="009615F3" w:rsidRDefault="009615F3" w:rsidP="009615F3">
      <w:pPr>
        <w:rPr>
          <w:rFonts w:cs="Arial"/>
          <w:szCs w:val="24"/>
        </w:rPr>
      </w:pPr>
      <w:r>
        <w:rPr>
          <w:rFonts w:cs="Arial"/>
          <w:szCs w:val="24"/>
        </w:rPr>
        <w:lastRenderedPageBreak/>
        <w:t>-En réalité, formule type de l’APCHQ pour faire le contrat préliminaire et très peu d’informations de fournies dans le contrat. On devrait demander ceci au vendeur normalement, car ce qui est écrit doit être livré.</w:t>
      </w:r>
    </w:p>
    <w:p w:rsidR="009615F3" w:rsidRDefault="009615F3" w:rsidP="009615F3">
      <w:pPr>
        <w:rPr>
          <w:rFonts w:cs="Arial"/>
          <w:szCs w:val="24"/>
        </w:rPr>
      </w:pPr>
      <w:r>
        <w:rPr>
          <w:rFonts w:cs="Arial"/>
          <w:szCs w:val="24"/>
        </w:rPr>
        <w:t>-Article 1785 CcQ : avis de 10 jours pour se dédire. Le vendeur peut demander une indemnité mais c’est limité à l’article 1786 al 2 CcQ : max 0,5% du prix de vente. Si le vendeur n’a pas prévu d’indemnité dans le contrat : aucune indemnité ne peut être exigée en cas de résiliation.</w:t>
      </w:r>
    </w:p>
    <w:p w:rsidR="009615F3" w:rsidRDefault="009615F3" w:rsidP="009615F3">
      <w:pPr>
        <w:rPr>
          <w:rFonts w:cs="Arial"/>
          <w:szCs w:val="24"/>
        </w:rPr>
      </w:pPr>
    </w:p>
    <w:p w:rsidR="009615F3" w:rsidRDefault="009615F3" w:rsidP="009615F3">
      <w:pPr>
        <w:rPr>
          <w:rFonts w:cs="Arial"/>
          <w:szCs w:val="24"/>
        </w:rPr>
      </w:pPr>
      <w:r>
        <w:rPr>
          <w:rFonts w:cs="Arial"/>
          <w:szCs w:val="24"/>
        </w:rPr>
        <w:t>III- Obligation de remettre une note d’information</w:t>
      </w:r>
    </w:p>
    <w:p w:rsidR="009615F3" w:rsidRDefault="009615F3" w:rsidP="009615F3">
      <w:pPr>
        <w:rPr>
          <w:rFonts w:cs="Arial"/>
          <w:szCs w:val="24"/>
        </w:rPr>
      </w:pPr>
      <w:r>
        <w:rPr>
          <w:rFonts w:cs="Arial"/>
          <w:szCs w:val="24"/>
        </w:rPr>
        <w:t>-Pour la vente d’un condo, copropriété divise. Si plus de 10 condos dans l’immeuble. Touche aussi copropriété en indivision si plus de 10 logements. OU aussi une maison unifamiliale qui fait partie d’un complexe de plus de 10 maisons à condition que ses maisons aient des services communs comme stationnement, champ d’épuration, etc. Aussi condo de « time-sharing ». Article 1787 CcQ. Si en bas de 10 logements dans l’immeuble, cela ne s’applique pas. Le time sharing doit aussi avoir lieu dans le cas d’un immeuble avec 10 logements ou plus. Dans ces situations, on a besoin d’une note d’information.</w:t>
      </w:r>
    </w:p>
    <w:p w:rsidR="009615F3" w:rsidRDefault="009615F3" w:rsidP="009615F3">
      <w:pPr>
        <w:rPr>
          <w:rFonts w:cs="Arial"/>
          <w:szCs w:val="24"/>
        </w:rPr>
      </w:pPr>
      <w:r>
        <w:rPr>
          <w:rFonts w:cs="Arial"/>
          <w:szCs w:val="24"/>
        </w:rPr>
        <w:t xml:space="preserve">-Plusieurs informations sont nécessaires : article 1788 CcQ. On exige entre autres que tous les plans du développement soient présents. Budget prévisionnel prévu à l’article 1791 CcQ. Une copie ou résumé de la déclaration de copropriété, etc : exemple dans l’immeuble, il n’est pas permis d’exercer une profession libérale, ou pas d’animaux, etc. </w:t>
      </w:r>
    </w:p>
    <w:p w:rsidR="009615F3" w:rsidRDefault="009615F3" w:rsidP="009615F3">
      <w:pPr>
        <w:rPr>
          <w:rFonts w:cs="Arial"/>
          <w:szCs w:val="24"/>
        </w:rPr>
      </w:pPr>
      <w:r>
        <w:rPr>
          <w:rFonts w:cs="Arial"/>
          <w:szCs w:val="24"/>
        </w:rPr>
        <w:t>-Budget prévisionnel : les coûts associés avec l’entretien de l’immeuble. On veut savoir ça pour connaître les frais mensuels. Aussi bon pour le fonds de prévoyance pour les réparations futures. On doit s’assurer financièrement de pouvoir payer les frais mensuels. Article 1791 CcQ. En principe, on met le budget le plus bas possible pour attirer les acheteurs mais les frais peuvent augmenter beaucoup par la suite. Quand on achète un condo usagé, on vérifie toujours le fonds de prévoyance pour savoir s’il y a assez d’argent.</w:t>
      </w:r>
    </w:p>
    <w:p w:rsidR="009615F3" w:rsidRDefault="009615F3" w:rsidP="009615F3">
      <w:pPr>
        <w:rPr>
          <w:rFonts w:cs="Arial"/>
          <w:szCs w:val="24"/>
        </w:rPr>
      </w:pPr>
      <w:r>
        <w:rPr>
          <w:rFonts w:cs="Arial"/>
          <w:szCs w:val="24"/>
        </w:rPr>
        <w:t xml:space="preserve">-Si on ne fournit pas les informations nécessaires : recours en vertu de l’article 1793 CcQ. L’article 1793 est plutôt rare dans la jurisprudence. </w:t>
      </w:r>
    </w:p>
    <w:p w:rsidR="009615F3" w:rsidRDefault="009615F3" w:rsidP="009615F3">
      <w:pPr>
        <w:rPr>
          <w:rFonts w:cs="Arial"/>
          <w:szCs w:val="24"/>
        </w:rPr>
      </w:pPr>
      <w:r>
        <w:rPr>
          <w:rFonts w:cs="Arial"/>
          <w:szCs w:val="24"/>
        </w:rPr>
        <w:t>-Quand on achète un condo, on ne veut pas de locataires. Le législateur a imposé une règle aux promoteurs à l’article 1789 CcQ. Dans l’information, on doit nous dire le nombre d’unités réservés par la location. Si pas respecté, le syndicat des copropriétaires va pouvoir exiger la résiliation des baux. Article 1790 CcQ. Donc si pas capable de vendre ses unités, le promoteur ne peut pas louer toutes ses unités non vendues.</w:t>
      </w:r>
    </w:p>
    <w:p w:rsidR="009615F3" w:rsidRDefault="009615F3" w:rsidP="009615F3">
      <w:pPr>
        <w:rPr>
          <w:rFonts w:cs="Arial"/>
          <w:szCs w:val="24"/>
        </w:rPr>
      </w:pPr>
    </w:p>
    <w:p w:rsidR="009615F3" w:rsidRDefault="009615F3" w:rsidP="009615F3">
      <w:pPr>
        <w:rPr>
          <w:rFonts w:cs="Arial"/>
          <w:szCs w:val="24"/>
        </w:rPr>
      </w:pPr>
      <w:r>
        <w:rPr>
          <w:rFonts w:cs="Arial"/>
          <w:szCs w:val="24"/>
        </w:rPr>
        <w:t>IV- Droit de résolution en cas de vente de fraction de copropriété divise</w:t>
      </w:r>
    </w:p>
    <w:p w:rsidR="009615F3" w:rsidRDefault="009615F3" w:rsidP="009615F3">
      <w:pPr>
        <w:rPr>
          <w:rFonts w:cs="Arial"/>
          <w:szCs w:val="24"/>
        </w:rPr>
      </w:pPr>
      <w:r>
        <w:rPr>
          <w:rFonts w:cs="Arial"/>
          <w:szCs w:val="24"/>
        </w:rPr>
        <w:lastRenderedPageBreak/>
        <w:t>-La déclaration de copropriété doit être publiée dans les 30 jours à compter de la date où elle peut l’être : article 1792 CcQ. Articles 3030 al 2 et 3041 CcQ.</w:t>
      </w:r>
    </w:p>
    <w:p w:rsidR="009615F3" w:rsidRDefault="009615F3" w:rsidP="009615F3">
      <w:pPr>
        <w:rPr>
          <w:rFonts w:cs="Arial"/>
          <w:szCs w:val="24"/>
        </w:rPr>
      </w:pPr>
      <w:r>
        <w:rPr>
          <w:rFonts w:cs="Arial"/>
          <w:szCs w:val="24"/>
        </w:rPr>
        <w:t xml:space="preserve">-Article 3030 al 2 CcQ : Une unité de condominium est un seul immeuble. Chaque unité doit faire l’objet d’une division par un arpenteur : un cadastre vertical. Limite des parties privatives et parties communes. Une fois que c’est fait, on peut publier la déclaration de copropriété. Article 3041 CcQ : le cadastre vertical ne peut pas se faire avant que l’immeuble soit construit et que les divisions sont faites à l’intérieur. Pas besoin de plancher ou de murs cependant. Si on n’enregistre pas la déclaration dans les 30 jours de ceci : on peut annuler son contrat d’achat.  </w:t>
      </w:r>
    </w:p>
    <w:p w:rsidR="009615F3" w:rsidRDefault="009615F3" w:rsidP="009615F3">
      <w:pPr>
        <w:rPr>
          <w:rFonts w:cs="Arial"/>
          <w:szCs w:val="24"/>
        </w:rPr>
      </w:pPr>
    </w:p>
    <w:p w:rsidR="009615F3" w:rsidRDefault="009615F3" w:rsidP="009615F3">
      <w:pPr>
        <w:rPr>
          <w:rFonts w:cs="Arial"/>
          <w:szCs w:val="24"/>
        </w:rPr>
      </w:pPr>
      <w:r>
        <w:rPr>
          <w:rFonts w:cs="Arial"/>
          <w:szCs w:val="24"/>
        </w:rPr>
        <w:t>Donc garanties supplémentaires. Si on passe par l’article 1794, il faut s’assurer que le promoteur était propriétaire du terrain avant pour passer aux articles 2118 CcQ. Si non on passe par les règles du contrat de service de 2098 CcQ. Beaucoup d’informations supplémentaires à donner. Faculté de dédit.</w:t>
      </w:r>
    </w:p>
    <w:p w:rsidR="009615F3" w:rsidRPr="00057082" w:rsidRDefault="009615F3" w:rsidP="009615F3">
      <w:pPr>
        <w:rPr>
          <w:rFonts w:cs="Arial"/>
          <w:szCs w:val="24"/>
        </w:rPr>
      </w:pPr>
    </w:p>
    <w:p w:rsidR="009615F3" w:rsidRDefault="009615F3" w:rsidP="009615F3">
      <w:pPr>
        <w:pStyle w:val="Heading3"/>
      </w:pPr>
      <w:bookmarkStart w:id="28" w:name="_Toc289807023"/>
      <w:r>
        <w:t>Section 2 – La vente avec faculté de rachat</w:t>
      </w:r>
      <w:bookmarkEnd w:id="28"/>
    </w:p>
    <w:p w:rsidR="009615F3" w:rsidRDefault="009615F3" w:rsidP="009615F3">
      <w:pPr>
        <w:rPr>
          <w:rFonts w:cs="Arial"/>
          <w:szCs w:val="24"/>
        </w:rPr>
      </w:pPr>
    </w:p>
    <w:p w:rsidR="009615F3" w:rsidRDefault="009615F3" w:rsidP="009615F3">
      <w:pPr>
        <w:pStyle w:val="Heading4"/>
        <w:spacing w:after="240"/>
      </w:pPr>
      <w:r>
        <w:t>Sous-section 1 – Remarques préliminaires</w:t>
      </w:r>
    </w:p>
    <w:p w:rsidR="009615F3" w:rsidRDefault="009615F3" w:rsidP="009615F3">
      <w:pPr>
        <w:rPr>
          <w:rFonts w:cs="Arial"/>
          <w:szCs w:val="24"/>
        </w:rPr>
      </w:pPr>
      <w:r>
        <w:rPr>
          <w:rFonts w:cs="Arial"/>
          <w:szCs w:val="24"/>
        </w:rPr>
        <w:t>-Vente sous condition résolutoire. À partir du moment oû la personne exerce la faculté de rachat, on remet les parties dans l’état qu’elles étaient au moment de l’achat.</w:t>
      </w:r>
    </w:p>
    <w:p w:rsidR="009615F3" w:rsidRDefault="009615F3" w:rsidP="009615F3">
      <w:pPr>
        <w:rPr>
          <w:rFonts w:cs="Arial"/>
          <w:szCs w:val="24"/>
        </w:rPr>
      </w:pPr>
      <w:r>
        <w:rPr>
          <w:rFonts w:cs="Arial"/>
          <w:szCs w:val="24"/>
        </w:rPr>
        <w:t xml:space="preserve">-Article 1750 CcQ renvoie à l’article 1507 al 2 CcQ. Ce n’est pas en faveur de l’acheteur mais plutôt en faveur du vendeur. </w:t>
      </w:r>
    </w:p>
    <w:p w:rsidR="009615F3" w:rsidRDefault="009615F3" w:rsidP="009615F3">
      <w:pPr>
        <w:rPr>
          <w:rFonts w:cs="Arial"/>
          <w:szCs w:val="24"/>
        </w:rPr>
      </w:pPr>
      <w:r>
        <w:rPr>
          <w:rFonts w:cs="Arial"/>
          <w:szCs w:val="24"/>
        </w:rPr>
        <w:t>-Deux sortes de facultés de rachat. (1) Véritable vente avec faculté de rachat. (2) Vente avec faculté de rachat servant à garantir un prêt : on continue à jouir de la maison mais on l’a vendu en garantie.</w:t>
      </w:r>
    </w:p>
    <w:p w:rsidR="009615F3" w:rsidRDefault="009615F3" w:rsidP="009615F3">
      <w:pPr>
        <w:rPr>
          <w:rFonts w:cs="Arial"/>
          <w:szCs w:val="24"/>
        </w:rPr>
      </w:pPr>
      <w:r w:rsidRPr="00E543D7">
        <w:rPr>
          <w:rFonts w:cs="Arial"/>
          <w:szCs w:val="24"/>
        </w:rPr>
        <w:t xml:space="preserve">-Article 1756 CcQ. </w:t>
      </w:r>
      <w:r>
        <w:rPr>
          <w:rFonts w:cs="Arial"/>
          <w:szCs w:val="24"/>
        </w:rPr>
        <w:t xml:space="preserve">En réalité, on ne verra plus ça en pratique. On va les considérer au niveau de la loi comme s’il s’agissait d’un créancier hypothécaire. Préavis de recours hypothécaire. </w:t>
      </w:r>
    </w:p>
    <w:p w:rsidR="009615F3" w:rsidRDefault="009615F3" w:rsidP="009615F3">
      <w:pPr>
        <w:pStyle w:val="Heading4"/>
        <w:spacing w:after="240"/>
      </w:pPr>
      <w:r>
        <w:t>Sous-section 2- Nature juridique</w:t>
      </w:r>
    </w:p>
    <w:p w:rsidR="009615F3" w:rsidRPr="00E543D7" w:rsidRDefault="009615F3" w:rsidP="009615F3">
      <w:pPr>
        <w:rPr>
          <w:rFonts w:cs="Arial"/>
          <w:szCs w:val="24"/>
        </w:rPr>
      </w:pPr>
      <w:r>
        <w:rPr>
          <w:rFonts w:cs="Arial"/>
          <w:szCs w:val="24"/>
        </w:rPr>
        <w:t xml:space="preserve">-On n’a pas besoin de publier la vente avec faculté de rachat mais dans le cas d’un immeuble si on veut l’opposer aux tiers, on doit le publier. Pour les meubles, la vente avec faculté de rachat est opposable aux tiers sans le besoin de publier sauf exception. </w:t>
      </w:r>
    </w:p>
    <w:p w:rsidR="009615F3" w:rsidRDefault="009615F3" w:rsidP="009615F3">
      <w:r>
        <w:t xml:space="preserve">-Si on cède le droit, il faut le publier. </w:t>
      </w:r>
    </w:p>
    <w:p w:rsidR="009615F3" w:rsidRDefault="009615F3" w:rsidP="009615F3">
      <w:r>
        <w:lastRenderedPageBreak/>
        <w:t xml:space="preserve">-Article 1750 al 2 CcQ renvoie à l’article 15.01 Règlement RDPRM. Cet article nous donne les meubles qui sont soumis à la publicité. Il faut voir l’article 15 RDPRM : véhicule de promenade, moto, taxi, autobus, etc. </w:t>
      </w:r>
    </w:p>
    <w:p w:rsidR="009615F3" w:rsidRDefault="009615F3" w:rsidP="009615F3">
      <w:r>
        <w:t xml:space="preserve">-Comment fait-on pour exercer la faculté de rachat? Article 1751 CcQ : on envoie  un avis au contractant qu’on va racheter le bien et on donne un délai pour la remise du bien. L’avis doit aussi être publié si on devait publier la faculté de rachat. Délai à l’article 1751 CcQ. </w:t>
      </w:r>
    </w:p>
    <w:p w:rsidR="009615F3" w:rsidRPr="007270C3" w:rsidRDefault="009615F3" w:rsidP="009615F3"/>
    <w:p w:rsidR="009615F3" w:rsidRPr="004A3813" w:rsidRDefault="009615F3" w:rsidP="009615F3">
      <w:pPr>
        <w:pStyle w:val="Heading4"/>
        <w:spacing w:after="240"/>
      </w:pPr>
      <w:r>
        <w:t>Sous-section 3 – Effets</w:t>
      </w:r>
    </w:p>
    <w:p w:rsidR="009615F3" w:rsidRDefault="009615F3" w:rsidP="009615F3">
      <w:r>
        <w:t>-Si bien pour garantir le paiement d’argent : article 1756 CcQ. Recours hypothécaire et préavis d’exercice. Si on ne remet pas le bien volontairement…</w:t>
      </w:r>
    </w:p>
    <w:p w:rsidR="009615F3" w:rsidRDefault="009615F3" w:rsidP="009615F3">
      <w:r>
        <w:t>-Article 1753 CcQ : terme maximal de 5 ans pour une faculté de rachat.  Sauf pour garantir un prêt, le vendeur a sa garantie jusqu’à ce qu’il fasse un recours hypothécaire (pas certaine ici).</w:t>
      </w:r>
    </w:p>
    <w:p w:rsidR="009615F3" w:rsidRDefault="009615F3" w:rsidP="009615F3">
      <w:r>
        <w:t>-Quand la personne reprend le bien et qu’elle a publié, elle le reprend libre de toutes charges et le reprend même du nouvel acquéreur : article 1752 CcQ. Renvoi à 2938 et 2941 CcQ.</w:t>
      </w:r>
    </w:p>
    <w:p w:rsidR="009615F3" w:rsidRDefault="009615F3" w:rsidP="009615F3">
      <w:r>
        <w:t>-Articles 1754 et 1755 : transmissible. L’acheteur a le droit d’exiger le vendeur a reprendre la totalité du bien.</w:t>
      </w:r>
    </w:p>
    <w:p w:rsidR="009615F3" w:rsidRDefault="009615F3" w:rsidP="009615F3">
      <w:r>
        <w:t>-Article 2961.1 CcQ : réserves de facultés ou cessions. Inscription de réserve.</w:t>
      </w:r>
    </w:p>
    <w:p w:rsidR="009615F3" w:rsidRDefault="009615F3" w:rsidP="009615F3"/>
    <w:p w:rsidR="009615F3" w:rsidRPr="009012B3" w:rsidRDefault="009615F3" w:rsidP="009615F3">
      <w:pPr>
        <w:rPr>
          <w:i/>
          <w:u w:val="single"/>
        </w:rPr>
      </w:pPr>
      <w:r w:rsidRPr="009012B3">
        <w:rPr>
          <w:i/>
          <w:u w:val="single"/>
        </w:rPr>
        <w:t xml:space="preserve">Cours </w:t>
      </w:r>
      <w:r>
        <w:rPr>
          <w:i/>
          <w:u w:val="single"/>
        </w:rPr>
        <w:t>11</w:t>
      </w:r>
      <w:r w:rsidRPr="009012B3">
        <w:rPr>
          <w:i/>
          <w:u w:val="single"/>
        </w:rPr>
        <w:t>, le 10 mars 2011</w:t>
      </w:r>
    </w:p>
    <w:p w:rsidR="009615F3" w:rsidRPr="004A3813" w:rsidRDefault="009615F3" w:rsidP="009615F3"/>
    <w:p w:rsidR="009615F3" w:rsidRPr="00EC313D" w:rsidRDefault="009615F3" w:rsidP="009615F3">
      <w:pPr>
        <w:pStyle w:val="Heading3"/>
      </w:pPr>
      <w:bookmarkStart w:id="29" w:name="_Toc289807024"/>
      <w:r>
        <w:t>Section 3- La vente à tempérament</w:t>
      </w:r>
      <w:bookmarkEnd w:id="29"/>
    </w:p>
    <w:p w:rsidR="009615F3" w:rsidRDefault="009615F3" w:rsidP="009615F3"/>
    <w:p w:rsidR="009615F3" w:rsidRDefault="009615F3" w:rsidP="009615F3">
      <w:r>
        <w:t>Attention on va voir les règles en vertu du CcQ et de la Lpc aussi.</w:t>
      </w:r>
    </w:p>
    <w:p w:rsidR="009615F3" w:rsidRDefault="009615F3" w:rsidP="009615F3">
      <w:r>
        <w:t>Lpc : articles 132 à 149. CcQ : 1745 à 1749.</w:t>
      </w:r>
    </w:p>
    <w:p w:rsidR="009615F3" w:rsidRDefault="009615F3" w:rsidP="009615F3">
      <w:pPr>
        <w:pStyle w:val="Heading4"/>
      </w:pPr>
      <w:r>
        <w:t>Sous-section1 –Remarques préliminaires</w:t>
      </w:r>
    </w:p>
    <w:p w:rsidR="009615F3" w:rsidRDefault="009615F3" w:rsidP="009615F3"/>
    <w:p w:rsidR="009615F3" w:rsidRDefault="009615F3" w:rsidP="009615F3">
      <w:r>
        <w:t>Qu’est-ce qu’une vente à tempérament ?</w:t>
      </w:r>
    </w:p>
    <w:p w:rsidR="009615F3" w:rsidRDefault="009615F3" w:rsidP="009615F3">
      <w:r>
        <w:t>Normalement, une vente fait un transfert de propriété dès l’échange de consentement. Exception : vente à tempérament. Dans celle-ci, le transfert de propriété est retardé jusqu’au paiement complet du prix de vente.</w:t>
      </w:r>
    </w:p>
    <w:p w:rsidR="009615F3" w:rsidRDefault="009615F3" w:rsidP="009615F3">
      <w:pPr>
        <w:pStyle w:val="Heading4"/>
      </w:pPr>
      <w:r>
        <w:lastRenderedPageBreak/>
        <w:t>Sous-section 2 – Nature et formalités</w:t>
      </w:r>
    </w:p>
    <w:p w:rsidR="009615F3" w:rsidRDefault="009615F3" w:rsidP="009615F3"/>
    <w:p w:rsidR="009615F3" w:rsidRDefault="009615F3" w:rsidP="009615F3">
      <w:r>
        <w:t>-Article 1745 CcQ.</w:t>
      </w:r>
    </w:p>
    <w:p w:rsidR="009615F3" w:rsidRDefault="009615F3" w:rsidP="009615F3">
      <w:r>
        <w:t>-Il faut publier dans les 15 jours. Voir décision Service Acier Inoxydable (faillite de). Cie qui fait produits aciers inoxydable. Cie a besoin de financement et elle enregistre une hypothèque en faveur d’une institution financière sur l’ensemble de ses équipements (article 2961.1 CcQ). Toute de suite après avoir hypothéqué, elle achète une machine Trump par le biais d’une vente à tempérament, enregistrée dans les 15 jours. Trump vend une 2</w:t>
      </w:r>
      <w:r w:rsidRPr="00953933">
        <w:rPr>
          <w:vertAlign w:val="superscript"/>
        </w:rPr>
        <w:t>e</w:t>
      </w:r>
      <w:r>
        <w:t xml:space="preserve"> machine mais la vente est enregistrée dans les 20 jours après la vente. La Cie Acier inoxydable fait faillite. Syndic obtient saisine des biens et le syndic veut vendre les deux machines. Trump s’oppose et dit qu’il est propriétaire de ses machines. Faillite a lieu après la publication. Le syndic n’a pas le droit de saisir ces machines. En plus, le créancier hypothécaire réclame les droits sur ses biens. Le créancier hypothécaire n’a pas eu droit à la première machine car la vente est rétroactive pour la première au moment de la vente. La deuxième machine n’a pas été protégée car elle a été enregistrée seulement dans le délai de 20 jours : si la publication n’est pas faite dans les 15 jours, la publication est valable mais seulement pour l’avenir et elle n’est pas rétroactif.</w:t>
      </w:r>
    </w:p>
    <w:p w:rsidR="009615F3" w:rsidRDefault="009615F3" w:rsidP="009615F3">
      <w:r>
        <w:t xml:space="preserve">-Normalement c’est le propriétaire d’un bien qui assume les risques. Mais dans l’article 1746 CcQ dit que c’est l’acheteur qui doit assumer les risques. Dans le cadre de la Lpc, contrat de consommation, c’est le commerçant qui assume les risques de perte ou de détérioration par cas fortuit. </w:t>
      </w:r>
    </w:p>
    <w:p w:rsidR="009615F3" w:rsidRDefault="009615F3" w:rsidP="009615F3">
      <w:r>
        <w:t>-Exemple : une vente de voiture financée par une cie de financement.</w:t>
      </w:r>
    </w:p>
    <w:p w:rsidR="009615F3" w:rsidRDefault="009615F3" w:rsidP="009615F3">
      <w:r>
        <w:t>-En matière immobilière, on ne peut pas publier de vente à tempérament. Car on n’est pas propriétaire encore. Mais en réalité, on ne voit pas ça. Dans un cas comme ça, on met plutôt une clause résolutoire dans le contrat de vente d’un immeuble.</w:t>
      </w:r>
    </w:p>
    <w:p w:rsidR="009615F3" w:rsidRDefault="009615F3" w:rsidP="009615F3">
      <w:pPr>
        <w:pStyle w:val="Heading4"/>
      </w:pPr>
      <w:r>
        <w:t>Sous-section 3 – Effets</w:t>
      </w:r>
    </w:p>
    <w:p w:rsidR="009615F3" w:rsidRDefault="009615F3" w:rsidP="009615F3"/>
    <w:p w:rsidR="009615F3" w:rsidRDefault="009615F3" w:rsidP="009615F3">
      <w:r>
        <w:t xml:space="preserve">-Article 1749 CcQ : recours du vendeur. Le seul recours n’est pas la reprise en paiement. En vertu du CcQ, on peut prendre les 4 recours hypothécaires que l’on veut. Si on exerce un recours hypothécaire, cela élimine la dette. Donc certains recours sont meilleurs. Exemple : un véhicule de 4 ans, prise en paiement pas idéale. </w:t>
      </w:r>
    </w:p>
    <w:p w:rsidR="009615F3" w:rsidRDefault="009615F3" w:rsidP="009615F3">
      <w:r>
        <w:t xml:space="preserve">-Si le vendeur n’a pas publié, on ne peut pas opposer à un acheteur subséquent la reprise du bien. Article 1749 CcQ. </w:t>
      </w:r>
    </w:p>
    <w:p w:rsidR="009615F3" w:rsidRDefault="009615F3" w:rsidP="009615F3">
      <w:r>
        <w:t>-Si acheteur a vendu à Cie le 20 janvier. Si on a publie la réserve le 18 janvier, ok même si pas dans 15 jours. Si publication 22 janvier, pas de recours contre la Cie mais contre l’acheteur (on utilise 1747 et 1748 CcQ).</w:t>
      </w:r>
    </w:p>
    <w:p w:rsidR="009615F3" w:rsidRDefault="009615F3" w:rsidP="009615F3">
      <w:r>
        <w:lastRenderedPageBreak/>
        <w:t xml:space="preserve">-Article 1747 : perte de bénéfice du terme. Si on combine 1747 et 1748, un vendeur ne peut jamais exiger la totalité du paiement sauf si on se retrouve dans les circonstances dans ces articles. </w:t>
      </w:r>
    </w:p>
    <w:p w:rsidR="009615F3" w:rsidRDefault="009615F3" w:rsidP="009615F3">
      <w:r>
        <w:t>-Article 1514 CcQ : bénéfice du terme.</w:t>
      </w:r>
    </w:p>
    <w:p w:rsidR="009615F3" w:rsidRDefault="009615F3" w:rsidP="009615F3"/>
    <w:p w:rsidR="009615F3" w:rsidRDefault="009615F3" w:rsidP="009615F3">
      <w:pPr>
        <w:pStyle w:val="Heading4"/>
      </w:pPr>
      <w:r>
        <w:t>Sous-section 4 – La Loi sur la protection des consommateurs</w:t>
      </w:r>
    </w:p>
    <w:p w:rsidR="009615F3" w:rsidRPr="00DD0AF4" w:rsidRDefault="009615F3" w:rsidP="009615F3">
      <w:pPr>
        <w:spacing w:after="0"/>
      </w:pPr>
    </w:p>
    <w:p w:rsidR="009615F3" w:rsidRDefault="009615F3" w:rsidP="009615F3">
      <w:r>
        <w:t>-Article 133 Lpc : commerçant toujours responsable.</w:t>
      </w:r>
    </w:p>
    <w:p w:rsidR="009615F3" w:rsidRDefault="009615F3" w:rsidP="009615F3">
      <w:r>
        <w:t>-Article 134 Lpc : un contrat doit être écrit VS CcQ qui peut être verbal.</w:t>
      </w:r>
    </w:p>
    <w:p w:rsidR="009615F3" w:rsidRDefault="009615F3" w:rsidP="009615F3">
      <w:r>
        <w:t>-Si pas écrit : article 135 Lpc : le contrat a eu pour effet de transférer la propriété immédiatement.</w:t>
      </w:r>
    </w:p>
    <w:p w:rsidR="009615F3" w:rsidRDefault="009615F3" w:rsidP="009615F3">
      <w:r>
        <w:t>-Article 138 Lpc. Avis de 30 jours avant de bénéficier de la déchéance du terme en vertu des articles 105 et suivants Lpc.</w:t>
      </w:r>
    </w:p>
    <w:p w:rsidR="009615F3" w:rsidRDefault="009615F3" w:rsidP="009615F3">
      <w:r>
        <w:t xml:space="preserve">-Article 139 Lpc. Si plus de la moitié de la dette payée, il faut l’autorisation du tribunal pour faire la saisie du bien. De plus avis de 30 jours aussi. </w:t>
      </w:r>
    </w:p>
    <w:p w:rsidR="009615F3" w:rsidRDefault="009615F3" w:rsidP="009615F3">
      <w:r>
        <w:t>-Si le tribunal refuse la saisie du véhicule : article 145 Lpc. C’est le consommateur qui assume alors les risques de perte du bien.</w:t>
      </w:r>
    </w:p>
    <w:p w:rsidR="009615F3" w:rsidRDefault="009615F3" w:rsidP="009615F3"/>
    <w:p w:rsidR="009615F3" w:rsidRDefault="009615F3" w:rsidP="009615F3">
      <w:pPr>
        <w:pStyle w:val="Heading3"/>
      </w:pPr>
      <w:bookmarkStart w:id="30" w:name="_Toc289807025"/>
      <w:r>
        <w:t>Section 4 – La vente de droits successoraux</w:t>
      </w:r>
      <w:bookmarkEnd w:id="30"/>
    </w:p>
    <w:p w:rsidR="009615F3" w:rsidRDefault="009615F3" w:rsidP="009615F3"/>
    <w:p w:rsidR="009615F3" w:rsidRDefault="009615F3" w:rsidP="009615F3">
      <w:r>
        <w:t>On peut vendre des droits dans une succession. Articles 1779 et 1781 CcQ.</w:t>
      </w:r>
    </w:p>
    <w:p w:rsidR="009615F3" w:rsidRDefault="009615F3" w:rsidP="009615F3">
      <w:pPr>
        <w:pStyle w:val="Heading4"/>
        <w:spacing w:after="240"/>
      </w:pPr>
      <w:r>
        <w:t>Sous-section1 – Nature et formation</w:t>
      </w:r>
    </w:p>
    <w:p w:rsidR="009615F3" w:rsidRDefault="009615F3" w:rsidP="009615F3">
      <w:r>
        <w:t>-Contrat aléatoire car quand on achète des droits successoraux, on achète des biens mais aussi des dettes.</w:t>
      </w:r>
    </w:p>
    <w:p w:rsidR="009615F3" w:rsidRDefault="009615F3" w:rsidP="009615F3">
      <w:r>
        <w:t>-On ne peut pas vendre des droits successoraux avant l’ouverture de la succession. Si c’est le cas : contrat de nullité absolue.</w:t>
      </w:r>
    </w:p>
    <w:p w:rsidR="009615F3" w:rsidRDefault="009615F3" w:rsidP="009615F3">
      <w:r>
        <w:t>-Article 1779 CcQ. Article 631 CcQ, renvoi à l’article 1418 CcQ.</w:t>
      </w:r>
    </w:p>
    <w:p w:rsidR="009615F3" w:rsidRDefault="009615F3" w:rsidP="009615F3">
      <w:pPr>
        <w:pStyle w:val="Heading4"/>
        <w:spacing w:after="240"/>
      </w:pPr>
      <w:r>
        <w:t>Sous-section 2 – Effets</w:t>
      </w:r>
    </w:p>
    <w:p w:rsidR="009615F3" w:rsidRDefault="009615F3" w:rsidP="009615F3">
      <w:r>
        <w:t xml:space="preserve">-Effet rétroactif pour un cohéritier. Si vente à un tiers, c’est au moment de la vente que l’échange des droits se fait. </w:t>
      </w:r>
    </w:p>
    <w:p w:rsidR="009615F3" w:rsidRDefault="009615F3" w:rsidP="009615F3">
      <w:r>
        <w:lastRenderedPageBreak/>
        <w:t>-Dans ce cadre de vente-là, l’héritier doit remettre tout ce qu’il a reçu dans la succession. Le tiers doit alors payer tout ce qui a été payé par le vendeur. Article 1780 et 1781 CcQ.</w:t>
      </w:r>
    </w:p>
    <w:p w:rsidR="009615F3" w:rsidRDefault="009615F3" w:rsidP="009615F3">
      <w:r>
        <w:t xml:space="preserve">-C’est un  contrat entre deux personnes : l’héritier et l’acheteur. Quand on vend des droits dans la succession, on est réputé avoir accepté la succession. Mais même si on vend les droits, on demeure responsable de payer les dettes envers les créanciers : à cause de l’article 1440 CcQ. Donc si l’acheteur ne paye pas les créanciers, l’héritier vendu est tenu de payer les créanciers. On doit prendre un recours en garantie contre l’acheteur dans un cas comme ça. </w:t>
      </w:r>
    </w:p>
    <w:p w:rsidR="009615F3" w:rsidRDefault="009615F3" w:rsidP="009615F3">
      <w:r>
        <w:t xml:space="preserve">-On peut comme cohéritier annuler ce contrat-là en repayant ce qui a été payé pour acheter les droits vendus dans la succession (prévu à l’article 848 CcQ). </w:t>
      </w:r>
    </w:p>
    <w:p w:rsidR="009615F3" w:rsidRDefault="009615F3" w:rsidP="009615F3">
      <w:pPr>
        <w:pStyle w:val="Heading2"/>
      </w:pPr>
    </w:p>
    <w:p w:rsidR="009615F3" w:rsidRDefault="009615F3" w:rsidP="009615F3">
      <w:pPr>
        <w:pStyle w:val="Heading2"/>
      </w:pPr>
      <w:bookmarkStart w:id="31" w:name="_Toc289807026"/>
      <w:r>
        <w:t>Chapitre 2 – Les ventes assurant la protection des tiers</w:t>
      </w:r>
      <w:bookmarkEnd w:id="31"/>
    </w:p>
    <w:p w:rsidR="009615F3" w:rsidRDefault="009615F3" w:rsidP="009615F3"/>
    <w:p w:rsidR="009615F3" w:rsidRDefault="009615F3" w:rsidP="009615F3">
      <w:pPr>
        <w:pStyle w:val="Heading3"/>
      </w:pPr>
      <w:bookmarkStart w:id="32" w:name="_Toc289807027"/>
      <w:r>
        <w:t>Section 1- La vente aux enchères</w:t>
      </w:r>
      <w:bookmarkEnd w:id="32"/>
    </w:p>
    <w:p w:rsidR="009615F3" w:rsidRDefault="009615F3" w:rsidP="009615F3"/>
    <w:p w:rsidR="009615F3" w:rsidRDefault="009615F3" w:rsidP="009615F3">
      <w:r>
        <w:t>-De deux façon : volontaire ou forcée. On met un bien à vendre et que l’on doit donner à la personne qui donne le plus haut prix : vente aux enchères forcées.</w:t>
      </w:r>
    </w:p>
    <w:p w:rsidR="009615F3" w:rsidRDefault="009615F3" w:rsidP="009615F3">
      <w:r>
        <w:t xml:space="preserve">-Vente aux enchères volontaire : encan de voitures usagées. </w:t>
      </w:r>
    </w:p>
    <w:p w:rsidR="009615F3" w:rsidRDefault="009615F3" w:rsidP="009615F3">
      <w:r>
        <w:t>-Dans ce type de vente-là, pas de mise à prix initiale. Si on n’en prévoit pas de mise à prix initial, problème. Il faut toujours prévoir ne telle chose au départ et le dire aux acheteurs (article 1759 CcQ)</w:t>
      </w:r>
    </w:p>
    <w:p w:rsidR="009615F3" w:rsidRDefault="009615F3" w:rsidP="009615F3">
      <w:pPr>
        <w:spacing w:after="0"/>
      </w:pPr>
      <w:r>
        <w:t xml:space="preserve">-L’adjudicataire : celui qui met un prix et qui obtient le bien. </w:t>
      </w:r>
    </w:p>
    <w:p w:rsidR="009615F3" w:rsidRDefault="009615F3" w:rsidP="009615F3">
      <w:pPr>
        <w:spacing w:after="0"/>
      </w:pPr>
    </w:p>
    <w:p w:rsidR="009615F3" w:rsidRDefault="009615F3" w:rsidP="009615F3">
      <w:r>
        <w:t xml:space="preserve">-Exception : parfois un créancier hypothécaire va reprendre un immeuble pour le vendre et c’est un type de vente que le créancier peut choisir. Article 900 Cpc : c’est une vente aux enchères volontaire dans ce cas. Donc les règles du Cpc sur les ventes forcées ne s’appliquent pas dans ce cas. </w:t>
      </w:r>
    </w:p>
    <w:p w:rsidR="009615F3" w:rsidRDefault="009615F3" w:rsidP="009615F3">
      <w:pPr>
        <w:spacing w:after="0"/>
      </w:pPr>
      <w:r>
        <w:t>-Si un acheteur ne divulgue pas son identité, l’encanteur est responsable de tout. Article 1760 CcQ. Or les encanteurs sont souvent des huissiers qui ne vont pas accepter d’engager leur responsabilité cependant.</w:t>
      </w:r>
    </w:p>
    <w:p w:rsidR="009615F3" w:rsidRDefault="009615F3" w:rsidP="009615F3">
      <w:pPr>
        <w:spacing w:after="0"/>
      </w:pPr>
    </w:p>
    <w:p w:rsidR="009615F3" w:rsidRDefault="009615F3" w:rsidP="009615F3">
      <w:pPr>
        <w:spacing w:after="0"/>
      </w:pPr>
      <w:r>
        <w:t xml:space="preserve">-Article 1761 CcQ : enchérisseur ne peut jamais retirer son offre. </w:t>
      </w:r>
    </w:p>
    <w:p w:rsidR="009615F3" w:rsidRDefault="009615F3" w:rsidP="009615F3">
      <w:pPr>
        <w:spacing w:after="0"/>
      </w:pPr>
    </w:p>
    <w:p w:rsidR="009615F3" w:rsidRDefault="009615F3" w:rsidP="009615F3">
      <w:r>
        <w:t>-La vente devient parfaite à l’adjudication du bien au dernier enchérisseur. Article 1762 CcQ.</w:t>
      </w:r>
    </w:p>
    <w:p w:rsidR="009615F3" w:rsidRDefault="009615F3" w:rsidP="009615F3">
      <w:r>
        <w:lastRenderedPageBreak/>
        <w:t>-Une fois qu’on est le dernier enchérisseur, soit le vendeur ou l’adjudicateur va pouvoir passer l’acte de vente dans les 10 jours. Article 1763 CcQ.</w:t>
      </w:r>
    </w:p>
    <w:p w:rsidR="009615F3" w:rsidRDefault="009615F3" w:rsidP="009615F3">
      <w:r>
        <w:t>-Si jamais l’acheteur ne veut pas payer le prix : recours selon 1601 et suivants ou aussi on peut penser à une folle enchère et si on prend le bien moins cher, l’acheteur devra payer la différence : article 1765 CcQ.</w:t>
      </w:r>
    </w:p>
    <w:p w:rsidR="009615F3" w:rsidRDefault="009615F3" w:rsidP="009615F3">
      <w:pPr>
        <w:spacing w:after="0"/>
      </w:pPr>
      <w:r>
        <w:t>-Dans le cas d’une vente forcée, ce n’est pas le vendeur qui accepte de vendre mais plutôt quelqu’un qui le force à le faire pour se faire payer.</w:t>
      </w:r>
    </w:p>
    <w:p w:rsidR="009615F3" w:rsidRDefault="009615F3" w:rsidP="009615F3">
      <w:pPr>
        <w:spacing w:after="0"/>
      </w:pPr>
    </w:p>
    <w:p w:rsidR="009615F3" w:rsidRDefault="009615F3" w:rsidP="009615F3">
      <w:pPr>
        <w:spacing w:after="0"/>
      </w:pPr>
      <w:r>
        <w:t xml:space="preserve">-Si on procède à une vente aux enchères mais qu’un autre créancier arrive (avec droit de détention par exemple), cet autre créancier va pouvoir réclamer tous ses frais. </w:t>
      </w:r>
    </w:p>
    <w:p w:rsidR="009615F3" w:rsidRDefault="009615F3" w:rsidP="009615F3">
      <w:pPr>
        <w:spacing w:after="0"/>
      </w:pPr>
    </w:p>
    <w:p w:rsidR="009615F3" w:rsidRDefault="009615F3" w:rsidP="009615F3">
      <w:pPr>
        <w:spacing w:after="0"/>
      </w:pPr>
    </w:p>
    <w:p w:rsidR="009615F3" w:rsidRDefault="009615F3" w:rsidP="009615F3">
      <w:pPr>
        <w:spacing w:after="0"/>
        <w:rPr>
          <w:i/>
          <w:u w:val="single"/>
        </w:rPr>
      </w:pPr>
      <w:r w:rsidRPr="00937721">
        <w:rPr>
          <w:i/>
          <w:u w:val="single"/>
        </w:rPr>
        <w:t xml:space="preserve">Cours 12, le 16 mars 2011 </w:t>
      </w:r>
    </w:p>
    <w:p w:rsidR="009615F3" w:rsidRDefault="009615F3" w:rsidP="009615F3">
      <w:pPr>
        <w:spacing w:after="0"/>
      </w:pPr>
    </w:p>
    <w:p w:rsidR="009615F3" w:rsidRDefault="009615F3" w:rsidP="009615F3">
      <w:pPr>
        <w:spacing w:after="0"/>
      </w:pPr>
      <w:r>
        <w:t xml:space="preserve">Bref résumé de la semaine passée : vente avec faculté de rachat et vente à tempérament. Et la vente aux enchères aussi. </w:t>
      </w:r>
    </w:p>
    <w:p w:rsidR="009615F3" w:rsidRPr="00937721" w:rsidRDefault="009615F3" w:rsidP="009615F3">
      <w:pPr>
        <w:spacing w:after="0"/>
      </w:pPr>
    </w:p>
    <w:p w:rsidR="009615F3" w:rsidRDefault="009615F3" w:rsidP="009615F3">
      <w:pPr>
        <w:pStyle w:val="Heading3"/>
      </w:pPr>
      <w:bookmarkStart w:id="33" w:name="_Toc289807028"/>
      <w:r>
        <w:t>Section 2- La vente de droits litigieux</w:t>
      </w:r>
      <w:bookmarkEnd w:id="33"/>
    </w:p>
    <w:p w:rsidR="009615F3" w:rsidRDefault="009615F3" w:rsidP="009615F3">
      <w:pPr>
        <w:pStyle w:val="Heading4"/>
        <w:spacing w:after="240"/>
      </w:pPr>
      <w:r>
        <w:t>Sous-section 1- Notion et validité</w:t>
      </w:r>
    </w:p>
    <w:p w:rsidR="009615F3" w:rsidRDefault="009615F3" w:rsidP="009615F3">
      <w:r>
        <w:t>-Article 1782 CcQ : il faut qu’un droit soit contesté pour être litigieux.</w:t>
      </w:r>
    </w:p>
    <w:p w:rsidR="009615F3" w:rsidRDefault="009615F3" w:rsidP="009615F3">
      <w:pPr>
        <w:spacing w:after="0"/>
      </w:pPr>
      <w:r>
        <w:t>-Article 1783 CcQ : les juges et avocats ne peuvent jamais acheter de tels droits. Ce n’est pas susceptible de confirmation (1418 CcQ car ordre public).</w:t>
      </w:r>
    </w:p>
    <w:p w:rsidR="009615F3" w:rsidRDefault="009615F3" w:rsidP="009615F3">
      <w:r>
        <w:t xml:space="preserve"> </w:t>
      </w:r>
    </w:p>
    <w:p w:rsidR="009615F3" w:rsidRDefault="009615F3" w:rsidP="009615F3">
      <w:pPr>
        <w:pStyle w:val="Heading4"/>
      </w:pPr>
      <w:r>
        <w:t>Sous-section 2 – Droit de retrait</w:t>
      </w:r>
    </w:p>
    <w:p w:rsidR="009615F3" w:rsidRDefault="009615F3" w:rsidP="009615F3">
      <w:pPr>
        <w:spacing w:before="240"/>
      </w:pPr>
      <w:r>
        <w:t>-Si la vente est faite en échange de ce qui lui était dû : on ne peut lui racheter ses droits. Aussi le cohéritier ou le copropriétaire. Article 1784 CcQ : cas interdit de rachat). Ni au possesseur du bien : on ne peut pas posséder au rachat de la vente de droits litigieux.</w:t>
      </w:r>
    </w:p>
    <w:p w:rsidR="009615F3" w:rsidRDefault="009615F3" w:rsidP="009615F3">
      <w:pPr>
        <w:spacing w:before="240"/>
      </w:pPr>
      <w:r>
        <w:t>-Il faut que le vendeur racheteur remplisse certaines conditions de l’article 1784 CcQ : remboursement du prix de vente, frais et intérêts sur le prix calculés à compter du jour où le paiement a été fait.</w:t>
      </w:r>
    </w:p>
    <w:p w:rsidR="009615F3" w:rsidRDefault="009615F3" w:rsidP="009615F3">
      <w:pPr>
        <w:spacing w:before="240"/>
      </w:pPr>
      <w:r>
        <w:t>-Si le dossier est en délibéré, il est trop tard pour racheter le droit litigieux</w:t>
      </w:r>
    </w:p>
    <w:p w:rsidR="009615F3" w:rsidRDefault="009615F3" w:rsidP="009615F3">
      <w:pPr>
        <w:spacing w:before="240"/>
      </w:pPr>
      <w:r>
        <w:t>-Effets : article 1784 est clair : effet rétroactif car remboursement d’intérêts depuis le jour où le paiement a été fait.</w:t>
      </w:r>
    </w:p>
    <w:p w:rsidR="009615F3" w:rsidRDefault="009615F3" w:rsidP="009615F3">
      <w:pPr>
        <w:spacing w:before="240"/>
      </w:pPr>
      <w:r>
        <w:t xml:space="preserve">-Entre les parties, les obligations entre le vendeur et l’acheteur sont les mêmes que dans tout contrat. </w:t>
      </w:r>
    </w:p>
    <w:p w:rsidR="009615F3" w:rsidRDefault="009615F3" w:rsidP="009615F3">
      <w:pPr>
        <w:spacing w:before="240"/>
      </w:pPr>
    </w:p>
    <w:p w:rsidR="009615F3" w:rsidRDefault="009615F3" w:rsidP="009615F3">
      <w:pPr>
        <w:pStyle w:val="Heading3"/>
      </w:pPr>
      <w:bookmarkStart w:id="34" w:name="_Toc289807029"/>
      <w:r>
        <w:t>Section 3 – La vente de créance</w:t>
      </w:r>
      <w:bookmarkEnd w:id="34"/>
    </w:p>
    <w:p w:rsidR="009615F3" w:rsidRDefault="009615F3" w:rsidP="009615F3">
      <w:pPr>
        <w:spacing w:before="240"/>
      </w:pPr>
      <w:r>
        <w:t>-On appelle ça en pratique, la cession de créance, soit à titre gratuit (donation) ou à titre onéreux. Articles 1637 à 1650 CcQ.</w:t>
      </w:r>
    </w:p>
    <w:p w:rsidR="009615F3" w:rsidRDefault="009615F3" w:rsidP="009615F3">
      <w:pPr>
        <w:spacing w:before="240"/>
      </w:pPr>
      <w:r>
        <w:t>-Dans la vente à tempérament, il va falloir respecter les règles de cession de créance que l’on voit aujourd’hui.</w:t>
      </w:r>
    </w:p>
    <w:p w:rsidR="009615F3" w:rsidRDefault="009615F3" w:rsidP="009615F3">
      <w:pPr>
        <w:spacing w:before="240"/>
      </w:pPr>
      <w:r>
        <w:t>-Le débiteur de la créance ne sera jamais partie à la créance. Donc ses obligations ne seront jamais plus onéreuses.</w:t>
      </w:r>
    </w:p>
    <w:p w:rsidR="009615F3" w:rsidRDefault="009615F3" w:rsidP="009615F3">
      <w:pPr>
        <w:spacing w:before="240"/>
      </w:pPr>
      <w:r>
        <w:t>-Définition à l’article 1637 CcQ. On peut céder une partie ou le total de la créance. 2</w:t>
      </w:r>
      <w:r w:rsidRPr="003A4B29">
        <w:rPr>
          <w:vertAlign w:val="superscript"/>
        </w:rPr>
        <w:t>e</w:t>
      </w:r>
      <w:r>
        <w:t xml:space="preserve"> alinéa renvoi à l’article 1440 CcQ : dans tous les cas, on cède automatiquement tous les accessoires à la créance quand on cède une créance comme une hypothèque, etc. Il est important de vérifier quels accessoires sont cédés aussi pour parfois faire des actions supplémentaires pour les opposer aux tiers.</w:t>
      </w:r>
    </w:p>
    <w:p w:rsidR="009615F3" w:rsidRDefault="009615F3" w:rsidP="009615F3">
      <w:pPr>
        <w:spacing w:before="240"/>
      </w:pPr>
      <w:r>
        <w:t>-Les ventes de créances c’est un contrat aléatoire. Exemple : des bureaux  de recouvrement achètent les créances. C’est spéculatif. Les agences de recouvrement font revivre des dettes car souvent ce sont des créances qui ne peuvent même pas être récupérés légalement car prescrites.</w:t>
      </w:r>
    </w:p>
    <w:p w:rsidR="009615F3" w:rsidRDefault="009615F3" w:rsidP="009615F3">
      <w:pPr>
        <w:pStyle w:val="Heading4"/>
      </w:pPr>
      <w:r>
        <w:t>Sous-section 2 – Conditions de formation et d’opposabilité</w:t>
      </w:r>
    </w:p>
    <w:p w:rsidR="009615F3" w:rsidRDefault="009615F3" w:rsidP="009615F3">
      <w:pPr>
        <w:spacing w:before="240"/>
      </w:pPr>
      <w:r>
        <w:t>-A vend B  créance C. Lors d’un achat d’automobile…On doit mettre en preuve que C a obtenu une copie et que C doit la Banque…pas suivi ici.</w:t>
      </w:r>
    </w:p>
    <w:p w:rsidR="009615F3" w:rsidRDefault="009615F3" w:rsidP="009615F3">
      <w:pPr>
        <w:spacing w:before="240"/>
      </w:pPr>
      <w:r>
        <w:t>-Universalités de créances : il faut que A vende toutes ses créances à B dans ce cas. Dans ce cas, étape supplémentaire. Une seule créance : l’article 1641 CcQ, une seule étape. Universalité de créance : Article 1642 CcQ (on doit respecter 1641 pour chacune des créances et on doit publier au RDPRM en vertu de 1642 CcQ).</w:t>
      </w:r>
    </w:p>
    <w:p w:rsidR="009615F3" w:rsidRDefault="009615F3" w:rsidP="009615F3">
      <w:pPr>
        <w:spacing w:before="240"/>
      </w:pPr>
      <w:r>
        <w:t xml:space="preserve">-Si hypothèque à une créance : article 3003 CcQ. Inscription </w:t>
      </w:r>
    </w:p>
    <w:p w:rsidR="009615F3" w:rsidRDefault="009615F3" w:rsidP="009615F3">
      <w:pPr>
        <w:spacing w:before="240"/>
      </w:pPr>
      <w:r>
        <w:t xml:space="preserve">-Seule exception : la créance en vertu du titre au porteur. Exemple : un chèque en blanc, un chèque endossé. Dans un cas comme ça, pas de publication nécessaire. Article 1647 CcQ. </w:t>
      </w:r>
    </w:p>
    <w:p w:rsidR="009615F3" w:rsidRDefault="009615F3" w:rsidP="009615F3">
      <w:pPr>
        <w:spacing w:before="240"/>
      </w:pPr>
      <w:r>
        <w:t xml:space="preserve">-Si C paye A et A donne quittance à C, le débiteur est correct si la cession de créance ne lui est pas opposable (car on n’a pas respecté les conditions comme avisé le débiteur de la cession de créance). </w:t>
      </w:r>
    </w:p>
    <w:p w:rsidR="009615F3" w:rsidRDefault="009615F3" w:rsidP="009615F3">
      <w:pPr>
        <w:spacing w:before="240"/>
      </w:pPr>
      <w:r>
        <w:t>-Voir les notes d’obligations 2 pour comprendre plus ici</w:t>
      </w:r>
    </w:p>
    <w:p w:rsidR="009615F3" w:rsidRDefault="009615F3" w:rsidP="009615F3">
      <w:r>
        <w:t xml:space="preserve">- Un paiement fait à un créancier apparent est valable. </w:t>
      </w:r>
    </w:p>
    <w:p w:rsidR="009615F3" w:rsidRDefault="009615F3" w:rsidP="009615F3">
      <w:r>
        <w:lastRenderedPageBreak/>
        <w:t xml:space="preserve">-Parfois, on peut vendre une créance aux risques et périls de l’acheteur. C’est valable. On peut aussi vendre une créance en disant qu’on n’est pas certain qu’on peut encore réclamer la créance mais il faut avertir du caractère incertain de la créance l’acheteur. Article 1639 CcQ. On peut aussi augmenter la garantie : article 1640 CcQ en garantissant la solvabilité du débiteur au moment de la vente. </w:t>
      </w:r>
    </w:p>
    <w:p w:rsidR="009615F3" w:rsidRDefault="009615F3" w:rsidP="009615F3"/>
    <w:p w:rsidR="009615F3" w:rsidRDefault="009615F3" w:rsidP="009615F3">
      <w:r>
        <w:t>-On peut aller même aller plus loin : garantie de fournir et faire valoir. On cautionne que la dette va être payée quand elle va être due. Il faut faire attention ici : est-ce que c’est sur le prix de vente ou la totalité de la dette. Selon le prof, cela devrait être sur la totalité de la vente. Article 1656 CcQ.</w:t>
      </w:r>
    </w:p>
    <w:p w:rsidR="009615F3" w:rsidRDefault="009615F3" w:rsidP="009615F3">
      <w:r>
        <w:t>-Tout le monde est payé en proportion de ce qui détient si on ne peut pas payer en entier : article 1646 CcQ.</w:t>
      </w:r>
    </w:p>
    <w:p w:rsidR="009615F3" w:rsidRDefault="009615F3" w:rsidP="009615F3"/>
    <w:p w:rsidR="009615F3" w:rsidRDefault="009615F3" w:rsidP="009615F3"/>
    <w:p w:rsidR="009615F3" w:rsidRDefault="009615F3" w:rsidP="009615F3"/>
    <w:p w:rsidR="009615F3" w:rsidRDefault="009615F3" w:rsidP="009615F3">
      <w:pPr>
        <w:pStyle w:val="Heading1"/>
      </w:pPr>
      <w:bookmarkStart w:id="35" w:name="_Toc289807030"/>
      <w:r>
        <w:t>Titre III – Les contrats apparentés à la vente</w:t>
      </w:r>
      <w:bookmarkEnd w:id="35"/>
    </w:p>
    <w:p w:rsidR="009615F3" w:rsidRDefault="009615F3" w:rsidP="009615F3"/>
    <w:p w:rsidR="009615F3" w:rsidRDefault="009615F3" w:rsidP="009615F3">
      <w:pPr>
        <w:pStyle w:val="Heading2"/>
      </w:pPr>
      <w:bookmarkStart w:id="36" w:name="_Toc289807031"/>
      <w:r>
        <w:t>Chapitre 1- L’échange</w:t>
      </w:r>
      <w:bookmarkEnd w:id="36"/>
    </w:p>
    <w:p w:rsidR="009615F3" w:rsidRDefault="009615F3" w:rsidP="009615F3"/>
    <w:p w:rsidR="009615F3" w:rsidRDefault="009615F3" w:rsidP="009615F3">
      <w:r>
        <w:t>-Deux parties s’échangent mutuellement des biens. On doit aussi donner des garanties.</w:t>
      </w:r>
    </w:p>
    <w:p w:rsidR="009615F3" w:rsidRDefault="009615F3" w:rsidP="009615F3">
      <w:r>
        <w:t xml:space="preserve">-Il peut dans un contrat comme ça le paiement d’une soulte : on paye un montant d’argent pour compenser la différence. Mais si ce montant est plus important que la valeur du bien, alors ceci devient un contrat de vente. Article 1795 CcQ. </w:t>
      </w:r>
    </w:p>
    <w:p w:rsidR="009615F3" w:rsidRDefault="009615F3" w:rsidP="009615F3">
      <w:r>
        <w:t xml:space="preserve">-Article 1796 CcQ. </w:t>
      </w:r>
    </w:p>
    <w:p w:rsidR="009615F3" w:rsidRDefault="009615F3" w:rsidP="009615F3">
      <w:r>
        <w:t>-Article 1798 CcQ : toutes les règles de la vente s’applique.</w:t>
      </w:r>
    </w:p>
    <w:p w:rsidR="009615F3" w:rsidRDefault="009615F3" w:rsidP="009615F3">
      <w:r>
        <w:t>-La partie qui est évincé du bien peut exiger des dommages et intérêts et reprendre son bien.</w:t>
      </w:r>
    </w:p>
    <w:p w:rsidR="009615F3" w:rsidRDefault="009615F3" w:rsidP="009615F3"/>
    <w:p w:rsidR="009615F3" w:rsidRDefault="009615F3" w:rsidP="009615F3">
      <w:pPr>
        <w:pStyle w:val="Heading2"/>
      </w:pPr>
      <w:bookmarkStart w:id="37" w:name="_Toc289807032"/>
      <w:r>
        <w:t>Chapitre 2 – La dation en paiement</w:t>
      </w:r>
      <w:bookmarkEnd w:id="37"/>
    </w:p>
    <w:p w:rsidR="009615F3" w:rsidRDefault="009615F3" w:rsidP="009615F3"/>
    <w:p w:rsidR="009615F3" w:rsidRDefault="009615F3" w:rsidP="009615F3">
      <w:r>
        <w:lastRenderedPageBreak/>
        <w:t>-Un peu plus souvent dans tout recours hypothécaire. Souvent dans ce type de recours, le débiteur va remettre le bien en échange de l’extinction de la dette.</w:t>
      </w:r>
    </w:p>
    <w:p w:rsidR="009615F3" w:rsidRDefault="009615F3" w:rsidP="009615F3">
      <w:r>
        <w:t>-Article 1799 CcQ. Définition</w:t>
      </w:r>
    </w:p>
    <w:p w:rsidR="009615F3" w:rsidRDefault="009615F3" w:rsidP="009615F3">
      <w:r>
        <w:t>-Dans tous les cas, une dation en paiement annule la dette.</w:t>
      </w:r>
    </w:p>
    <w:p w:rsidR="009615F3" w:rsidRDefault="009615F3" w:rsidP="009615F3">
      <w:r>
        <w:t>-On ne peut jamais forcer un créancier à recevoir un bien en paiement de la dette. Il faut que le créancier accepte de prendre le bien. On ne peut pas forcer un débiteur à nous remettre un bien s’il ne le veut pas.</w:t>
      </w:r>
    </w:p>
    <w:p w:rsidR="009615F3" w:rsidRDefault="009615F3" w:rsidP="009615F3">
      <w:r>
        <w:t>-Article 1801 CcQ : on ne peut pas prévoir à l’avance dans un contrat l’obligation de remettre le bien en cas de défaut : contre l’ordre public.</w:t>
      </w:r>
    </w:p>
    <w:p w:rsidR="009615F3" w:rsidRDefault="009615F3" w:rsidP="009615F3"/>
    <w:p w:rsidR="009615F3" w:rsidRDefault="009615F3" w:rsidP="009615F3">
      <w:pPr>
        <w:pStyle w:val="Heading2"/>
      </w:pPr>
      <w:bookmarkStart w:id="38" w:name="_Toc289807033"/>
      <w:r>
        <w:t>Chapitre 3 – Le bail à rente</w:t>
      </w:r>
      <w:bookmarkEnd w:id="38"/>
    </w:p>
    <w:p w:rsidR="009615F3" w:rsidRDefault="009615F3" w:rsidP="009615F3">
      <w:pPr>
        <w:spacing w:before="240" w:after="0"/>
      </w:pPr>
      <w:r>
        <w:t>-On ne voit pas ça en pratique.</w:t>
      </w:r>
    </w:p>
    <w:p w:rsidR="009615F3" w:rsidRDefault="009615F3" w:rsidP="009615F3">
      <w:pPr>
        <w:spacing w:before="240" w:after="0"/>
      </w:pPr>
      <w:r>
        <w:t>-Seulement dans l’immobilier. Le vendeur lui transfère un bien en échange d’une rente. Bailleur : vendeur, preneur : celui qui paye la rente.</w:t>
      </w:r>
    </w:p>
    <w:p w:rsidR="009615F3" w:rsidRDefault="009615F3" w:rsidP="009615F3">
      <w:pPr>
        <w:spacing w:before="240" w:after="0"/>
      </w:pPr>
      <w:r>
        <w:t>-Le bailleur ne détient plus la propriétaire mais détient un recours personnel contre le preneur pour le paiement de la rente. Le bailleur va souvent prendre une hypothèque pour s’assurer de se faire payer la rente.</w:t>
      </w:r>
    </w:p>
    <w:p w:rsidR="009615F3" w:rsidRDefault="009615F3" w:rsidP="009615F3">
      <w:pPr>
        <w:spacing w:before="240" w:after="0"/>
      </w:pPr>
      <w:r>
        <w:t xml:space="preserve">-Si rente viagère, cela ne peut jamais excéder  100 ans mais la personne qui a acheté l’immeuble peut actualiser la dette et payer en entier. </w:t>
      </w:r>
    </w:p>
    <w:p w:rsidR="009615F3" w:rsidRDefault="009615F3" w:rsidP="009615F3">
      <w:pPr>
        <w:spacing w:before="240" w:after="0"/>
      </w:pPr>
      <w:r>
        <w:t xml:space="preserve">-Article 1802 CcQ. Renvoi à l’article 2371 CcQ : on peut capitaliser la rente. On doit déterminer le montant nécessaire pour se payer la rente…pas compris ici. </w:t>
      </w:r>
    </w:p>
    <w:p w:rsidR="009615F3" w:rsidRDefault="009615F3" w:rsidP="009615F3">
      <w:pPr>
        <w:spacing w:before="240" w:after="0"/>
      </w:pPr>
    </w:p>
    <w:p w:rsidR="009615F3" w:rsidRPr="001823EE" w:rsidRDefault="009615F3" w:rsidP="009615F3">
      <w:pPr>
        <w:spacing w:before="240" w:after="0"/>
        <w:rPr>
          <w:i/>
          <w:u w:val="single"/>
        </w:rPr>
      </w:pPr>
      <w:r w:rsidRPr="001823EE">
        <w:rPr>
          <w:i/>
          <w:u w:val="single"/>
        </w:rPr>
        <w:t>Cours 13, le 17 mars 2011</w:t>
      </w:r>
    </w:p>
    <w:p w:rsidR="009615F3" w:rsidRDefault="009615F3" w:rsidP="009615F3">
      <w:pPr>
        <w:pStyle w:val="Heading1"/>
      </w:pPr>
      <w:bookmarkStart w:id="39" w:name="_Toc289807034"/>
      <w:r>
        <w:t>Titre IV- Les donations entre vifs</w:t>
      </w:r>
      <w:bookmarkEnd w:id="39"/>
    </w:p>
    <w:p w:rsidR="009615F3" w:rsidRDefault="009615F3" w:rsidP="009615F3">
      <w:pPr>
        <w:pStyle w:val="Heading2"/>
      </w:pPr>
      <w:bookmarkStart w:id="40" w:name="_Toc289807035"/>
      <w:r>
        <w:t>Chapitre 1- Remarques préliminaires</w:t>
      </w:r>
      <w:bookmarkEnd w:id="40"/>
    </w:p>
    <w:p w:rsidR="009615F3" w:rsidRDefault="009615F3" w:rsidP="009615F3">
      <w:pPr>
        <w:spacing w:before="240" w:after="0"/>
      </w:pPr>
      <w:r>
        <w:t>-Articles 1806 à 1841 CcQ</w:t>
      </w:r>
    </w:p>
    <w:p w:rsidR="009615F3" w:rsidRDefault="009615F3" w:rsidP="009615F3">
      <w:pPr>
        <w:spacing w:before="240" w:after="0"/>
      </w:pPr>
      <w:r>
        <w:t>-Transfert de propriété sans contrepartie. Sinon, pas de donation</w:t>
      </w:r>
    </w:p>
    <w:p w:rsidR="009615F3" w:rsidRDefault="009615F3" w:rsidP="009615F3">
      <w:pPr>
        <w:spacing w:before="240" w:after="0"/>
      </w:pPr>
      <w:r>
        <w:t>-Deux types de donation : entre vifs et à cause de mort</w:t>
      </w:r>
    </w:p>
    <w:p w:rsidR="009615F3" w:rsidRDefault="009615F3" w:rsidP="009615F3">
      <w:pPr>
        <w:pStyle w:val="Heading2"/>
      </w:pPr>
    </w:p>
    <w:p w:rsidR="009615F3" w:rsidRDefault="009615F3" w:rsidP="009615F3">
      <w:pPr>
        <w:pStyle w:val="Heading2"/>
      </w:pPr>
      <w:bookmarkStart w:id="41" w:name="_Toc289807036"/>
      <w:r>
        <w:t>Chapitre 2- Nature juridique</w:t>
      </w:r>
      <w:bookmarkEnd w:id="41"/>
    </w:p>
    <w:p w:rsidR="009615F3" w:rsidRDefault="009615F3" w:rsidP="009615F3">
      <w:pPr>
        <w:spacing w:before="240" w:after="0"/>
      </w:pPr>
      <w:r>
        <w:t>-Article 1806 CcQ : définition</w:t>
      </w:r>
    </w:p>
    <w:p w:rsidR="009615F3" w:rsidRDefault="009615F3" w:rsidP="009615F3">
      <w:pPr>
        <w:spacing w:before="240" w:after="0"/>
      </w:pPr>
      <w:r>
        <w:t>-Deux éléments : un appauvrissement du donateur et la volonté du donateur d’enrichir le donataire. Le législateur a prévu lorsqu’il y a renonciation à une succession, il y a un accroissement de la part des autres héritiers : ceci n’est pas une donation, selon l’article 1809 CcQ.</w:t>
      </w:r>
    </w:p>
    <w:p w:rsidR="009615F3" w:rsidRDefault="009615F3" w:rsidP="009615F3">
      <w:pPr>
        <w:spacing w:before="240" w:after="0"/>
      </w:pPr>
      <w:r>
        <w:t>-Parfois, on peut ajouter une charge à une donation comme à charge de payer un montant X. Dans ce cas, la donation est la différence entre le montant payé et la valeur de la donation. Article 1810 CcQ. Donation rémunératoire.</w:t>
      </w:r>
    </w:p>
    <w:p w:rsidR="009615F3" w:rsidRDefault="009615F3" w:rsidP="009615F3">
      <w:pPr>
        <w:spacing w:before="240" w:after="0"/>
      </w:pPr>
      <w:r>
        <w:t>-Charges règles spécifiques aux articles 1831 et 1835 CcQ</w:t>
      </w:r>
    </w:p>
    <w:p w:rsidR="009615F3" w:rsidRDefault="009615F3" w:rsidP="009615F3">
      <w:pPr>
        <w:spacing w:before="240" w:after="0"/>
      </w:pPr>
      <w:r>
        <w:t xml:space="preserve">-Donation entre vifs : doit se faire par acte notarié. Si pas acte notarié, donation nulle de nullité absolue. Deux exceptions : (1) donation déguisée : il faut qu’on a tenté de dissimuler une donation (genre donation à charge et sous autres conditions et il n’y a pas d’autres conditions ???) (art 1811 CcQ) et donation manuelle (simplement pour des biens meubles) : on donne le bien et le donataire prend possession du bien immédiatement (art 1824 al 2 CcQ).  </w:t>
      </w:r>
    </w:p>
    <w:p w:rsidR="009615F3" w:rsidRDefault="009615F3" w:rsidP="009615F3">
      <w:pPr>
        <w:spacing w:before="240" w:after="0"/>
      </w:pPr>
      <w:r>
        <w:t xml:space="preserve">-Dans le cas d’une donation entre vifs, cela ne peut jamais être révocable. Sinon, ce n’est pas une donation entre vifs. </w:t>
      </w:r>
    </w:p>
    <w:p w:rsidR="009615F3" w:rsidRDefault="009615F3" w:rsidP="009615F3">
      <w:pPr>
        <w:spacing w:before="240" w:after="0"/>
      </w:pPr>
      <w:r>
        <w:t xml:space="preserve">-L’article 1807 al 2 CcQ nous permet de faire une donation sur un bien à venir. </w:t>
      </w:r>
    </w:p>
    <w:p w:rsidR="009615F3" w:rsidRDefault="009615F3" w:rsidP="009615F3">
      <w:pPr>
        <w:spacing w:before="240" w:after="0"/>
      </w:pPr>
      <w:r>
        <w:t>-Donation entre vifs peut être à terme. Exemple je donne ma maison à Jean mais la délivrance dans 2 ans.</w:t>
      </w:r>
    </w:p>
    <w:p w:rsidR="009615F3" w:rsidRDefault="009615F3" w:rsidP="009615F3">
      <w:pPr>
        <w:spacing w:before="240" w:after="0"/>
      </w:pPr>
      <w:r>
        <w:t>-Donation à cause de mort : dessaisissement au moment de la mort et seulement dans le cas d’un contrat de mariage entre conjoints. Si pas fait dans le cadre d’un contrat de mariage, c’est un legs à titre particulier. Les donations à cause de mort sont révocables. Article 1841 CcQ. Mais on peut toujours donner les biens à titre onéreux mais pas les donner sans le consentement du donataire.</w:t>
      </w:r>
    </w:p>
    <w:p w:rsidR="009615F3" w:rsidRDefault="009615F3" w:rsidP="009615F3">
      <w:pPr>
        <w:spacing w:before="240" w:after="0"/>
      </w:pPr>
      <w:r>
        <w:t xml:space="preserve">-Conditions suspensive : on soumet la donation à la condition du prédécès du donataire. Ce n’est pas une donation entre vifs mais une donation à cause de mort. </w:t>
      </w:r>
    </w:p>
    <w:p w:rsidR="009615F3" w:rsidRDefault="009615F3" w:rsidP="009615F3">
      <w:pPr>
        <w:spacing w:before="240" w:after="0"/>
      </w:pPr>
      <w:r>
        <w:t>-Condition résolutoire : on donne un bien et s’il pré-décède, il doit redonner le bien. Ceci est valable. Valide car transfert de propriété.</w:t>
      </w:r>
    </w:p>
    <w:p w:rsidR="009615F3" w:rsidRPr="008D777E" w:rsidRDefault="009615F3" w:rsidP="009615F3">
      <w:pPr>
        <w:pStyle w:val="Heading2"/>
        <w:rPr>
          <w:rFonts w:ascii="Arial" w:hAnsi="Arial" w:cs="Arial"/>
          <w:b w:val="0"/>
          <w:sz w:val="24"/>
          <w:szCs w:val="24"/>
        </w:rPr>
      </w:pPr>
      <w:bookmarkStart w:id="42" w:name="_Toc289807037"/>
      <w:r>
        <w:rPr>
          <w:rFonts w:ascii="Arial" w:hAnsi="Arial" w:cs="Arial"/>
          <w:b w:val="0"/>
          <w:sz w:val="24"/>
          <w:szCs w:val="24"/>
        </w:rPr>
        <w:lastRenderedPageBreak/>
        <w:t>- Si annulé : remise dans l’état précontractuel</w:t>
      </w:r>
      <w:bookmarkEnd w:id="42"/>
    </w:p>
    <w:p w:rsidR="009615F3" w:rsidRPr="008D777E" w:rsidRDefault="009615F3" w:rsidP="009615F3">
      <w:pPr>
        <w:pStyle w:val="Heading2"/>
        <w:rPr>
          <w:rFonts w:ascii="Arial" w:hAnsi="Arial" w:cs="Arial"/>
          <w:b w:val="0"/>
          <w:sz w:val="24"/>
          <w:szCs w:val="24"/>
        </w:rPr>
      </w:pPr>
    </w:p>
    <w:p w:rsidR="009615F3" w:rsidRDefault="009615F3" w:rsidP="009615F3">
      <w:pPr>
        <w:pStyle w:val="Heading2"/>
      </w:pPr>
      <w:bookmarkStart w:id="43" w:name="_Toc289807038"/>
      <w:r>
        <w:t>Chapitre 3 – Condition de fond</w:t>
      </w:r>
      <w:bookmarkEnd w:id="43"/>
      <w:r>
        <w:t xml:space="preserve"> </w:t>
      </w:r>
    </w:p>
    <w:p w:rsidR="009615F3" w:rsidRPr="008D777E" w:rsidRDefault="009615F3" w:rsidP="009615F3">
      <w:pPr>
        <w:pStyle w:val="Heading2"/>
        <w:rPr>
          <w:rFonts w:ascii="Arial" w:hAnsi="Arial" w:cs="Arial"/>
          <w:b w:val="0"/>
          <w:sz w:val="24"/>
          <w:szCs w:val="24"/>
        </w:rPr>
      </w:pPr>
      <w:bookmarkStart w:id="44" w:name="_Toc289807039"/>
      <w:r w:rsidRPr="008D777E">
        <w:rPr>
          <w:rFonts w:ascii="Arial" w:hAnsi="Arial" w:cs="Arial"/>
          <w:b w:val="0"/>
          <w:sz w:val="24"/>
          <w:szCs w:val="24"/>
        </w:rPr>
        <w:t>-Mêmes que la vente sauf formalisme : acte notarié ou contrat de mariage</w:t>
      </w:r>
      <w:bookmarkEnd w:id="44"/>
    </w:p>
    <w:p w:rsidR="009615F3" w:rsidRPr="008D777E" w:rsidRDefault="009615F3" w:rsidP="009615F3">
      <w:pPr>
        <w:spacing w:before="240" w:line="276" w:lineRule="auto"/>
        <w:rPr>
          <w:rFonts w:cs="Arial"/>
          <w:szCs w:val="24"/>
        </w:rPr>
      </w:pPr>
      <w:r w:rsidRPr="008D777E">
        <w:rPr>
          <w:rFonts w:cs="Arial"/>
          <w:szCs w:val="24"/>
        </w:rPr>
        <w:t>-Les règles ne sont pas les mêmes pour les promesses de donation. Dommages limités par l’article 1812 CcQ.</w:t>
      </w:r>
    </w:p>
    <w:p w:rsidR="009615F3" w:rsidRDefault="009615F3" w:rsidP="009615F3">
      <w:pPr>
        <w:pStyle w:val="Heading2"/>
        <w:rPr>
          <w:rFonts w:ascii="Arial" w:hAnsi="Arial" w:cs="Arial"/>
          <w:b w:val="0"/>
          <w:sz w:val="24"/>
          <w:szCs w:val="24"/>
        </w:rPr>
      </w:pPr>
      <w:bookmarkStart w:id="45" w:name="_Toc289807040"/>
      <w:r>
        <w:rPr>
          <w:rFonts w:ascii="Arial" w:hAnsi="Arial" w:cs="Arial"/>
          <w:b w:val="0"/>
          <w:sz w:val="24"/>
          <w:szCs w:val="24"/>
        </w:rPr>
        <w:t>-Articles 1813 et suivants. Un mineur ne peut pas faire de donation : nullité absolue. Le mineur doit toujours être représenté pour recevoir une donation. Attention ne s’applique pas pour le mineur pleinement émancipé.</w:t>
      </w:r>
      <w:bookmarkEnd w:id="45"/>
    </w:p>
    <w:p w:rsidR="009615F3" w:rsidRDefault="009615F3" w:rsidP="009615F3">
      <w:pPr>
        <w:spacing w:before="240"/>
      </w:pPr>
      <w:r>
        <w:t xml:space="preserve">-Le conseiller au majeur. Article 1815 CcQ. </w:t>
      </w:r>
    </w:p>
    <w:p w:rsidR="009615F3" w:rsidRDefault="009615F3" w:rsidP="009615F3">
      <w:pPr>
        <w:spacing w:before="240"/>
      </w:pPr>
      <w:r>
        <w:t>-Dessaisissement : droit du donataire de poursuivre le donataire pour obtenir le dessaisissement.</w:t>
      </w:r>
    </w:p>
    <w:p w:rsidR="009615F3" w:rsidRDefault="009615F3" w:rsidP="009615F3">
      <w:pPr>
        <w:spacing w:before="240"/>
      </w:pPr>
      <w:r>
        <w:t xml:space="preserve">-Si un donateur donne un bien qui ne lui appartient pas : nullité absolue en vertu de 1816 CcQ. </w:t>
      </w:r>
    </w:p>
    <w:p w:rsidR="009615F3" w:rsidRDefault="009615F3" w:rsidP="009615F3">
      <w:pPr>
        <w:spacing w:before="240"/>
      </w:pPr>
      <w:r>
        <w:t xml:space="preserve">-On ne peut jamais faire une donation à titre universelle ou universelle. Article 1823 CcQ. </w:t>
      </w:r>
    </w:p>
    <w:p w:rsidR="009615F3" w:rsidRDefault="009615F3" w:rsidP="009615F3">
      <w:pPr>
        <w:spacing w:before="240"/>
      </w:pPr>
      <w:r>
        <w:t xml:space="preserve">-Donation jamais possible : pendant une période de maladie prolongée mortelle du donateur. Il faut que la donation soit faire pendant la maladie (et non pas un accident…). Il faut que la personne qui soit malade ait connaissance du fait qu’elle a la maladie. Il faut qu’elle ait la croyance qu’elle va mourir de cette maladie. Il faut qu’il y ait absence de motif autre pour faire la donation, pour la valider. Article 1820 CcQ. Pas de nullité absolue car susceptible de confirmation. </w:t>
      </w:r>
    </w:p>
    <w:p w:rsidR="009615F3" w:rsidRDefault="009615F3" w:rsidP="009615F3">
      <w:pPr>
        <w:spacing w:before="240"/>
      </w:pPr>
      <w:r>
        <w:t xml:space="preserve">-Autre donation jamais possible : donation à une personne qui travaille dans un établissement de santé. Interprétation large. On y inclut une famille d’accueil. Article  1817 CcQ. </w:t>
      </w:r>
    </w:p>
    <w:p w:rsidR="009615F3" w:rsidRDefault="009615F3" w:rsidP="009615F3">
      <w:pPr>
        <w:spacing w:before="240"/>
      </w:pPr>
      <w:r>
        <w:t>-Articles 1821 et 1841 CcQ.</w:t>
      </w:r>
    </w:p>
    <w:p w:rsidR="009615F3" w:rsidRDefault="009615F3" w:rsidP="009615F3">
      <w:pPr>
        <w:spacing w:before="240"/>
      </w:pPr>
      <w:r>
        <w:t>-Si on prévoit la charge, il faut toujours la prévoir ou qu’elle soit déterminable.</w:t>
      </w:r>
    </w:p>
    <w:p w:rsidR="009615F3" w:rsidRDefault="009615F3" w:rsidP="009615F3">
      <w:pPr>
        <w:spacing w:before="240"/>
      </w:pPr>
    </w:p>
    <w:p w:rsidR="009615F3" w:rsidRDefault="009615F3" w:rsidP="009615F3">
      <w:pPr>
        <w:pStyle w:val="Heading2"/>
      </w:pPr>
      <w:bookmarkStart w:id="46" w:name="_Toc289807041"/>
      <w:r>
        <w:t>Chapitre 4 – Conditions de forme</w:t>
      </w:r>
      <w:bookmarkEnd w:id="46"/>
    </w:p>
    <w:p w:rsidR="009615F3" w:rsidRDefault="009615F3" w:rsidP="009615F3">
      <w:pPr>
        <w:spacing w:before="240"/>
      </w:pPr>
      <w:r>
        <w:t>-Article 1824 CcQ : il faut une publication</w:t>
      </w:r>
    </w:p>
    <w:p w:rsidR="009615F3" w:rsidRDefault="009615F3" w:rsidP="009615F3">
      <w:pPr>
        <w:spacing w:before="240"/>
      </w:pPr>
      <w:r>
        <w:t>-Article 1456 CcQ : transfert de propriété au moment de la délivrance.</w:t>
      </w:r>
    </w:p>
    <w:p w:rsidR="009615F3" w:rsidRDefault="009615F3" w:rsidP="009615F3">
      <w:pPr>
        <w:spacing w:before="240"/>
      </w:pPr>
      <w:r>
        <w:lastRenderedPageBreak/>
        <w:t>-Obligations du donateur : article 1825 CcQ</w:t>
      </w:r>
    </w:p>
    <w:p w:rsidR="009615F3" w:rsidRDefault="009615F3" w:rsidP="009615F3">
      <w:pPr>
        <w:spacing w:before="240"/>
      </w:pPr>
      <w:r>
        <w:t>-Pas d’obligation de garantie pour le donateur : article 1826 CcQ. Sauf si un risque de sécurité pour l’utilisateur du bien, on doit le dire.</w:t>
      </w:r>
    </w:p>
    <w:p w:rsidR="009615F3" w:rsidRDefault="009615F3" w:rsidP="009615F3">
      <w:pPr>
        <w:spacing w:before="240"/>
      </w:pPr>
      <w:r>
        <w:t xml:space="preserve">-Le donateur doit rembourser les charges que le donataire a dû faire : article 1827 CcQ. </w:t>
      </w:r>
    </w:p>
    <w:p w:rsidR="009615F3" w:rsidRDefault="009615F3" w:rsidP="009615F3">
      <w:pPr>
        <w:spacing w:before="240"/>
      </w:pPr>
      <w:r>
        <w:t>-Le donataire doit payer l’actif et le passif : en vertu de l’article 1830 CcQ. Dans le cas d’une universalité d’actifs (mais il ne fait pas que cela soit une universalité de biens. Genre donation d’entreprise OK).</w:t>
      </w:r>
    </w:p>
    <w:p w:rsidR="009615F3" w:rsidRDefault="009615F3" w:rsidP="009615F3">
      <w:pPr>
        <w:spacing w:before="240"/>
      </w:pPr>
      <w:r>
        <w:t>-Le donateur peut révoquer la donation lorsque le donataire a un comportement hautement répréhensible envers le donateur. Prescription d’un an. Article 1836 CcQ. Devant les tribunaux.</w:t>
      </w:r>
    </w:p>
    <w:p w:rsidR="009615F3" w:rsidRDefault="009615F3" w:rsidP="009615F3">
      <w:pPr>
        <w:spacing w:before="240"/>
      </w:pPr>
    </w:p>
    <w:p w:rsidR="009615F3" w:rsidRDefault="009615F3" w:rsidP="009615F3">
      <w:pPr>
        <w:spacing w:before="240"/>
      </w:pPr>
    </w:p>
    <w:p w:rsidR="009615F3" w:rsidRPr="00A00B43" w:rsidRDefault="009615F3" w:rsidP="009615F3">
      <w:pPr>
        <w:spacing w:before="240"/>
        <w:rPr>
          <w:i/>
          <w:u w:val="single"/>
        </w:rPr>
      </w:pPr>
      <w:r w:rsidRPr="00A00B43">
        <w:rPr>
          <w:i/>
          <w:u w:val="single"/>
        </w:rPr>
        <w:t>Cours 14, le 23 mars 2011</w:t>
      </w:r>
    </w:p>
    <w:p w:rsidR="009615F3" w:rsidRDefault="009615F3" w:rsidP="009615F3">
      <w:pPr>
        <w:pStyle w:val="Heading1"/>
      </w:pPr>
      <w:bookmarkStart w:id="47" w:name="_Toc289807042"/>
      <w:r>
        <w:t>Titre VI : Le louage</w:t>
      </w:r>
      <w:bookmarkEnd w:id="47"/>
    </w:p>
    <w:p w:rsidR="009615F3" w:rsidRDefault="009615F3" w:rsidP="009615F3"/>
    <w:p w:rsidR="009615F3" w:rsidRDefault="009615F3" w:rsidP="009615F3">
      <w:r>
        <w:t>Articles 1892 à 2000 CcQ</w:t>
      </w:r>
    </w:p>
    <w:p w:rsidR="009615F3" w:rsidRPr="00C54CC5" w:rsidRDefault="009615F3" w:rsidP="009615F3">
      <w:pPr>
        <w:pStyle w:val="Heading2"/>
      </w:pPr>
      <w:bookmarkStart w:id="48" w:name="_Toc289807043"/>
      <w:r>
        <w:t>Chapitre 1 : Définition</w:t>
      </w:r>
      <w:bookmarkEnd w:id="48"/>
    </w:p>
    <w:p w:rsidR="009615F3" w:rsidRDefault="009615F3" w:rsidP="009615F3">
      <w:pPr>
        <w:spacing w:before="240"/>
      </w:pPr>
      <w:r>
        <w:t xml:space="preserve">La règle du droit au maintien dans les lieux : </w:t>
      </w:r>
    </w:p>
    <w:p w:rsidR="009615F3" w:rsidRDefault="009615F3" w:rsidP="009615F3">
      <w:pPr>
        <w:spacing w:before="240"/>
        <w:ind w:left="708"/>
      </w:pPr>
      <w:r>
        <w:t>Bail de logement : Quand le bail vient à échéance, reconduction tacite. Le propriétaire ne peut pas résilier le bail quand il arrive à échéance. La seule façon de faire : c’est pour que le propriétaire aille habiter dedans ou un membre de la famille. Un propriétaire doit avertir 6 mois à l’avance s’il veut faire une chose pareille. Mais dans le bail commercial ceci n’est pas le cas.</w:t>
      </w:r>
    </w:p>
    <w:p w:rsidR="009615F3" w:rsidRDefault="009615F3" w:rsidP="009615F3">
      <w:pPr>
        <w:spacing w:before="240"/>
      </w:pPr>
      <w:r>
        <w:t>Augmentation de loyers :</w:t>
      </w:r>
    </w:p>
    <w:p w:rsidR="009615F3" w:rsidRDefault="009615F3" w:rsidP="009615F3">
      <w:pPr>
        <w:spacing w:before="240"/>
        <w:ind w:left="708"/>
      </w:pPr>
      <w:r>
        <w:t xml:space="preserve">Dans un bail du logement, il faut l’autorisation du locataire pour augmenter légèrement le loyer. Dans le bail commercial,  on peut augmenter le loyer comme on veut lors du renouvellement. </w:t>
      </w:r>
    </w:p>
    <w:p w:rsidR="009615F3" w:rsidRDefault="009615F3" w:rsidP="009615F3">
      <w:pPr>
        <w:pStyle w:val="Heading2"/>
        <w:rPr>
          <w:rFonts w:ascii="Arial" w:hAnsi="Arial" w:cs="Arial"/>
          <w:b w:val="0"/>
          <w:sz w:val="24"/>
          <w:szCs w:val="24"/>
        </w:rPr>
      </w:pPr>
    </w:p>
    <w:p w:rsidR="009615F3" w:rsidRDefault="009615F3" w:rsidP="009615F3">
      <w:pPr>
        <w:pStyle w:val="Heading2"/>
        <w:rPr>
          <w:rFonts w:ascii="Arial" w:hAnsi="Arial" w:cs="Arial"/>
          <w:b w:val="0"/>
          <w:sz w:val="24"/>
          <w:szCs w:val="24"/>
        </w:rPr>
      </w:pPr>
      <w:bookmarkStart w:id="49" w:name="_Toc289807044"/>
      <w:r w:rsidRPr="00C54CC5">
        <w:rPr>
          <w:rFonts w:ascii="Arial" w:hAnsi="Arial" w:cs="Arial"/>
          <w:b w:val="0"/>
          <w:sz w:val="24"/>
          <w:szCs w:val="24"/>
        </w:rPr>
        <w:t>Qu’est-ce que le louage?</w:t>
      </w:r>
      <w:bookmarkEnd w:id="49"/>
    </w:p>
    <w:p w:rsidR="009615F3" w:rsidRDefault="009615F3" w:rsidP="009615F3">
      <w:pPr>
        <w:spacing w:before="240"/>
      </w:pPr>
      <w:r>
        <w:t>Contrat où on transfert un droit personnel. Une personne s’engage à nous procure la jouissance d’un bien. À des fins commerciales ou résidentielles.</w:t>
      </w:r>
    </w:p>
    <w:p w:rsidR="009615F3" w:rsidRDefault="009615F3" w:rsidP="009615F3">
      <w:pPr>
        <w:spacing w:before="240"/>
      </w:pPr>
      <w:r>
        <w:t xml:space="preserve"> </w:t>
      </w:r>
    </w:p>
    <w:p w:rsidR="009615F3" w:rsidRDefault="009615F3" w:rsidP="009615F3">
      <w:pPr>
        <w:pStyle w:val="Heading3"/>
      </w:pPr>
      <w:bookmarkStart w:id="50" w:name="_Toc289807045"/>
      <w:r>
        <w:t>Section 1 : Règles particulières applicables au bail résidentiel</w:t>
      </w:r>
      <w:bookmarkEnd w:id="50"/>
    </w:p>
    <w:p w:rsidR="009615F3" w:rsidRDefault="009615F3" w:rsidP="009615F3">
      <w:r>
        <w:t>Article 1892 CcQ : article de base, règles particulières pour le bail résidentiel. Exception : pour les locations d’un chalet ou d’un condo pour ski. Si on loue un local aussi pour commerce, si plus du 30% pour commercial, alors c’est un bail commercial. Maison de chambres. Foyers pour personnes âgées. Ces 5 cas : les règles générales s’appliquent.</w:t>
      </w:r>
    </w:p>
    <w:p w:rsidR="009615F3" w:rsidRDefault="009615F3" w:rsidP="009615F3">
      <w:pPr>
        <w:pStyle w:val="Heading3"/>
      </w:pPr>
      <w:bookmarkStart w:id="51" w:name="_Toc289807046"/>
      <w:r>
        <w:t>Section 2 : Conditions de formation du bail</w:t>
      </w:r>
      <w:bookmarkEnd w:id="51"/>
    </w:p>
    <w:p w:rsidR="009615F3" w:rsidRDefault="009615F3" w:rsidP="009615F3"/>
    <w:p w:rsidR="009615F3" w:rsidRDefault="009615F3" w:rsidP="009615F3">
      <w:r>
        <w:t>Article 1851 prévoit trois éléments :</w:t>
      </w:r>
    </w:p>
    <w:p w:rsidR="009615F3" w:rsidRDefault="009615F3" w:rsidP="009615F3">
      <w:r>
        <w:t>-Personne qui désire procurer la jouissance d’un bien à une autre personne</w:t>
      </w:r>
    </w:p>
    <w:p w:rsidR="009615F3" w:rsidRDefault="009615F3" w:rsidP="009615F3">
      <w:r>
        <w:t>-Échange de consentement</w:t>
      </w:r>
    </w:p>
    <w:p w:rsidR="009615F3" w:rsidRDefault="009615F3" w:rsidP="009615F3">
      <w:r>
        <w:t>-???</w:t>
      </w:r>
    </w:p>
    <w:p w:rsidR="009615F3" w:rsidRDefault="009615F3" w:rsidP="009615F3"/>
    <w:p w:rsidR="009615F3" w:rsidRDefault="009615F3" w:rsidP="009615F3">
      <w:r>
        <w:t>Durée d’un bail : pas nécessaire. On peut avoir un bail à durée indéterminée et maximum 100 ans. Article 1880 CcQ.</w:t>
      </w:r>
    </w:p>
    <w:p w:rsidR="009615F3" w:rsidRDefault="009615F3" w:rsidP="009615F3">
      <w:r>
        <w:t>Peut être un bail verbal ou par écrit.</w:t>
      </w:r>
    </w:p>
    <w:p w:rsidR="009615F3" w:rsidRDefault="009615F3" w:rsidP="009615F3"/>
    <w:p w:rsidR="009615F3" w:rsidRDefault="009615F3" w:rsidP="009615F3">
      <w:pPr>
        <w:pStyle w:val="Heading4"/>
      </w:pPr>
      <w:r>
        <w:t>Sous-section1 : Bail présumé</w:t>
      </w:r>
    </w:p>
    <w:p w:rsidR="009615F3" w:rsidRDefault="009615F3" w:rsidP="009615F3"/>
    <w:p w:rsidR="009615F3" w:rsidRDefault="009615F3" w:rsidP="009615F3">
      <w:r>
        <w:t>Article 1853 CcQ. Il peut y avoir un bail même si pas échange de consentement sur tous les points : bail présumé. Jamais sur un bien meuble. Si utilisation sans argent= prêt à usage. Sur un immeuble, l’occupation d’un immeuble fait un bail présumé même si la personne n’a pas payé (et le locateur va pouvoir exiger un loyer). Ici on ne parle pas d’un bail verbal mais d’un bail dont les tous éléments n’ont pas été acceptés.</w:t>
      </w:r>
    </w:p>
    <w:p w:rsidR="009615F3" w:rsidRDefault="009615F3" w:rsidP="009615F3">
      <w:r>
        <w:t xml:space="preserve">Si le bail prend fin et que le locataire reste sur place, ce n’est pas un bail présumé. </w:t>
      </w:r>
    </w:p>
    <w:p w:rsidR="009615F3" w:rsidRDefault="009615F3" w:rsidP="009615F3">
      <w:r>
        <w:lastRenderedPageBreak/>
        <w:t>Renvoi à l’article 2313 CcQ.</w:t>
      </w:r>
    </w:p>
    <w:p w:rsidR="009615F3" w:rsidRDefault="009615F3" w:rsidP="009615F3">
      <w:r>
        <w:t>Dans le cas d’un bien meuble, on ne peut jamais demander un montant d’argent car les règles du prêt à usage vont s’appliquer.</w:t>
      </w:r>
    </w:p>
    <w:p w:rsidR="009615F3" w:rsidRDefault="009615F3" w:rsidP="009615F3">
      <w:r>
        <w:t>C’est à celui qui réclame l’indemnité de faire la preuve de la valeur locative. La date d’occupation est importante car c’est à partir de là que l’on peut charger un loyer.</w:t>
      </w:r>
    </w:p>
    <w:p w:rsidR="009615F3" w:rsidRDefault="009615F3" w:rsidP="009615F3"/>
    <w:p w:rsidR="009615F3" w:rsidRDefault="009615F3" w:rsidP="009615F3">
      <w:pPr>
        <w:pStyle w:val="Heading3"/>
      </w:pPr>
      <w:bookmarkStart w:id="52" w:name="_Toc289807047"/>
      <w:r>
        <w:t>Section 3 : Capacité des parties</w:t>
      </w:r>
      <w:bookmarkEnd w:id="52"/>
    </w:p>
    <w:p w:rsidR="009615F3" w:rsidRDefault="009615F3" w:rsidP="009615F3">
      <w:r>
        <w:t>Mineur simplement émancipé : article 172 CcQ. Bail pour une période de plus de 3 ans.</w:t>
      </w:r>
    </w:p>
    <w:p w:rsidR="009615F3" w:rsidRDefault="009615F3" w:rsidP="009615F3">
      <w:r>
        <w:t>Majeur protégé : ne peut pas faire de bail.</w:t>
      </w:r>
    </w:p>
    <w:p w:rsidR="009615F3" w:rsidRDefault="009615F3" w:rsidP="009615F3">
      <w:r>
        <w:t xml:space="preserve">Le locateur n’est pas nécessairement le propriétaire du bien. Qui peut louer? Exemple : un avocat qui loue un local et il sous-loue une espace à un autre avocat. Aussi, en commercial, beaucoup de fonds d’investissement ont des locaux à louer. </w:t>
      </w:r>
    </w:p>
    <w:p w:rsidR="009615F3" w:rsidRDefault="009615F3" w:rsidP="009615F3"/>
    <w:p w:rsidR="009615F3" w:rsidRDefault="009615F3" w:rsidP="009615F3">
      <w:pPr>
        <w:pStyle w:val="Heading2"/>
      </w:pPr>
      <w:bookmarkStart w:id="53" w:name="_Toc289807048"/>
      <w:r>
        <w:t>Chapitre 2 : Cause et objet</w:t>
      </w:r>
      <w:bookmarkEnd w:id="53"/>
    </w:p>
    <w:p w:rsidR="009615F3" w:rsidRDefault="009615F3" w:rsidP="009615F3"/>
    <w:p w:rsidR="009615F3" w:rsidRDefault="009615F3" w:rsidP="009615F3">
      <w:pPr>
        <w:pStyle w:val="Heading3"/>
      </w:pPr>
      <w:bookmarkStart w:id="54" w:name="_Toc289807049"/>
      <w:r>
        <w:t>Section 1 : Cause illicite prohibée</w:t>
      </w:r>
      <w:bookmarkEnd w:id="54"/>
    </w:p>
    <w:p w:rsidR="009615F3" w:rsidRDefault="009615F3" w:rsidP="009615F3">
      <w:r>
        <w:t>On ne peut pas louer pour des causes illicites. Le locateur peut résilier le bail si le local est loué pour cause illicite. Article 1411 CcQ.</w:t>
      </w:r>
    </w:p>
    <w:p w:rsidR="009615F3" w:rsidRDefault="009615F3" w:rsidP="009615F3">
      <w:r>
        <w:t>Langelier c. Demers (1928). Commerçant loue des pianos à Madame Demers qui exploite un hôtel. Maison de débauche. On a pu résilier le contrat de location de piano dans ce cas.</w:t>
      </w:r>
    </w:p>
    <w:p w:rsidR="009615F3" w:rsidRDefault="009615F3" w:rsidP="009615F3"/>
    <w:p w:rsidR="009615F3" w:rsidRDefault="009615F3" w:rsidP="009615F3">
      <w:pPr>
        <w:pStyle w:val="Heading3"/>
      </w:pPr>
      <w:bookmarkStart w:id="55" w:name="_Toc289807050"/>
      <w:r>
        <w:t>Section 2 : Objet</w:t>
      </w:r>
      <w:bookmarkEnd w:id="55"/>
    </w:p>
    <w:p w:rsidR="009615F3" w:rsidRDefault="009615F3" w:rsidP="009615F3">
      <w:r>
        <w:t>Permettre la jouissance paisible d’un bien d’un côté, payer le loyer de l’autre.</w:t>
      </w:r>
    </w:p>
    <w:p w:rsidR="009615F3" w:rsidRDefault="009615F3" w:rsidP="009615F3"/>
    <w:p w:rsidR="009615F3" w:rsidRDefault="009615F3" w:rsidP="009615F3">
      <w:pPr>
        <w:pStyle w:val="Heading2"/>
        <w:spacing w:after="240"/>
      </w:pPr>
      <w:bookmarkStart w:id="56" w:name="_Toc289807051"/>
      <w:r>
        <w:lastRenderedPageBreak/>
        <w:t>Chapitre 3 : Nature des droits résultant du bail</w:t>
      </w:r>
      <w:bookmarkEnd w:id="56"/>
    </w:p>
    <w:p w:rsidR="009615F3" w:rsidRPr="00CB103F" w:rsidRDefault="009615F3" w:rsidP="009615F3">
      <w:pPr>
        <w:pStyle w:val="Heading3"/>
      </w:pPr>
      <w:bookmarkStart w:id="57" w:name="_Toc289807052"/>
      <w:r>
        <w:t>Section 1 : Caractère intuitu personea</w:t>
      </w:r>
      <w:bookmarkEnd w:id="57"/>
    </w:p>
    <w:p w:rsidR="009615F3" w:rsidRDefault="009615F3" w:rsidP="009615F3">
      <w:r>
        <w:t>Le bail à un caractère intuitu personae. Il faut l’autorisation du propriétaire pour céder notre droit de jouissance dans un bien. Le propriétaire voudra savoir la solvabilité, la réputation, etc. Donc ce n’est pas transférable comme on veut.</w:t>
      </w:r>
    </w:p>
    <w:p w:rsidR="009615F3" w:rsidRDefault="009615F3" w:rsidP="009615F3"/>
    <w:p w:rsidR="009615F3" w:rsidRDefault="009615F3" w:rsidP="009615F3">
      <w:pPr>
        <w:pStyle w:val="Heading3"/>
      </w:pPr>
      <w:bookmarkStart w:id="58" w:name="_Toc289807053"/>
      <w:r>
        <w:t>Section 2 : Droit personnel</w:t>
      </w:r>
      <w:bookmarkEnd w:id="58"/>
    </w:p>
    <w:p w:rsidR="009615F3" w:rsidRDefault="009615F3" w:rsidP="009615F3">
      <w:r>
        <w:t>Le bail est un droit de créance donc un droit personnel. Cela se transfère et se cède mais doit être avec approbation du propriétaire</w:t>
      </w:r>
    </w:p>
    <w:p w:rsidR="009615F3" w:rsidRDefault="009615F3" w:rsidP="009615F3">
      <w:pPr>
        <w:pStyle w:val="Heading3"/>
      </w:pPr>
      <w:bookmarkStart w:id="59" w:name="_Toc289807054"/>
      <w:r>
        <w:t>Section 3 : Publicité</w:t>
      </w:r>
      <w:bookmarkEnd w:id="59"/>
    </w:p>
    <w:p w:rsidR="009615F3" w:rsidRDefault="009615F3" w:rsidP="009615F3">
      <w:r>
        <w:t>On peut publier des baux.</w:t>
      </w:r>
    </w:p>
    <w:p w:rsidR="009615F3" w:rsidRDefault="009615F3" w:rsidP="009615F3"/>
    <w:p w:rsidR="009615F3" w:rsidRDefault="009615F3" w:rsidP="009615F3"/>
    <w:p w:rsidR="009615F3" w:rsidRDefault="009615F3" w:rsidP="009615F3"/>
    <w:p w:rsidR="009615F3" w:rsidRDefault="009615F3" w:rsidP="009615F3">
      <w:pPr>
        <w:pStyle w:val="Heading2"/>
        <w:spacing w:after="240"/>
      </w:pPr>
      <w:bookmarkStart w:id="60" w:name="_Toc289807055"/>
      <w:r>
        <w:t>Chapitre 4 : Droits et obligations du locateur</w:t>
      </w:r>
      <w:bookmarkEnd w:id="60"/>
    </w:p>
    <w:p w:rsidR="009615F3" w:rsidRDefault="009615F3" w:rsidP="009615F3">
      <w:pPr>
        <w:pStyle w:val="Heading3"/>
      </w:pPr>
      <w:bookmarkStart w:id="61" w:name="_Toc289807056"/>
      <w:r>
        <w:t xml:space="preserve">Section 1 : Obligation de </w:t>
      </w:r>
      <w:r w:rsidRPr="00CB103F">
        <w:t>délivrance</w:t>
      </w:r>
      <w:bookmarkEnd w:id="61"/>
    </w:p>
    <w:p w:rsidR="009615F3" w:rsidRDefault="009615F3" w:rsidP="009615F3">
      <w:r>
        <w:t>Article 1854 CcQ : Le locateur doit remettre le bien au locateur : obligation de délivrance. Ceci inclut tous les éléments nécessaires à la location du bien (exemple : commerce doit avoir une salle de bain). Doit lui fournir le bien en bon état dès le départ. Et lui procurer la jouissance paisible du bien pendant toute la durée.</w:t>
      </w:r>
    </w:p>
    <w:p w:rsidR="009615F3" w:rsidRDefault="009615F3" w:rsidP="009615F3">
      <w:r>
        <w:t xml:space="preserve">Mais ces règles ne sont pas d’ordre public, on peut prévoir autrement dans le contrat du départ. </w:t>
      </w:r>
    </w:p>
    <w:p w:rsidR="009615F3" w:rsidRDefault="009615F3" w:rsidP="009615F3">
      <w:r>
        <w:t>Il est très important dans un contrat de bail d’inscrire la superficie louée par le locataire.</w:t>
      </w:r>
    </w:p>
    <w:p w:rsidR="009615F3" w:rsidRDefault="009615F3" w:rsidP="009615F3">
      <w:r>
        <w:t xml:space="preserve">Il faut aussi prévoir dans le bail qui paye les frais d’entretien, généralement le locataire. Le locataire va généralement payé en proportion de la superficie occupée. </w:t>
      </w:r>
    </w:p>
    <w:p w:rsidR="009615F3" w:rsidRDefault="009615F3" w:rsidP="009615F3">
      <w:r>
        <w:t>Date de délivrance : date où le locataire prend possession des lieux. Pas de loyer payable tant qu’on n’a pas eu délivrance du bien.</w:t>
      </w:r>
    </w:p>
    <w:p w:rsidR="009615F3" w:rsidRDefault="009615F3" w:rsidP="009615F3"/>
    <w:p w:rsidR="009615F3" w:rsidRDefault="009615F3" w:rsidP="009615F3">
      <w:pPr>
        <w:pStyle w:val="Heading3"/>
      </w:pPr>
      <w:bookmarkStart w:id="62" w:name="_Toc289807057"/>
      <w:r>
        <w:lastRenderedPageBreak/>
        <w:t>Section 2 : Défaut de délivrance</w:t>
      </w:r>
      <w:bookmarkEnd w:id="62"/>
    </w:p>
    <w:p w:rsidR="009615F3" w:rsidRDefault="009615F3" w:rsidP="009615F3">
      <w:r>
        <w:t>Si on représente le locataire, on devrait exiger des clauses pénales dans le cas de retard de délivrance. Exemple pour chaque jour de retard, X d’indemnités.</w:t>
      </w:r>
    </w:p>
    <w:p w:rsidR="009615F3" w:rsidRDefault="009615F3" w:rsidP="009615F3">
      <w:r>
        <w:t>Si défaut de délivrance : exécution en nature, résiliation du bail si préjudice sérieux, dommages et intérêts diminution de loyer. Règle générale de l’article 1590 CcQ.</w:t>
      </w:r>
    </w:p>
    <w:p w:rsidR="009615F3" w:rsidRDefault="009615F3" w:rsidP="009615F3">
      <w:r>
        <w:t>Article 1863 CcQ. Cela s’applique dans tous les cas d’obligations non respectées. Si on obtient une réduction de loyer et qu’on corrige le problème, on doit recommencer à payer le plein prix de loyer.</w:t>
      </w:r>
    </w:p>
    <w:p w:rsidR="009615F3" w:rsidRDefault="009615F3" w:rsidP="009615F3">
      <w:r>
        <w:t>Motifs sérieux : il n’y a pas de balises dans la jurisprudence.</w:t>
      </w:r>
    </w:p>
    <w:p w:rsidR="009615F3" w:rsidRDefault="009615F3" w:rsidP="009615F3">
      <w:pPr>
        <w:pStyle w:val="Heading3"/>
      </w:pPr>
    </w:p>
    <w:p w:rsidR="009615F3" w:rsidRDefault="009615F3" w:rsidP="009615F3">
      <w:pPr>
        <w:pStyle w:val="Heading3"/>
      </w:pPr>
      <w:bookmarkStart w:id="63" w:name="_Toc289807058"/>
      <w:r>
        <w:t>Section 3 : État du bien loué</w:t>
      </w:r>
      <w:bookmarkEnd w:id="63"/>
    </w:p>
    <w:p w:rsidR="009615F3" w:rsidRDefault="009615F3" w:rsidP="009615F3">
      <w:r>
        <w:t xml:space="preserve">On doit délivrer un bien en bon état de réparation et d’entretien. Il faut que le locateur puisse garantir l’usage du bien pour lequel il est destiné.  </w:t>
      </w:r>
    </w:p>
    <w:p w:rsidR="009615F3" w:rsidRDefault="009615F3" w:rsidP="009615F3">
      <w:r>
        <w:t>Normalement, le locataire doit faire les réparations à l’intérieur de son logement.</w:t>
      </w:r>
    </w:p>
    <w:p w:rsidR="009615F3" w:rsidRDefault="009615F3" w:rsidP="009615F3">
      <w:r>
        <w:t xml:space="preserve">Si le bien est en mauvais état, le locataire doit prendre des photos des lieux pour contrecarrer la présomption de l’article 1890 CcQ. Il devra remettre le bien dans l’état qu’il l’a reçu. À défaut de constatation de défaut, le locataire est présumé avoir reçu le bien dans un bon état. </w:t>
      </w:r>
    </w:p>
    <w:p w:rsidR="009615F3" w:rsidRDefault="009615F3" w:rsidP="009615F3"/>
    <w:p w:rsidR="009615F3" w:rsidRDefault="009615F3" w:rsidP="009615F3">
      <w:pPr>
        <w:rPr>
          <w:i/>
          <w:u w:val="single"/>
        </w:rPr>
      </w:pPr>
      <w:r w:rsidRPr="0038360A">
        <w:rPr>
          <w:i/>
          <w:u w:val="single"/>
        </w:rPr>
        <w:t>Cours 15, le 24 mars 2011</w:t>
      </w:r>
    </w:p>
    <w:p w:rsidR="009615F3" w:rsidRPr="0038360A" w:rsidRDefault="009615F3" w:rsidP="009615F3"/>
    <w:p w:rsidR="009615F3" w:rsidRDefault="009615F3" w:rsidP="009615F3">
      <w:pPr>
        <w:pStyle w:val="Heading3"/>
      </w:pPr>
      <w:bookmarkStart w:id="64" w:name="_Toc289807059"/>
      <w:r>
        <w:t>Section 4 : Garantir que le bien pourra être utilisé tel que convenu entre les parties</w:t>
      </w:r>
      <w:bookmarkEnd w:id="64"/>
    </w:p>
    <w:p w:rsidR="009615F3" w:rsidRDefault="009615F3" w:rsidP="009615F3">
      <w:r>
        <w:t>Article 1854 al 2 CcQ. Le locateur doit garantir la qualité fonctionnelle et matérielle du bien. Exemple : un véhicule doit bien fonctionner et être utilisé normalement. Aussi, on doit assurer un niveau de conformité avec la loi (le véhicule doit répondre aux exigences du code de sécurité routière, un immeuble doit être salubre).</w:t>
      </w:r>
    </w:p>
    <w:p w:rsidR="009615F3" w:rsidRDefault="009615F3" w:rsidP="009615F3">
      <w:r>
        <w:t xml:space="preserve">Ces droits subsistent pendant toute la durée du bail. Quand on parle d’un immeuble, c’est très important de dire à quelles fins sont utilisées un local. </w:t>
      </w:r>
    </w:p>
    <w:p w:rsidR="009615F3" w:rsidRDefault="009615F3" w:rsidP="009615F3"/>
    <w:p w:rsidR="009615F3" w:rsidRDefault="009615F3" w:rsidP="009615F3">
      <w:pPr>
        <w:pStyle w:val="Heading3"/>
      </w:pPr>
      <w:bookmarkStart w:id="65" w:name="_Toc289807060"/>
      <w:r>
        <w:lastRenderedPageBreak/>
        <w:t>Section 5 : Procurer jouissance paisible du bien</w:t>
      </w:r>
      <w:bookmarkEnd w:id="65"/>
    </w:p>
    <w:p w:rsidR="009615F3" w:rsidRDefault="009615F3" w:rsidP="009615F3">
      <w:r>
        <w:t>Toutes les règles sont des règles que l’on peut déroger mais on ne peut jamais se dégager par une clause de son obligation de donner la jouissance paisible du bail. Ceci est d’ordre public, clause inopérante dans ce cas dans un bail commercial.</w:t>
      </w:r>
    </w:p>
    <w:p w:rsidR="009615F3" w:rsidRDefault="009615F3" w:rsidP="009615F3"/>
    <w:p w:rsidR="009615F3" w:rsidRDefault="009615F3" w:rsidP="009615F3">
      <w:pPr>
        <w:pStyle w:val="Heading3"/>
      </w:pPr>
      <w:bookmarkStart w:id="66" w:name="_Toc289807061"/>
      <w:r>
        <w:t>Section 6 : Obligation d’entretien et de réparation pendant la durée du bail</w:t>
      </w:r>
      <w:bookmarkEnd w:id="66"/>
    </w:p>
    <w:p w:rsidR="009615F3" w:rsidRDefault="009615F3" w:rsidP="009615F3">
      <w:r>
        <w:t>Il faut garder le bien en bonne condition.</w:t>
      </w:r>
    </w:p>
    <w:p w:rsidR="009615F3" w:rsidRDefault="009615F3" w:rsidP="009615F3">
      <w:r>
        <w:t>Le locateur est tenu de réparer tout le bien sauf les menus travaux comme travaux d’entretien régulier, à la charge du locataire. Ceci en vertu de la loi mais dans un bail commercial on déroge souvent à ceci.</w:t>
      </w:r>
    </w:p>
    <w:p w:rsidR="009615F3" w:rsidRDefault="009615F3" w:rsidP="009615F3">
      <w:r>
        <w:t xml:space="preserve">Article 1864 CcQ. </w:t>
      </w:r>
    </w:p>
    <w:p w:rsidR="009615F3" w:rsidRDefault="009615F3" w:rsidP="009615F3">
      <w:r>
        <w:t xml:space="preserve">Si le locateur a besoin de faire des travaux pour un autre logement ou pour le logement même, il a parfois besoin d’évincer le locateur. Il va falloir déterminer si les réparations sont urgentes ou pas dans ce cas. </w:t>
      </w:r>
    </w:p>
    <w:p w:rsidR="009615F3" w:rsidRDefault="009615F3" w:rsidP="009615F3">
      <w:r>
        <w:t>Si réparations urgentes : le locateur peut évincer temporairement le locataire sans demander l’autorisation du tribunal. Si pas urgent : le locateur a besoin de l’autorisation du tribunal pour enlever la jouissance paisible du locataire. Article 1865 CcQ. Dans les faits, on a une entente avec le locataire. Mais s’il n’est pas d’accord : autorisation tribunal. Le locataire va obtenir : résiliation du bail, diminution du bail ou indemnité.</w:t>
      </w:r>
    </w:p>
    <w:p w:rsidR="009615F3" w:rsidRDefault="009615F3" w:rsidP="009615F3">
      <w:r>
        <w:t xml:space="preserve">Le locataire doit aviser promptement le locateur s’il y a des problèmes avec le bien. Article 1866 CcQ. </w:t>
      </w:r>
    </w:p>
    <w:p w:rsidR="009615F3" w:rsidRDefault="009615F3" w:rsidP="009615F3"/>
    <w:p w:rsidR="009615F3" w:rsidRDefault="009615F3" w:rsidP="009615F3">
      <w:pPr>
        <w:pStyle w:val="Heading3"/>
      </w:pPr>
      <w:bookmarkStart w:id="67" w:name="_Toc289807062"/>
      <w:r>
        <w:t>Section 7 – Exécution des travaux par le locataire</w:t>
      </w:r>
      <w:bookmarkEnd w:id="67"/>
    </w:p>
    <w:p w:rsidR="009615F3" w:rsidRDefault="009615F3" w:rsidP="009615F3">
      <w:r>
        <w:t xml:space="preserve">Si le locateur a été avisé, c’est à lui de faire la réparation. Si le locateur ne veut pas faire la réparation : le locataire peut faire lui-même la réparation et demander le paiement au locateur. Il peut même retenir le loyer pour se payer. Si réparation urgente : pas d’autorisation du tribunal, si réparation pas urgentes : il faut l’autorisation du tribunal. Article 1867 CcQ. Article 1868 CcQ. </w:t>
      </w:r>
    </w:p>
    <w:p w:rsidR="009615F3" w:rsidRDefault="009615F3" w:rsidP="009615F3">
      <w:r>
        <w:t>Cause : commerce vidéo, asphalte remplie de trous, clients se plaignent. Locataire avise le locateur qui ne fait rien. Le locataire le fait lui-même. Le tribunal dit ok pas autorisation nécessaire par le tribunal car réparations urgentes.</w:t>
      </w:r>
    </w:p>
    <w:p w:rsidR="009615F3" w:rsidRDefault="009615F3" w:rsidP="009615F3">
      <w:r>
        <w:t>Article 1869 CcQ : le locataire doit garder toutes les factures et même garder les pièces défectueuses dans le cas d’un bien meuble.</w:t>
      </w:r>
    </w:p>
    <w:p w:rsidR="009615F3" w:rsidRDefault="009615F3" w:rsidP="009615F3">
      <w:r>
        <w:lastRenderedPageBreak/>
        <w:t>Dans les baux commerciaux, il va y avoir une clause qui dit qu’en cas de défaut de payer le loyer, le locateur a le droit de considérer le bail résilié. Cette clause est légale. Donc il faut conseiller les clients de ne pas retenir le paiement du loyer. À la place, on peut payer sous protêt (je fais un paiement mais je ne considère pas te le devoir) ou encore aller devant les tribunaux et consigner le loyer au greffe comme ça on a payé si le juge ne nous donne pas raison.</w:t>
      </w:r>
    </w:p>
    <w:p w:rsidR="009615F3" w:rsidRDefault="009615F3" w:rsidP="009615F3">
      <w:r>
        <w:t xml:space="preserve">En réalité, les travaux et les améliorations sont toujours payés par le locataire. </w:t>
      </w:r>
    </w:p>
    <w:p w:rsidR="009615F3" w:rsidRDefault="009615F3" w:rsidP="009615F3">
      <w:r>
        <w:t xml:space="preserve"> </w:t>
      </w:r>
    </w:p>
    <w:p w:rsidR="009615F3" w:rsidRDefault="009615F3" w:rsidP="009615F3">
      <w:pPr>
        <w:pStyle w:val="Heading3"/>
      </w:pPr>
      <w:bookmarkStart w:id="68" w:name="_Toc289807063"/>
      <w:r>
        <w:t>Section 8- Garantir contre les troubles de droit</w:t>
      </w:r>
      <w:bookmarkEnd w:id="68"/>
    </w:p>
    <w:p w:rsidR="009615F3" w:rsidRDefault="009615F3" w:rsidP="009615F3">
      <w:r>
        <w:t>Le locateur est obligé en vertu de l’article 1854 de garantir que le bien va pouvoir être utilisé pour les fins prévues. Donc il garantit qu’il n’y aura pas de troubles de droit contre l’utilisation du bien. Article 1858 CcQ.</w:t>
      </w:r>
    </w:p>
    <w:p w:rsidR="009615F3" w:rsidRDefault="009615F3" w:rsidP="009615F3">
      <w:r>
        <w:t>Dans la vente, on a aussi une garantie contre le trouble de droit mais il faut violation au moment de la vente. Pas dans le cas de la location, pas nécessaire d’avoir une violation au moment de la location.</w:t>
      </w:r>
    </w:p>
    <w:p w:rsidR="009615F3" w:rsidRDefault="009615F3" w:rsidP="009615F3">
      <w:r>
        <w:t>Troubles de droit : problème de zonage, nouvel acquéreur et bail non publié par locateur initial (locateur initial responsable), expropriation.</w:t>
      </w:r>
    </w:p>
    <w:p w:rsidR="009615F3" w:rsidRDefault="009615F3" w:rsidP="009615F3">
      <w:r>
        <w:t xml:space="preserve">Quand cela arrive, on envoie une lettre au locateur pour lui donner une chance de corriger le problème. S’il ne le fait pas : résiliation de bail, dommages et intérêts. </w:t>
      </w:r>
    </w:p>
    <w:p w:rsidR="009615F3" w:rsidRDefault="009615F3" w:rsidP="009615F3"/>
    <w:p w:rsidR="009615F3" w:rsidRDefault="009615F3" w:rsidP="009615F3">
      <w:pPr>
        <w:pStyle w:val="Heading3"/>
      </w:pPr>
      <w:bookmarkStart w:id="69" w:name="_Toc289807064"/>
      <w:r>
        <w:t>Section 9- Garantir contre les troubles de fait</w:t>
      </w:r>
      <w:bookmarkEnd w:id="69"/>
    </w:p>
    <w:p w:rsidR="009615F3" w:rsidRDefault="009615F3" w:rsidP="009615F3">
      <w:r>
        <w:t>Un locateur doit garantir contre les troubles de faits soit les troubles reliés à d’autres personnes, limitées aux autres locataires ou aux personnes que le locataire a permis l’entrée dans les lieux.</w:t>
      </w:r>
    </w:p>
    <w:p w:rsidR="009615F3" w:rsidRDefault="009615F3" w:rsidP="009615F3">
      <w:r>
        <w:t>De la façon que c’est écrit, le locateur n’est pas responsable de ceci sauf s’il avait été mis au courant. Article 1859 CcQ. Donc locateur responsable si trouble vient d’un autre locataire.</w:t>
      </w:r>
    </w:p>
    <w:p w:rsidR="009615F3" w:rsidRDefault="009615F3" w:rsidP="009615F3">
      <w:r>
        <w:t>Renvoi à l’article 1861 CcQ. Il faut dénoncer et que le trouble persiste. Le locataire a des problèmes avec le voisin d’à côté. Il faut envoyer une lettre au locateur et lui demander de corriger la situation. Le locateur doit faire des démarches et des mesures nécessaires pour faire cesser le trouble. Du moment oû le locateur fait ça, le locateur est libéré de payer des dommages et intérêts. Mais le locataire peut quand même obtenir une diminution de loyer si le trouble persiste.</w:t>
      </w:r>
    </w:p>
    <w:p w:rsidR="009615F3" w:rsidRDefault="009615F3" w:rsidP="009615F3">
      <w:r>
        <w:t>Si le locataire obtient une diminution de loyer, le locateur va pouvoir poursuivre le locataire fautif pour obtenir lui-même réparation.</w:t>
      </w:r>
    </w:p>
    <w:p w:rsidR="009615F3" w:rsidRDefault="009615F3" w:rsidP="009615F3">
      <w:r>
        <w:lastRenderedPageBreak/>
        <w:t>Exemple : bail à logement. Investisseur a acheté un condo et le loue. Infiltration d’eaux par la brique de la bâtisse. Responsabilité du syndicat de faire réparer ça. Le propriétaire envoie un avis. Syndicat n’est pas en mesure de faire les réparations et les infiltrations continuent. Le locateur se fait poursuivre pour diminution de loyer par le locataire. Le locataire a obtenu une diminution de loyer par le tribunal. Cette diminution a par la suite été demandée au syndicat.</w:t>
      </w:r>
    </w:p>
    <w:p w:rsidR="009615F3" w:rsidRDefault="009615F3" w:rsidP="009615F3">
      <w:r>
        <w:t>Affaire Guy Trahant c. Philippe Toupin. Personne loue un chalet pour une période de 3 mois. 2</w:t>
      </w:r>
      <w:r w:rsidRPr="001B2F32">
        <w:rPr>
          <w:vertAlign w:val="superscript"/>
        </w:rPr>
        <w:t>e</w:t>
      </w:r>
      <w:r>
        <w:t xml:space="preserve"> semaine le voisin d’en arrière se construit une maison et on doit faire du dynamitage. Fait du bruit et désagréable. Le locataire avise le propriétaire qu’il ne peut pas avoir la jouissance du bien pendant la location. Le dynamitage continue et le locataire ne paye aucun loyer. Le locateur poursuit pour loyers non payés. Le juge utilise l’article 1861 CcQ et vient dire que le locateur a l’obligation de donner la jouissance paisible pendant toute la durée du bail. Troubles du voisinage anormaux. Le tribunal a ainsi étendu l’article 1861 CcQ à des tiers. </w:t>
      </w:r>
    </w:p>
    <w:p w:rsidR="009615F3" w:rsidRDefault="009615F3" w:rsidP="009615F3">
      <w:r>
        <w:t>Il faut que le trouble soit répétitif pour obtenir réparation et non pas seulement une seule fois.</w:t>
      </w:r>
    </w:p>
    <w:p w:rsidR="009615F3" w:rsidRDefault="009615F3" w:rsidP="009615F3">
      <w:r>
        <w:t>Conjuguer 1861 avec 1859 CcQ.</w:t>
      </w:r>
    </w:p>
    <w:p w:rsidR="009615F3" w:rsidRDefault="009615F3" w:rsidP="009615F3">
      <w:pPr>
        <w:pStyle w:val="Heading3"/>
      </w:pPr>
      <w:bookmarkStart w:id="70" w:name="_Toc289807065"/>
      <w:r>
        <w:t>Section 10 – Obligations de sécurité</w:t>
      </w:r>
      <w:bookmarkEnd w:id="70"/>
    </w:p>
    <w:p w:rsidR="009615F3" w:rsidRDefault="009615F3" w:rsidP="009615F3">
      <w:r>
        <w:t>Pour le locateur propriétaire. Article 1467 CcQ.</w:t>
      </w:r>
    </w:p>
    <w:p w:rsidR="009615F3" w:rsidRDefault="009615F3" w:rsidP="009615F3"/>
    <w:p w:rsidR="009615F3" w:rsidRDefault="009615F3" w:rsidP="009615F3">
      <w:pPr>
        <w:pStyle w:val="Heading2"/>
      </w:pPr>
      <w:bookmarkStart w:id="71" w:name="_Toc289807066"/>
      <w:r>
        <w:t>Chapitre 5 : Droits et obligations du locataire</w:t>
      </w:r>
      <w:bookmarkEnd w:id="71"/>
    </w:p>
    <w:p w:rsidR="009615F3" w:rsidRDefault="009615F3" w:rsidP="009615F3"/>
    <w:p w:rsidR="009615F3" w:rsidRDefault="009615F3" w:rsidP="009615F3">
      <w:pPr>
        <w:pStyle w:val="Heading3"/>
      </w:pPr>
      <w:bookmarkStart w:id="72" w:name="_Toc289807067"/>
      <w:r>
        <w:t>Section 1- Paiement du loyer</w:t>
      </w:r>
      <w:bookmarkEnd w:id="72"/>
    </w:p>
    <w:p w:rsidR="009615F3" w:rsidRDefault="009615F3" w:rsidP="009615F3">
      <w:r>
        <w:t xml:space="preserve">-Article 1591 CcQ. </w:t>
      </w:r>
    </w:p>
    <w:p w:rsidR="009615F3" w:rsidRDefault="009615F3" w:rsidP="009615F3">
      <w:r>
        <w:t>-Selon l’article 1851 CcQ, on doit payer le loyer pendant toute la durée du bail</w:t>
      </w:r>
    </w:p>
    <w:p w:rsidR="009615F3" w:rsidRDefault="009615F3" w:rsidP="009615F3">
      <w:r>
        <w:t>-Payé à l’adresse du locataire (article 1566 CcQ)</w:t>
      </w:r>
    </w:p>
    <w:p w:rsidR="009615F3" w:rsidRDefault="009615F3" w:rsidP="009615F3">
      <w:r>
        <w:t xml:space="preserve">-Dans un bail commercial : </w:t>
      </w:r>
    </w:p>
    <w:p w:rsidR="009615F3" w:rsidRDefault="009615F3" w:rsidP="009615F3">
      <w:r>
        <w:tab/>
        <w:t xml:space="preserve">-Loyer de base, exemple 4$ le pied carré. </w:t>
      </w:r>
    </w:p>
    <w:p w:rsidR="009615F3" w:rsidRDefault="009615F3" w:rsidP="009615F3">
      <w:pPr>
        <w:ind w:left="708"/>
      </w:pPr>
      <w:r>
        <w:t>-Mais le loyer inclut aussi le loyer pour les améliorations locatives (le total amorti sur la durée du bail, souvent c’est le locateur qui va avancer l’argent)</w:t>
      </w:r>
    </w:p>
    <w:p w:rsidR="009615F3" w:rsidRDefault="009615F3" w:rsidP="009615F3">
      <w:pPr>
        <w:ind w:left="708"/>
      </w:pPr>
      <w:r>
        <w:t xml:space="preserve">-Loyer supplémentaire : tous les frais d’entretien. Quand on parle du loyer supplémentaire, on se base sur l’année antérieure et on établit un montant temporaire. À la fin de l’année, le gestionnaire va envoyer une facture </w:t>
      </w:r>
      <w:r>
        <w:lastRenderedPageBreak/>
        <w:t>pour les frais réels. Beaucoup de litige dans ce cas souvent. Exemple : un hiver avec beaucoup de neige avec loyer supplémentaire beaucoup plus élevé. Sin défaut de paiement du loyer supplémentaire, défaut de paiement avec risques de résiliation automatique du bail. Si le locateur inclut des frais anormaux dans ça, on fait un paiement de loyer sous protêt.</w:t>
      </w:r>
    </w:p>
    <w:p w:rsidR="009615F3" w:rsidRDefault="009615F3" w:rsidP="009615F3">
      <w:pPr>
        <w:ind w:left="708"/>
      </w:pPr>
    </w:p>
    <w:p w:rsidR="009615F3" w:rsidRDefault="009615F3" w:rsidP="009615F3">
      <w:pPr>
        <w:pStyle w:val="Heading3"/>
      </w:pPr>
      <w:bookmarkStart w:id="73" w:name="_Toc289807068"/>
      <w:r>
        <w:t>Section 2- Obligation de prudence et diligence</w:t>
      </w:r>
      <w:bookmarkEnd w:id="73"/>
    </w:p>
    <w:p w:rsidR="009615F3" w:rsidRDefault="009615F3" w:rsidP="009615F3">
      <w:r>
        <w:t>Obligation d’aviser le propriétaire ou le locateur si on a un problème. Exemple : infiltration d’eau et on n’avise pas le locateur, problème.</w:t>
      </w:r>
    </w:p>
    <w:p w:rsidR="009615F3" w:rsidRDefault="009615F3" w:rsidP="009615F3"/>
    <w:p w:rsidR="009615F3" w:rsidRDefault="009615F3" w:rsidP="009615F3">
      <w:pPr>
        <w:pStyle w:val="Heading3"/>
      </w:pPr>
      <w:bookmarkStart w:id="74" w:name="_Toc289807069"/>
      <w:r>
        <w:t>Section 3 – Obligation d’occuper les lieux</w:t>
      </w:r>
      <w:bookmarkEnd w:id="74"/>
    </w:p>
    <w:p w:rsidR="009615F3" w:rsidRDefault="009615F3" w:rsidP="009615F3">
      <w:r>
        <w:t>Un locataire a toujours l’obligation d’occuper les lieux. Pas dans el CcQ. Cette occupation dépend du type de louage.</w:t>
      </w:r>
    </w:p>
    <w:p w:rsidR="009615F3" w:rsidRDefault="009615F3" w:rsidP="009615F3">
      <w:r>
        <w:t>Cette obligation est souvent là pour opérer un commerce. Il faut que le commerce soit occupé.</w:t>
      </w:r>
    </w:p>
    <w:p w:rsidR="009615F3" w:rsidRDefault="009615F3" w:rsidP="009615F3">
      <w:r>
        <w:t>Il est très important de vérifier la clause d’occupation pour quelle soit claire car pas dans le CcQ.</w:t>
      </w:r>
    </w:p>
    <w:p w:rsidR="009615F3" w:rsidRDefault="009615F3" w:rsidP="009615F3">
      <w:r>
        <w:t xml:space="preserve">Société en commandite Place Centre-Ville  Amos  c. Provigo. Centre commercial qui loue un espace à Provigo. Renouvelle le bail en 2006 jusqu’en 2011. En décembre 2006, Provigo dit qu’il n’opérera plus le commerce mais continuer de payer le loyer. Propriétaire ne veut pas et Provigo dit que pas de clause d’occupation. SEC procède par injonction pour forcer Provigo à faire ses activités. Place du Centre invoque l’article 1856 CcQ. La Cour dit qu’il est facile de concevoir que le centre commercial perde du prestige et de l’affluence si un commerce n’exerce plus ses activités. C’est reconnu que l’occupation des lieux c’est important pour le locateur et les autres locataires. Le tribunal ordonne qu’on maintienne le Provigo ouvert. </w:t>
      </w:r>
    </w:p>
    <w:p w:rsidR="009615F3" w:rsidRDefault="009615F3" w:rsidP="009615F3"/>
    <w:p w:rsidR="009615F3" w:rsidRDefault="009615F3" w:rsidP="009615F3">
      <w:pPr>
        <w:pStyle w:val="Heading3"/>
      </w:pPr>
      <w:bookmarkStart w:id="75" w:name="_Toc289807070"/>
      <w:r>
        <w:t>Section 4 – Obligation de ne pas troubler la jouissance des autres locataires</w:t>
      </w:r>
      <w:bookmarkEnd w:id="75"/>
    </w:p>
    <w:p w:rsidR="009615F3" w:rsidRDefault="009615F3" w:rsidP="009615F3">
      <w:r>
        <w:t>Locataire qui est troublé peut poursuivre ou se faire poursuivre si c’est lui qui trouble. Aussi pour nos fournisseurs et nos clients qui viennent dans notre local.</w:t>
      </w:r>
    </w:p>
    <w:p w:rsidR="009615F3" w:rsidRDefault="009615F3" w:rsidP="009615F3">
      <w:r>
        <w:t>Article 1860 CcQ.</w:t>
      </w:r>
    </w:p>
    <w:p w:rsidR="009615F3" w:rsidRDefault="009615F3" w:rsidP="009615F3">
      <w:r>
        <w:t>Un acte est suffisant pour avoir un trouble de jouissance mais il faut que cela soit sérieux. Si pas sérieux, il faut que cela soit répétitif.</w:t>
      </w:r>
    </w:p>
    <w:p w:rsidR="009615F3" w:rsidRDefault="009615F3" w:rsidP="009615F3">
      <w:r>
        <w:lastRenderedPageBreak/>
        <w:t>Un acte illégal est dans tous les cas un trouble de jouissance sérieux.</w:t>
      </w:r>
    </w:p>
    <w:p w:rsidR="009615F3" w:rsidRDefault="009615F3" w:rsidP="009615F3">
      <w:r>
        <w:t>Le locataire qui trouble la jouissance peut être poursuivi par les autres locataires et le locateur.</w:t>
      </w:r>
    </w:p>
    <w:p w:rsidR="009615F3" w:rsidRDefault="009615F3" w:rsidP="009615F3"/>
    <w:p w:rsidR="009615F3" w:rsidRDefault="009615F3" w:rsidP="009615F3">
      <w:pPr>
        <w:pStyle w:val="Heading3"/>
      </w:pPr>
      <w:bookmarkStart w:id="76" w:name="_Toc289807071"/>
      <w:r>
        <w:t>Section 5 – Obligation de réparer le préjudice pour les pertes survenues au bien</w:t>
      </w:r>
      <w:bookmarkEnd w:id="76"/>
    </w:p>
    <w:p w:rsidR="009615F3" w:rsidRDefault="009615F3" w:rsidP="009615F3">
      <w:r>
        <w:t>Le locataire doit indemniser le locateur si le bien subit une perte. Locataire est responsable de la perte. Il peut se dégager en démontrant que la perte n’est pas attribuable à sa faute.</w:t>
      </w:r>
    </w:p>
    <w:p w:rsidR="009615F3" w:rsidRDefault="009615F3" w:rsidP="009615F3">
      <w:r>
        <w:t>En cas d’incendie, c’est le locateur qui est responsable à moins qu’il ne démontre que le locataire est responsable.</w:t>
      </w:r>
    </w:p>
    <w:p w:rsidR="009615F3" w:rsidRDefault="009615F3" w:rsidP="009615F3">
      <w:r>
        <w:t>Article 1862 CcQ.</w:t>
      </w:r>
    </w:p>
    <w:p w:rsidR="009615F3" w:rsidRDefault="009615F3" w:rsidP="009615F3"/>
    <w:p w:rsidR="009615F3" w:rsidRDefault="009615F3" w:rsidP="009615F3"/>
    <w:p w:rsidR="009615F3" w:rsidRDefault="009615F3" w:rsidP="009615F3">
      <w:pPr>
        <w:pStyle w:val="Heading3"/>
      </w:pPr>
      <w:bookmarkStart w:id="77" w:name="_Toc289807072"/>
      <w:r>
        <w:t>Section 6- Obligations conjointes du locateur et locataire</w:t>
      </w:r>
      <w:bookmarkEnd w:id="77"/>
    </w:p>
    <w:p w:rsidR="009615F3" w:rsidRDefault="009615F3" w:rsidP="009615F3">
      <w:r>
        <w:t>Article 1856 CcQ. Ni le locateur, ni le locataire ne peut changer la forme du bien loué. Le locateur ne peut pas décider d’agrandir son immeuble (ou du moins il doit indemniser le locataire). Défaut d’occupation par  un locataire : article 1856 CcQ. Un locataire qui change de commerce : le locateur peut exiger une résiliation de bail.</w:t>
      </w:r>
    </w:p>
    <w:p w:rsidR="009615F3" w:rsidRDefault="009615F3" w:rsidP="009615F3">
      <w:r>
        <w:t>Cause  9014-4080 Québec Inc. c. 2626-8821 Québec Inc. À Ste-Thérèse. La 2</w:t>
      </w:r>
      <w:r w:rsidRPr="00381A1C">
        <w:rPr>
          <w:vertAlign w:val="superscript"/>
        </w:rPr>
        <w:t>e</w:t>
      </w:r>
      <w:r>
        <w:t xml:space="preserve"> compagnie propriétaire du restaurant le vieux four et la 2</w:t>
      </w:r>
      <w:r w:rsidRPr="00381A1C">
        <w:rPr>
          <w:vertAlign w:val="superscript"/>
        </w:rPr>
        <w:t>e</w:t>
      </w:r>
      <w:r>
        <w:t xml:space="preserve"> Cie locateur Place Ste-Thérèse. En 1997, IGA ne renouvelle pas le bail.  Baisse d’achalandage de 60%. Difficulté financière du locateur. Signe une entente avec Métro mais Métro dit que c’est trop petit. Le locateur fait une rallonge pour plaire à Métro. Vieux Four pas content car perte de places de stationnements et clients sur terrasse pas de belle vue. Vieux Four cesse de payer son loyer. Recours du locateur. Locataire dit pas besoin de payer car agrandissement. La Cour décide : parle de l’importance d’avoir un grand locataire dans une place commerciale. Le tribunal dit que oui le locateur pouvait agrandir mais il devra dédommager les locataires qui ont eu une nuisance. Aucune faute du locateur et il a agit de bonne foi. Mais le locateur a changé la fin du lieu selon l’article 1856 CcQ. Le tribunal reconnait que le locataire a le droit d’avoir son espace inchangé. Le tribunal a donné une réduction de 40% au restaurant pour la construction de l’agrandissement. </w:t>
      </w:r>
    </w:p>
    <w:p w:rsidR="009615F3" w:rsidRDefault="009615F3" w:rsidP="009615F3">
      <w:pPr>
        <w:pStyle w:val="NoSpacing"/>
      </w:pPr>
      <w:r>
        <w:t>Prof : il pourrait y avoir différentes interprétations de cet article</w:t>
      </w:r>
    </w:p>
    <w:p w:rsidR="009615F3" w:rsidRPr="00381A1C" w:rsidRDefault="009615F3" w:rsidP="009615F3"/>
    <w:p w:rsidR="009615F3" w:rsidRDefault="009615F3" w:rsidP="009615F3">
      <w:pPr>
        <w:pStyle w:val="Heading2"/>
      </w:pPr>
      <w:bookmarkStart w:id="78" w:name="_Toc289807073"/>
      <w:r>
        <w:lastRenderedPageBreak/>
        <w:t>Chapitre 6 : Sous-location et cession de bail</w:t>
      </w:r>
      <w:bookmarkEnd w:id="78"/>
    </w:p>
    <w:p w:rsidR="009615F3" w:rsidRDefault="009615F3" w:rsidP="009615F3"/>
    <w:p w:rsidR="009615F3" w:rsidRDefault="009615F3" w:rsidP="009615F3">
      <w:pPr>
        <w:pStyle w:val="Heading3"/>
      </w:pPr>
      <w:bookmarkStart w:id="79" w:name="_Toc289807074"/>
      <w:r>
        <w:t>Section 1- Définition</w:t>
      </w:r>
      <w:bookmarkEnd w:id="79"/>
    </w:p>
    <w:p w:rsidR="009615F3" w:rsidRDefault="009615F3" w:rsidP="009615F3">
      <w:r>
        <w:t>Le locataire sous-loue à un sous-locataire une partie ou l’ensemble des lieux qu’il a lui-même louer.</w:t>
      </w:r>
    </w:p>
    <w:p w:rsidR="009615F3" w:rsidRDefault="009615F3" w:rsidP="009615F3">
      <w:r>
        <w:t>Cession de bail : cession complète des droits de location.</w:t>
      </w:r>
    </w:p>
    <w:p w:rsidR="009615F3" w:rsidRDefault="009615F3" w:rsidP="009615F3">
      <w:r>
        <w:t>En pratique, ce n’est pas toujours facile à déterminer. Les tribunaux ont décidé que si on n’est pas capable de déterminer, on présume que c’est une sous-location.</w:t>
      </w:r>
    </w:p>
    <w:p w:rsidR="009615F3" w:rsidRDefault="009615F3" w:rsidP="009615F3"/>
    <w:p w:rsidR="009615F3" w:rsidRDefault="009615F3" w:rsidP="009615F3">
      <w:pPr>
        <w:pStyle w:val="Heading3"/>
      </w:pPr>
      <w:bookmarkStart w:id="80" w:name="_Toc289807075"/>
      <w:r>
        <w:t>Section 2 – Obtenir le consentement du locateur</w:t>
      </w:r>
      <w:bookmarkEnd w:id="80"/>
    </w:p>
    <w:p w:rsidR="009615F3" w:rsidRDefault="009615F3" w:rsidP="009615F3">
      <w:r>
        <w:t>1</w:t>
      </w:r>
      <w:r w:rsidRPr="000D07F2">
        <w:rPr>
          <w:vertAlign w:val="superscript"/>
        </w:rPr>
        <w:t>e</w:t>
      </w:r>
      <w:r>
        <w:t xml:space="preserve"> étape : avis écrit au propriétaire. On écrit l’adresse du sous-locataire ou du cessionnaire. Article 1870 CcQ.</w:t>
      </w:r>
    </w:p>
    <w:p w:rsidR="009615F3" w:rsidRDefault="009615F3" w:rsidP="009615F3"/>
    <w:p w:rsidR="009615F3" w:rsidRDefault="009615F3" w:rsidP="009615F3"/>
    <w:p w:rsidR="009615F3" w:rsidRDefault="009615F3" w:rsidP="009615F3">
      <w:pPr>
        <w:pStyle w:val="Heading3"/>
      </w:pPr>
      <w:bookmarkStart w:id="81" w:name="_Toc289807076"/>
      <w:r>
        <w:t>Section 3 – Effet de la sous-location</w:t>
      </w:r>
      <w:bookmarkEnd w:id="81"/>
    </w:p>
    <w:p w:rsidR="009615F3" w:rsidRDefault="009615F3" w:rsidP="009615F3">
      <w:r>
        <w:t>Le locataire initial reste complètement engagé envers le locateur. Le locataire est tenu de payer le loyer si le sous-locataire ne paye pas.</w:t>
      </w:r>
    </w:p>
    <w:p w:rsidR="009615F3" w:rsidRDefault="009615F3" w:rsidP="009615F3">
      <w:r>
        <w:t>Exemple : salon de coiffure qui sous-loue des chaises, le locateur peut exiger que les sous-locataires payent directement le loyer. Article 1874 CcQ. Si le sous-locataire a déjà payé d’avance au locataire, il peut avoir à repayer le loyer au locateur. Si le sous-locataire avise le propriétaire qu’il a payé pour l’année alors le propriétaire ne peut pas recouvrer son loyer au sous-locataire.</w:t>
      </w:r>
    </w:p>
    <w:p w:rsidR="009615F3" w:rsidRDefault="009615F3" w:rsidP="009615F3">
      <w:r>
        <w:t xml:space="preserve">Le sous-locataire peut exiger au locateur d’exécuter ses obligations : Article 1876 CcQ. Exemple : si le locataire ne veut pas poursuivre, le sous-locataire peut le faire. </w:t>
      </w:r>
    </w:p>
    <w:p w:rsidR="009615F3" w:rsidRDefault="009615F3" w:rsidP="009615F3">
      <w:r>
        <w:t>Article 1875 CcQ : exemple salon de coiffure qui veut faire des manucures et que le locateur a déjà des obligations envers un autre locataire, il peut exiger la résiliation du bail.</w:t>
      </w:r>
    </w:p>
    <w:p w:rsidR="009615F3" w:rsidRDefault="009615F3" w:rsidP="009615F3">
      <w:r>
        <w:t xml:space="preserve">Clause d’exclusivité : empêche un locataire de louer une partie de son immeuble qui entrerait en compétition avec un autre locataire. </w:t>
      </w:r>
    </w:p>
    <w:p w:rsidR="009615F3" w:rsidRDefault="009615F3" w:rsidP="009615F3">
      <w:pPr>
        <w:ind w:left="708"/>
      </w:pPr>
      <w:r>
        <w:t>Le locataire va avoir un loyer plus dispendieux suite à une clause d’exclusivité. Les locateurs ont avantage à ce qu’une clause d’exclusivité ne soit pas trop large.</w:t>
      </w:r>
    </w:p>
    <w:p w:rsidR="009615F3" w:rsidRDefault="009615F3" w:rsidP="009615F3">
      <w:pPr>
        <w:ind w:left="708"/>
      </w:pPr>
      <w:r>
        <w:lastRenderedPageBreak/>
        <w:t>Interprétation restrictive de la clause d’exclusivité par les tribunaux.</w:t>
      </w:r>
    </w:p>
    <w:p w:rsidR="009615F3" w:rsidRDefault="009615F3" w:rsidP="009615F3">
      <w:pPr>
        <w:ind w:left="708"/>
      </w:pPr>
      <w:r>
        <w:t>Recours procédural : injonction, on veut forcer le locateur à respecter la clause et aussi le locataire fautif (à condition de démontrer la connaissance de ce locataire, responsabilité extracontractuelle)</w:t>
      </w:r>
    </w:p>
    <w:p w:rsidR="009615F3" w:rsidRDefault="009615F3" w:rsidP="009615F3">
      <w:r>
        <w:t xml:space="preserve">Il faut se rappeler que le sous-locataire est tenu à toutes ses obligations envers le locateur et ne peut pas rajouter des choses à son bail. </w:t>
      </w:r>
    </w:p>
    <w:p w:rsidR="009615F3" w:rsidRDefault="009615F3" w:rsidP="009615F3"/>
    <w:p w:rsidR="009615F3" w:rsidRPr="000A2C18" w:rsidRDefault="009615F3" w:rsidP="009615F3">
      <w:pPr>
        <w:pStyle w:val="Heading3"/>
        <w:rPr>
          <w:rStyle w:val="Heading2Char"/>
        </w:rPr>
      </w:pPr>
      <w:bookmarkStart w:id="82" w:name="_Toc289807077"/>
      <w:r>
        <w:t xml:space="preserve">Section 4 </w:t>
      </w:r>
      <w:r w:rsidRPr="000A2C18">
        <w:rPr>
          <w:rStyle w:val="Heading2Char"/>
        </w:rPr>
        <w:t>– Effet de la cession de bail</w:t>
      </w:r>
      <w:bookmarkEnd w:id="82"/>
    </w:p>
    <w:p w:rsidR="009615F3" w:rsidRDefault="009615F3" w:rsidP="009615F3">
      <w:r>
        <w:t>C’est toujours ça que le locataire veut normalement car il est déchargé de ses obligations envers le locateur.</w:t>
      </w:r>
    </w:p>
    <w:p w:rsidR="009615F3" w:rsidRDefault="009615F3" w:rsidP="009615F3">
      <w:r>
        <w:t>Les frais de sous-location ou de cession sont à la charge du locataire.</w:t>
      </w:r>
    </w:p>
    <w:p w:rsidR="009615F3" w:rsidRDefault="009615F3" w:rsidP="009615F3"/>
    <w:p w:rsidR="009615F3" w:rsidRDefault="009615F3" w:rsidP="009615F3"/>
    <w:p w:rsidR="009615F3" w:rsidRDefault="009615F3" w:rsidP="009615F3">
      <w:pPr>
        <w:pStyle w:val="Heading3"/>
      </w:pPr>
      <w:bookmarkStart w:id="83" w:name="_Toc289807078"/>
      <w:r>
        <w:t>Section 5-  Conditions d’exercices</w:t>
      </w:r>
      <w:bookmarkEnd w:id="83"/>
    </w:p>
    <w:p w:rsidR="009615F3" w:rsidRDefault="009615F3" w:rsidP="009615F3">
      <w:r>
        <w:t>Lo locateur peut refuser une cession de bail : manque de solvabilité pour le cessionnaire ou le sous-locataire, la réputation du sous-locataire ou cessionnaire.</w:t>
      </w:r>
    </w:p>
    <w:p w:rsidR="009615F3" w:rsidRDefault="009615F3" w:rsidP="009615F3">
      <w:r>
        <w:t xml:space="preserve">Le locateur qui ne répond pas à l’avis de sous-location ou cession s’il ne répond pas dans les 15 jours de la réception de l’avis. Article 1871 CcQ. </w:t>
      </w:r>
    </w:p>
    <w:p w:rsidR="009615F3" w:rsidRDefault="009615F3" w:rsidP="009615F3">
      <w:r>
        <w:t>Est-ce contre l’ordre public de sous-louer le bail? Voir notes d’Émilie</w:t>
      </w:r>
    </w:p>
    <w:p w:rsidR="009615F3" w:rsidRDefault="009615F3" w:rsidP="009615F3">
      <w:r>
        <w:t>Article 1893 CcQ.</w:t>
      </w:r>
    </w:p>
    <w:p w:rsidR="009615F3" w:rsidRDefault="009615F3" w:rsidP="009615F3"/>
    <w:p w:rsidR="009615F3" w:rsidRDefault="009615F3" w:rsidP="009615F3">
      <w:pPr>
        <w:pStyle w:val="Heading2"/>
      </w:pPr>
      <w:bookmarkStart w:id="84" w:name="_Toc289807079"/>
      <w:r>
        <w:t>Chapitre 7 : Fin du bail</w:t>
      </w:r>
      <w:bookmarkEnd w:id="84"/>
    </w:p>
    <w:p w:rsidR="009615F3" w:rsidRDefault="009615F3" w:rsidP="009615F3"/>
    <w:p w:rsidR="009615F3" w:rsidRDefault="009615F3" w:rsidP="009615F3">
      <w:pPr>
        <w:pStyle w:val="Heading3"/>
      </w:pPr>
      <w:bookmarkStart w:id="85" w:name="_Toc289807080"/>
      <w:r>
        <w:t>Section 1 – Bail à durée fixe</w:t>
      </w:r>
      <w:bookmarkEnd w:id="85"/>
    </w:p>
    <w:p w:rsidR="009615F3" w:rsidRDefault="009615F3" w:rsidP="009615F3">
      <w:r>
        <w:t xml:space="preserve">Est-ce que c’est un bail à durée fixe? Si durée fixe, ce termine à la fin du bail de plein droit : article 1877 CcQ. </w:t>
      </w:r>
    </w:p>
    <w:p w:rsidR="009615F3" w:rsidRDefault="009615F3" w:rsidP="009615F3">
      <w:r>
        <w:t xml:space="preserve">Mais le bail peut être reconduit de façon tacite ou expresse. </w:t>
      </w:r>
    </w:p>
    <w:p w:rsidR="009615F3" w:rsidRDefault="009615F3" w:rsidP="009615F3">
      <w:r>
        <w:t>Reconduction expresse : Il peut y avoir une clause de renouvellement automatique (le bail se renouvelle à défaut de recevoir un avis) : reconduction expresse.</w:t>
      </w:r>
    </w:p>
    <w:p w:rsidR="009615F3" w:rsidRDefault="009615F3" w:rsidP="009615F3">
      <w:r>
        <w:lastRenderedPageBreak/>
        <w:t>2</w:t>
      </w:r>
      <w:r w:rsidRPr="00F20974">
        <w:rPr>
          <w:vertAlign w:val="superscript"/>
        </w:rPr>
        <w:t>e</w:t>
      </w:r>
      <w:r>
        <w:t xml:space="preserve"> clause : option de renouvellement, en faveur du locataire. Le locataire devra aviser dans les 3 mois de la fin s’il désire exercer l’option de renouvellement.</w:t>
      </w:r>
    </w:p>
    <w:p w:rsidR="009615F3" w:rsidRDefault="009615F3" w:rsidP="009615F3">
      <w:r>
        <w:t xml:space="preserve">Normalement, dans un bail commercial, il va y avoir une clause de renouvellement qui prévoit d’avance le loyer applicable (souvent avec indexation), et ce souvent pour la même durée que le premier bail. </w:t>
      </w:r>
    </w:p>
    <w:p w:rsidR="009615F3" w:rsidRDefault="009615F3" w:rsidP="009615F3">
      <w:r>
        <w:t xml:space="preserve">Reconduction tacite : prévu par la loi. Dans le cas où le locataire continue à occuper les lieux pendant 10 jours suite à la terminaison et que le locateur ne fait rien. Article 1879 CcQ. </w:t>
      </w:r>
    </w:p>
    <w:p w:rsidR="009615F3" w:rsidRDefault="009615F3" w:rsidP="009615F3">
      <w:r>
        <w:t xml:space="preserve">On peut renoncer à l’avance à la reconduction tacite. Mais qu’est-ce qui arrive si le locataire demeure plus de 10 jours : cela devient un bail présumé (article 1853 CcQ) dans le cas où il y aurait une telle clause. </w:t>
      </w:r>
    </w:p>
    <w:p w:rsidR="009615F3" w:rsidRDefault="009615F3" w:rsidP="009615F3">
      <w:r>
        <w:t>Si reconduction tacite, article 1881 CcQ (renvoi 2343 CcQ) dit que toutes les sûretés données au locateur tombent.</w:t>
      </w:r>
    </w:p>
    <w:p w:rsidR="009615F3" w:rsidRDefault="009615F3" w:rsidP="009615F3"/>
    <w:p w:rsidR="009615F3" w:rsidRDefault="009615F3" w:rsidP="009615F3"/>
    <w:p w:rsidR="009615F3" w:rsidRDefault="009615F3" w:rsidP="009615F3">
      <w:pPr>
        <w:pStyle w:val="Heading3"/>
      </w:pPr>
      <w:bookmarkStart w:id="86" w:name="_Toc289807081"/>
      <w:r>
        <w:t>Section 2 – Bail à durée indéterminée</w:t>
      </w:r>
      <w:bookmarkEnd w:id="86"/>
    </w:p>
    <w:p w:rsidR="009615F3" w:rsidRDefault="009615F3" w:rsidP="009615F3">
      <w:r>
        <w:t>Cesse dès qu’une partie résilie le bail. Avis d’un mois donné par la personne qui résilie. Si on paye un avis au moins, avis d’un mois. Si paye loyer de 3 mois, avis de 3 mois. Si paye pour plus de 3 mois, avis de 3 mois seulement.</w:t>
      </w:r>
    </w:p>
    <w:p w:rsidR="009615F3" w:rsidRDefault="009615F3" w:rsidP="009615F3">
      <w:r>
        <w:t xml:space="preserve">Si location bien meuble, avis de 10 jours. </w:t>
      </w:r>
    </w:p>
    <w:p w:rsidR="009615F3" w:rsidRDefault="009615F3" w:rsidP="009615F3">
      <w:r>
        <w:t>Article 1882 CcQ.</w:t>
      </w:r>
    </w:p>
    <w:p w:rsidR="009615F3" w:rsidRDefault="009615F3" w:rsidP="009615F3">
      <w:r>
        <w:t>Article 1885 CcQ : le locataire ne peut pas empêcher que le local est à louer, à compter de l’avis de résiliation pour un bail à durée indéterminée</w:t>
      </w:r>
    </w:p>
    <w:p w:rsidR="009615F3" w:rsidRDefault="009615F3" w:rsidP="009615F3"/>
    <w:p w:rsidR="009615F3" w:rsidRDefault="009615F3" w:rsidP="009615F3">
      <w:pPr>
        <w:pStyle w:val="Heading3"/>
      </w:pPr>
      <w:bookmarkStart w:id="87" w:name="_Toc289807082"/>
      <w:r>
        <w:t>Section 3 – Visite des lieux</w:t>
      </w:r>
      <w:bookmarkEnd w:id="87"/>
    </w:p>
    <w:p w:rsidR="009615F3" w:rsidRDefault="009615F3" w:rsidP="009615F3"/>
    <w:p w:rsidR="009615F3" w:rsidRDefault="009615F3" w:rsidP="009615F3">
      <w:pPr>
        <w:pStyle w:val="Heading3"/>
      </w:pPr>
      <w:bookmarkStart w:id="88" w:name="_Toc289807083"/>
      <w:r>
        <w:t>Section 4 – Aliénation de l’immeuble</w:t>
      </w:r>
      <w:bookmarkEnd w:id="88"/>
    </w:p>
    <w:p w:rsidR="009615F3" w:rsidRDefault="009615F3" w:rsidP="009615F3">
      <w:r>
        <w:t xml:space="preserve">Si on vend un bien, cela ne met pas fin au bail. Article 1887 CcQ. Si le nouvel acquéreur du bien est soumis à un bail à durée indéterminée (avis de résiliation en vertu de 1882 CcQ). </w:t>
      </w:r>
    </w:p>
    <w:p w:rsidR="009615F3" w:rsidRDefault="009615F3" w:rsidP="009615F3">
      <w:r>
        <w:t>Si à durée fixe, il faut appliquer l’alinéa 2 de l’article 1887 CcQ. Préavis de 6 mois. Le locataire a le droit de rester dans les lieux pendant  12 mois. Si le bail est publié avant la vente, le nouvel acquéreur doit respecter le bail.</w:t>
      </w:r>
    </w:p>
    <w:p w:rsidR="009615F3" w:rsidRDefault="009615F3" w:rsidP="009615F3">
      <w:r>
        <w:lastRenderedPageBreak/>
        <w:t>Quand on publie un bail, il est opposable au nouvel acquéreur et même les options de renouvellement sont opposables à celui-ci. Il ne faut donc pas oublier de publier la clause de renouvellement.</w:t>
      </w:r>
    </w:p>
    <w:p w:rsidR="009615F3" w:rsidRDefault="009615F3" w:rsidP="009615F3"/>
    <w:p w:rsidR="009615F3" w:rsidRDefault="009615F3" w:rsidP="009615F3">
      <w:pPr>
        <w:pStyle w:val="Heading3"/>
      </w:pPr>
      <w:bookmarkStart w:id="89" w:name="_Toc289807084"/>
      <w:r>
        <w:t>Section 5- Expropriation total ou partielle</w:t>
      </w:r>
      <w:bookmarkEnd w:id="89"/>
    </w:p>
    <w:p w:rsidR="009615F3" w:rsidRDefault="009615F3" w:rsidP="009615F3">
      <w:r>
        <w:t>Si expropriation totale : locateur est dégagée de ses obligations.</w:t>
      </w:r>
    </w:p>
    <w:p w:rsidR="009615F3" w:rsidRDefault="009615F3" w:rsidP="009615F3">
      <w:r>
        <w:t>Si partielle : c’est au locataire de décider s’il reste.</w:t>
      </w:r>
    </w:p>
    <w:p w:rsidR="009615F3" w:rsidRDefault="009615F3" w:rsidP="009615F3">
      <w:r>
        <w:t>Article 1888 CcQ</w:t>
      </w:r>
    </w:p>
    <w:p w:rsidR="009615F3" w:rsidRDefault="009615F3" w:rsidP="009615F3"/>
    <w:p w:rsidR="009615F3" w:rsidRDefault="009615F3" w:rsidP="009615F3">
      <w:pPr>
        <w:pStyle w:val="Heading3"/>
      </w:pPr>
      <w:bookmarkStart w:id="90" w:name="_Toc289807085"/>
      <w:r>
        <w:t>Section 6 – Décès</w:t>
      </w:r>
      <w:bookmarkEnd w:id="90"/>
    </w:p>
    <w:p w:rsidR="009615F3" w:rsidRDefault="009615F3" w:rsidP="009615F3">
      <w:r>
        <w:t xml:space="preserve">Non,  ne met pas fin au bail. Un contrat est transmissible. Article 1884 CcQ ? Sauf si prévu au bail, contrat intuitu personea. </w:t>
      </w:r>
    </w:p>
    <w:p w:rsidR="009615F3" w:rsidRDefault="009615F3" w:rsidP="009615F3">
      <w:pPr>
        <w:pStyle w:val="Heading3"/>
      </w:pPr>
      <w:bookmarkStart w:id="91" w:name="_Toc289807086"/>
      <w:r>
        <w:t>Section 7 – Remise en état du bien</w:t>
      </w:r>
      <w:bookmarkEnd w:id="91"/>
    </w:p>
    <w:p w:rsidR="009615F3" w:rsidRDefault="009615F3" w:rsidP="009615F3">
      <w:r>
        <w:t>Le locataire doit remettre les lieux en état. On doit se souvenir de l’article 1890 CcQ dans ce cas.</w:t>
      </w:r>
    </w:p>
    <w:p w:rsidR="009615F3" w:rsidRDefault="009615F3" w:rsidP="009615F3">
      <w:r>
        <w:t>Si le locataire a fait des améliorations à l’intérieur ou extérieur, il doit les enlever à la fin du bail. S’il les laisse là, le locateur a le droit d’exiger que les lieux soient remis en état : article 1890 CcQ. Si le locateur veut les garder, il doit payer les frais au locataire cependant. Sans contrepartie, s’il ne peut pas les enlever. Article 1891 CcQ.</w:t>
      </w:r>
    </w:p>
    <w:p w:rsidR="009615F3" w:rsidRDefault="009615F3" w:rsidP="009615F3">
      <w:pPr>
        <w:pStyle w:val="Heading3"/>
      </w:pPr>
      <w:bookmarkStart w:id="92" w:name="_Toc289807087"/>
      <w:r>
        <w:t>Section 8 – Recours du locateur</w:t>
      </w:r>
      <w:bookmarkEnd w:id="92"/>
    </w:p>
    <w:p w:rsidR="009615F3" w:rsidRDefault="009615F3" w:rsidP="009615F3">
      <w:r>
        <w:t>Requête en éviction : si le locataire ne veut pas partir…</w:t>
      </w:r>
    </w:p>
    <w:p w:rsidR="009615F3" w:rsidRDefault="009615F3" w:rsidP="009615F3">
      <w:r>
        <w:t>Procédure prévue à l’article 1889 CcQ.</w:t>
      </w:r>
    </w:p>
    <w:p w:rsidR="009615F3" w:rsidRDefault="009615F3" w:rsidP="009615F3">
      <w:pPr>
        <w:pStyle w:val="Heading2"/>
      </w:pPr>
    </w:p>
    <w:p w:rsidR="009615F3" w:rsidRDefault="009615F3" w:rsidP="009615F3">
      <w:pPr>
        <w:pStyle w:val="Heading2"/>
      </w:pPr>
      <w:bookmarkStart w:id="93" w:name="_Toc289807088"/>
      <w:r>
        <w:t>Chapitre 8- Publicité</w:t>
      </w:r>
      <w:bookmarkEnd w:id="93"/>
    </w:p>
    <w:p w:rsidR="009615F3" w:rsidRDefault="009615F3" w:rsidP="009615F3">
      <w:pPr>
        <w:pStyle w:val="Heading3"/>
      </w:pPr>
      <w:bookmarkStart w:id="94" w:name="_Toc289807089"/>
      <w:r>
        <w:t>Section 1 – Publicité possible</w:t>
      </w:r>
      <w:bookmarkEnd w:id="94"/>
    </w:p>
    <w:p w:rsidR="009615F3" w:rsidRDefault="009615F3" w:rsidP="009615F3">
      <w:r>
        <w:t>Article 1852 CcQ. Renvoi à l’article 2936 CcQ</w:t>
      </w:r>
    </w:p>
    <w:p w:rsidR="009615F3" w:rsidRDefault="009615F3" w:rsidP="009615F3">
      <w:r>
        <w:t>On doit cependant publier certains louages, voir l’article et l’article 15.01 Règlement RDPRM.</w:t>
      </w:r>
    </w:p>
    <w:p w:rsidR="009615F3" w:rsidRDefault="009615F3" w:rsidP="009615F3">
      <w:pPr>
        <w:pStyle w:val="Heading3"/>
      </w:pPr>
      <w:bookmarkStart w:id="95" w:name="_Toc289807090"/>
      <w:r>
        <w:lastRenderedPageBreak/>
        <w:t>Section 2- Renonciation par le locataire à la publicité</w:t>
      </w:r>
      <w:bookmarkEnd w:id="95"/>
    </w:p>
    <w:p w:rsidR="009615F3" w:rsidRDefault="009615F3" w:rsidP="009615F3">
      <w:r>
        <w:t>Toute renonciation au droit de publier est sans effet : article 2936 CcQ</w:t>
      </w:r>
    </w:p>
    <w:p w:rsidR="009615F3" w:rsidRDefault="009615F3" w:rsidP="009615F3">
      <w:pPr>
        <w:pStyle w:val="Heading3"/>
      </w:pPr>
      <w:bookmarkStart w:id="96" w:name="_Toc289807091"/>
      <w:r>
        <w:t>Section 3- Effet de la publication</w:t>
      </w:r>
      <w:bookmarkEnd w:id="96"/>
    </w:p>
    <w:p w:rsidR="009615F3" w:rsidRDefault="009615F3" w:rsidP="009615F3">
      <w:r>
        <w:t>Interprétation de l’article 1852 CcQ : Transport Inter Pool c. Lemieux Nolet. Lemieux loue plusieurs remorques à Transport Inter Pool. Louées à long terme pour 3 ans. Article 1852 CcQ : publication obligatoire. Lemieux Nolet fait faillite. Le Syndic dit que la location leur ait inopposable car le législateur oblige la publication. Le syndic dit qu’il a le droit de vendre les remorques. Le tribunal analyse l’article 1852 CcQ et réalise qu’il y a obligation de publication pour la location. Ici pas d’actes translatifs de propriété. Aucun droit occulte rendant le …Le tribunal dit qu’on veut opposer un contrat de location. Quand le législateur a écrit 1852 il visait un type de location : une location avec option d’achat. On n’a pas besoin de publier un bail qui n’est pas un contrat  de location avec  option d’achat. Si pas d’option d’achat, on ne s’occupe pas du 2</w:t>
      </w:r>
      <w:r w:rsidRPr="009B2514">
        <w:rPr>
          <w:vertAlign w:val="superscript"/>
        </w:rPr>
        <w:t>e</w:t>
      </w:r>
      <w:r>
        <w:t xml:space="preserve"> alinéa. On ne chercher pas à protéger des droits occultes ici.</w:t>
      </w:r>
    </w:p>
    <w:p w:rsidR="009615F3" w:rsidRDefault="009615F3" w:rsidP="009615F3"/>
    <w:p w:rsidR="009615F3" w:rsidRDefault="009615F3" w:rsidP="009615F3">
      <w:pPr>
        <w:pStyle w:val="Heading3"/>
      </w:pPr>
      <w:bookmarkStart w:id="97" w:name="_Toc289807092"/>
      <w:r>
        <w:t>Section 4 – Modalités pour publier</w:t>
      </w:r>
      <w:bookmarkEnd w:id="97"/>
    </w:p>
    <w:p w:rsidR="009615F3" w:rsidRDefault="009615F3" w:rsidP="009615F3">
      <w:r>
        <w:t>On peut écrire une lettre au registre foncier pour demander de publier le bail en entier. Mais on ne veut pas ça : comme on ne veut pas que le loyer soit divulgué à tous. Donc généralement, on va produire un sommaire. Dans le sommaire, c’est un document que nous préparons, on  indique le type de droit  (bail de 5 ans avec la durée), le locataire, le locateur, adresse et nom, immeuble (description cadastrale de l’immeuble). En faisant ça, signé par l’avocat, on va pouvoir publier le bail.</w:t>
      </w:r>
    </w:p>
    <w:p w:rsidR="009615F3" w:rsidRDefault="009615F3" w:rsidP="009615F3">
      <w:r>
        <w:t>Il faut aussi publier la clause de renouvellement, car si elle n’est pas publier, la clause ne sera pas opposable aux tiers. Aussi, il faut indiquer toute autre clause qui serait avantageux à savoir (comme l’option d’achat pour un véhicule).</w:t>
      </w:r>
    </w:p>
    <w:p w:rsidR="009615F3" w:rsidRDefault="009615F3" w:rsidP="009615F3"/>
    <w:p w:rsidR="009615F3" w:rsidRDefault="009615F3" w:rsidP="009615F3"/>
    <w:p w:rsidR="009615F3" w:rsidRDefault="009615F3" w:rsidP="009615F3"/>
    <w:p w:rsidR="009615F3" w:rsidRDefault="009615F3" w:rsidP="009615F3"/>
    <w:p w:rsidR="009615F3" w:rsidRDefault="009615F3" w:rsidP="009615F3"/>
    <w:p w:rsidR="009615F3" w:rsidRDefault="009615F3" w:rsidP="009615F3"/>
    <w:p w:rsidR="009615F3" w:rsidRDefault="009615F3" w:rsidP="009615F3"/>
    <w:p w:rsidR="009615F3" w:rsidRPr="00110CB8" w:rsidRDefault="009615F3" w:rsidP="009615F3">
      <w:pPr>
        <w:pStyle w:val="Heading1"/>
      </w:pPr>
      <w:bookmarkStart w:id="98" w:name="_Toc289807093"/>
      <w:r w:rsidRPr="00110CB8">
        <w:lastRenderedPageBreak/>
        <w:t>Résumé</w:t>
      </w:r>
      <w:bookmarkEnd w:id="98"/>
    </w:p>
    <w:p w:rsidR="009615F3" w:rsidRDefault="009615F3" w:rsidP="009615F3"/>
    <w:p w:rsidR="009615F3" w:rsidRPr="00110CB8" w:rsidRDefault="009615F3" w:rsidP="009615F3">
      <w:pPr>
        <w:rPr>
          <w:u w:val="single"/>
        </w:rPr>
      </w:pPr>
      <w:r w:rsidRPr="00110CB8">
        <w:rPr>
          <w:u w:val="single"/>
        </w:rPr>
        <w:t>Phase préalable</w:t>
      </w:r>
    </w:p>
    <w:p w:rsidR="009615F3" w:rsidRDefault="009615F3" w:rsidP="009615F3"/>
    <w:p w:rsidR="009615F3" w:rsidRDefault="009615F3" w:rsidP="009615F3">
      <w:r>
        <w:t>Offre : prix, objet cause</w:t>
      </w:r>
    </w:p>
    <w:p w:rsidR="009615F3" w:rsidRDefault="009615F3" w:rsidP="009615F3"/>
    <w:p w:rsidR="009615F3" w:rsidRDefault="009615F3" w:rsidP="009615F3">
      <w:r>
        <w:t>Promesse unilatérale :</w:t>
      </w:r>
    </w:p>
    <w:p w:rsidR="009615F3" w:rsidRDefault="009615F3" w:rsidP="009615F3">
      <w:r>
        <w:t xml:space="preserve">-Si offre à personne déterminée et la personne a l’intention de prendre en considération : on a une promesse unilatérale (art 1396 CcQ). Contrat unilatéral. Le promettant s’est engagé mais pas la personne qui considère l’offre. </w:t>
      </w:r>
    </w:p>
    <w:p w:rsidR="009615F3" w:rsidRDefault="009615F3" w:rsidP="009615F3">
      <w:pPr>
        <w:ind w:left="708"/>
      </w:pPr>
      <w:r>
        <w:t>Si offre sur un bien individualisé ou universalité de biens (tous les biens) : Si personne ne respecte pas la promesse de l’article 1396 alinéa 1 : recours en dommage en vertu de l’article 1397 CcQ.</w:t>
      </w:r>
    </w:p>
    <w:p w:rsidR="009615F3" w:rsidRDefault="009615F3" w:rsidP="009615F3">
      <w:pPr>
        <w:ind w:left="708"/>
      </w:pPr>
      <w:r>
        <w:t xml:space="preserve">1396 al 2 CcQ : sur les biens non individualisés. Renvoie aussi à l’article 1397 CcQ. </w:t>
      </w:r>
    </w:p>
    <w:p w:rsidR="009615F3" w:rsidRDefault="009615F3" w:rsidP="009615F3">
      <w:r>
        <w:t>-Si on veut forcer la réalisation d’une promesse unilatérale: on accepte l’offre ce qui devient une promesse bilatérale et ceci permet de demander la passation de titre de 1712  CcQ.</w:t>
      </w:r>
    </w:p>
    <w:p w:rsidR="009615F3" w:rsidRDefault="009615F3" w:rsidP="009615F3">
      <w:r>
        <w:t>-Si offre et on donne la possession du bien, application de l’article 1710 CcQ. Confirmation de la promesse. Transfert.</w:t>
      </w:r>
    </w:p>
    <w:p w:rsidR="009615F3" w:rsidRDefault="009615F3" w:rsidP="009615F3"/>
    <w:p w:rsidR="009615F3" w:rsidRDefault="009615F3" w:rsidP="009615F3">
      <w:r>
        <w:t>Transfert de la propriété : article 1453 CcQ</w:t>
      </w:r>
    </w:p>
    <w:p w:rsidR="009615F3" w:rsidRDefault="009615F3" w:rsidP="009615F3">
      <w:r>
        <w:t>-Bien individualisé ou universalité : transfert dès l’échange de consentement (alinéa 1). Propriété transférée.</w:t>
      </w:r>
    </w:p>
    <w:p w:rsidR="009615F3" w:rsidRDefault="009615F3" w:rsidP="009615F3">
      <w:r>
        <w:t xml:space="preserve">-Bien non individualisé : transfert lorsque la personne est informée de l’individualisation. </w:t>
      </w:r>
    </w:p>
    <w:p w:rsidR="009615F3" w:rsidRDefault="009615F3" w:rsidP="009615F3">
      <w:r>
        <w:t>-Si on achète un bien meuble et qu’on nous le remet pas : 2 exceptions à l’article 1454 CcQ. Vente successive : le premier mis en possession pour un bien meuble, c’est  lui qui est propriétaire même s’il a accepté l’offre avant l’autre. Pour un immeuble, c’est le premier qui publie le transfert qui est le propriétaire (article 1455).</w:t>
      </w:r>
    </w:p>
    <w:p w:rsidR="009615F3" w:rsidRDefault="009615F3" w:rsidP="009615F3"/>
    <w:p w:rsidR="009615F3" w:rsidRDefault="009615F3" w:rsidP="009615F3"/>
    <w:p w:rsidR="009615F3" w:rsidRDefault="009615F3" w:rsidP="009615F3">
      <w:r>
        <w:lastRenderedPageBreak/>
        <w:t>Transfert des risques : article 1456 CcQ</w:t>
      </w:r>
    </w:p>
    <w:p w:rsidR="009615F3" w:rsidRDefault="009615F3" w:rsidP="009615F3">
      <w:r>
        <w:t>-C’est le propriétaire qui assume les risques de perte du bien. Exception au 2</w:t>
      </w:r>
      <w:r w:rsidRPr="00E94740">
        <w:rPr>
          <w:vertAlign w:val="superscript"/>
        </w:rPr>
        <w:t>e</w:t>
      </w:r>
      <w:r>
        <w:t xml:space="preserve"> alinéa. Tant que l’obligation de délivrance n’est pas faite, celui qui en a l’obligation continue d’assumer les risques. Renvoi à 950 CcQ. Renvoi aussi à 1582 et 1562 CcQ. Si perte partielle : article 1562 CcQ, si l’acheteur le prend, diminution du prix de vente dans ce cas. Si mise en demeure de l’acheteur de venir chercher le bien, ce dernier est responsable seulement dans le cas de force majeure. </w:t>
      </w:r>
    </w:p>
    <w:p w:rsidR="009615F3" w:rsidRDefault="009615F3" w:rsidP="009615F3"/>
    <w:p w:rsidR="009615F3" w:rsidRDefault="009615F3" w:rsidP="009615F3">
      <w:r>
        <w:t>Promesse bilatérale et personne ne veut pas faire le transfert de l’immeuble</w:t>
      </w:r>
    </w:p>
    <w:p w:rsidR="009615F3" w:rsidRDefault="009615F3" w:rsidP="009615F3">
      <w:r>
        <w:t>-Action en passation de titre 1712 CcQ. Quatre conditions avec la requête : (1) mise en demeure pour passer titre, (2) contrat de vente conforme à la promesse, (3) consignation du prix, (4) délai raisonnable (si on attend trop longtemps, le juge ne l’acceptera pas). Le contrat de vente est une condition essentielle. Le jugement donne acte avec le contrat de vente produit. Mise en demeure : une action en cours est une mise en demeure.</w:t>
      </w:r>
    </w:p>
    <w:p w:rsidR="009615F3" w:rsidRDefault="009615F3" w:rsidP="009615F3">
      <w:r>
        <w:t xml:space="preserve">-Si l’action vise un meuble comme une auto ou meuble du RDPRM ou immeuble, on doit publier l’action en passation de titre au RDPRM ou registre foncier. Article 2966 CcQ. </w:t>
      </w:r>
    </w:p>
    <w:p w:rsidR="009615F3" w:rsidRDefault="009615F3" w:rsidP="009615F3"/>
    <w:p w:rsidR="009615F3" w:rsidRDefault="009615F3" w:rsidP="009615F3">
      <w:r>
        <w:t>L’inspection pré-achat</w:t>
      </w:r>
    </w:p>
    <w:p w:rsidR="009615F3" w:rsidRDefault="009615F3" w:rsidP="009615F3">
      <w:r>
        <w:t xml:space="preserve">-Quand on a une promesse conditionnelle à l’inspection pré-achat. Suite à l’inspection, on peut annuler la promesse sans être responsable. Il faut alors que l’inspection pré-achat doit démontrer des défectuosités significatives. </w:t>
      </w:r>
    </w:p>
    <w:p w:rsidR="009615F3" w:rsidRDefault="009615F3" w:rsidP="009615F3"/>
    <w:p w:rsidR="009615F3" w:rsidRDefault="009615F3" w:rsidP="009615F3">
      <w:r>
        <w:t xml:space="preserve">Dépôt : article 1711 CcQ. </w:t>
      </w:r>
    </w:p>
    <w:p w:rsidR="009615F3" w:rsidRDefault="009615F3" w:rsidP="009615F3">
      <w:r>
        <w:t>-Toujours un acompte sur le  prix de vente. Si la promesse ne se conclut pas par un contrat, il faut remettre l’acompte à l’acheteur. On ne peut jamais ne pas remettre contrairement à avant.  On peut stipuler autrement : convention d’arrhes : dépôt qu’on verse et que dans l’éventualité qu’une des parties veut être dégagée, l’autre partie garde le dépôt.</w:t>
      </w:r>
    </w:p>
    <w:p w:rsidR="009615F3" w:rsidRDefault="009615F3" w:rsidP="009615F3">
      <w:r>
        <w:t>-Article 1785 CcQ : seule faculté de dédit possible. À moins d’une stipulation. Vente immeuble d’habitation</w:t>
      </w:r>
    </w:p>
    <w:p w:rsidR="009615F3" w:rsidRDefault="009615F3" w:rsidP="009615F3"/>
    <w:p w:rsidR="009615F3" w:rsidRDefault="009615F3" w:rsidP="009615F3">
      <w:r>
        <w:t>Vente du bien d’autrui : 1714 CcQ</w:t>
      </w:r>
    </w:p>
    <w:p w:rsidR="009615F3" w:rsidRDefault="009615F3" w:rsidP="009615F3">
      <w:r>
        <w:lastRenderedPageBreak/>
        <w:t xml:space="preserve">-Une fois qu’il y a échange de consentement, transfert de propriété et seul le nouveau propriétaire peut vendre. Seul le véritable propriétaire peut le reprendre sans rembourser le prix sauf si le bien a été acquis dans le cours des activités d’une entreprise (1714 al 2). </w:t>
      </w:r>
    </w:p>
    <w:p w:rsidR="009615F3" w:rsidRDefault="009615F3" w:rsidP="009615F3">
      <w:r>
        <w:t xml:space="preserve">-Exception : prescription acquisitive en faveur de l’acheteur ou encore dans une vente sous contrôle de justice. </w:t>
      </w:r>
    </w:p>
    <w:p w:rsidR="009615F3" w:rsidRDefault="009615F3" w:rsidP="009615F3">
      <w:r>
        <w:t>-Mais il ne faut pas oublier l’article 1454 également, car autre exception.</w:t>
      </w:r>
    </w:p>
    <w:p w:rsidR="009615F3" w:rsidRDefault="009615F3" w:rsidP="009615F3"/>
    <w:p w:rsidR="009615F3" w:rsidRDefault="009615F3" w:rsidP="009615F3">
      <w:r>
        <w:t xml:space="preserve">Délivrance : article 1737 CcQ. Quantité inférieure ou supérieure à ce qui a étéé acheté. On applique avant  l’article 1561 CcQ. </w:t>
      </w:r>
    </w:p>
    <w:p w:rsidR="009615F3" w:rsidRDefault="009615F3" w:rsidP="009615F3"/>
    <w:p w:rsidR="009615F3" w:rsidRDefault="009615F3" w:rsidP="009615F3">
      <w:r>
        <w:t xml:space="preserve">Cause Labrie c. Vanasse (Vice caché). Gens avaient acheté un immeuble avec déclaration de fosse septique non conforme mais en réalité il n’y avait pas de fosse septique. Pas un vice caché car l’acheteur prudent l’aurait vu. Juge a dit que c’est un défaut de livrer un bien conforme. Il a condamné les vendeurs à payer la fosse septique et même des dommages et intérêts. </w:t>
      </w:r>
    </w:p>
    <w:p w:rsidR="009615F3" w:rsidRDefault="009615F3" w:rsidP="009615F3"/>
    <w:p w:rsidR="009615F3" w:rsidRDefault="009615F3" w:rsidP="009615F3">
      <w:r>
        <w:t>Garanties (articles 1723 à 1736 CcQ). IMPORTANT</w:t>
      </w:r>
    </w:p>
    <w:p w:rsidR="009615F3" w:rsidRDefault="009615F3" w:rsidP="009615F3">
      <w:r>
        <w:t>-Article 1723 : garantie de propriété. Oblige le vendeur à garantir que le droit de propriété n’est pas soumis à aucun droit non déclaré. Exemple servitude, bail, droit de passage. Par contre, le vendeur peut se libérer de ceci est les déclarant. Il ne peut pas déclarer une hypothèque pour s’en libérer cependant. Exception : clause d’assumation d’hypothèque par l’acheteur. Il va falloir que le créancier hypothécaire accepte cette clause.</w:t>
      </w:r>
    </w:p>
    <w:p w:rsidR="009615F3" w:rsidRDefault="009615F3" w:rsidP="009615F3">
      <w:r>
        <w:t xml:space="preserve">-Si jamais le droit de passage n’est pas déclaré par le vendeur mais est publié, affaire Chartré. Droit publié affectant le droit de propriété. Si ceci arrive, il faut regarder (1) si l’immeuble est immatriculé (immeuble qui a subit la rénovation cadastrale) ou non (description technique, exemple rang 3 et canton Gatineau). </w:t>
      </w:r>
    </w:p>
    <w:p w:rsidR="009615F3" w:rsidRDefault="009615F3" w:rsidP="009615F3">
      <w:pPr>
        <w:ind w:left="708"/>
      </w:pPr>
      <w:r>
        <w:t xml:space="preserve">Si la servitude est publiée pour immeuble immatriculé : l’acheteur n’a plus de recours. Présomption irréfragable de connaissance de servitude. </w:t>
      </w:r>
    </w:p>
    <w:p w:rsidR="009615F3" w:rsidRDefault="009615F3" w:rsidP="009615F3">
      <w:pPr>
        <w:ind w:left="708"/>
      </w:pPr>
      <w:r>
        <w:t>Dans le cas d’un immeuble non immatriculé : L’acheteur conserve un recours : il doit prouver qu’il n’a pas été avisé par le notaire.</w:t>
      </w:r>
    </w:p>
    <w:p w:rsidR="009615F3" w:rsidRDefault="009615F3" w:rsidP="009615F3">
      <w:r>
        <w:t>-Garantie empiètement : article 1724 CcQ. Le propriétaire doit garantir un empiètement par lui ou sur sa propriété. Certificat de localisation.</w:t>
      </w:r>
    </w:p>
    <w:p w:rsidR="009615F3" w:rsidRDefault="009615F3" w:rsidP="009615F3">
      <w:r>
        <w:t xml:space="preserve">-Article 1725 CcQ : limitations de droit public. 7 conditions dans le recueil. (1) Limitation de droit public, (2) échappe au droit commun (servitude vue n’échappe </w:t>
      </w:r>
      <w:r>
        <w:lastRenderedPageBreak/>
        <w:t>pas au droit commun) (zone de protection de 10 mètres sur le bord du littoral, pas couvert sous la garantie de 1725) (règlement de zonage couvert par ça), (3) existence au moment de la vente, (4) règlement doit être violé au moment de la vente, (5) faut pas que la limitation ait été dénoncé par le vendeur, (6) il ne faut pas que la limitation ait été inscrite sur le registre foncier, (7) il ne faut pas que la limitation soit apparente. Recours en diminution du prix de vente ou encore forcer le vendeur pour le rendre conforme.</w:t>
      </w:r>
    </w:p>
    <w:p w:rsidR="009615F3" w:rsidRDefault="009615F3" w:rsidP="009615F3">
      <w:r>
        <w:t>-Ces trois droits (1723 à 1725) : il faut envoyer un avis de dénonciation pour permettre au vendeur de corriger la situation. En vertu de l’article 1738 CcQ.</w:t>
      </w:r>
    </w:p>
    <w:p w:rsidR="009615F3" w:rsidRDefault="009615F3" w:rsidP="009615F3">
      <w:r>
        <w:t>-Garantie de qualité : article 1726 CcQ. Plusieurs critères : il faut que cela soit nuisible à la chose achetée (le fait de ne pas respecter le code du bâtiment, ce n’est pas un vice caché), il faut que cela ait une certaine gravité (un défaut important, significatif, qu’on n’aurait pas payé un si haut prix si on avait su, il faut que le vice soit caché et inconnu de l’acheteur. Il faut que cela soit antérieur à la vente : il faut que le problème existait ou était en évolution au moment de l’achat même si pas encore de dommages de faits à ce moment. Question à l’examen c’est sûr.</w:t>
      </w:r>
    </w:p>
    <w:p w:rsidR="009615F3" w:rsidRDefault="009615F3" w:rsidP="009615F3">
      <w:pPr>
        <w:ind w:left="708"/>
      </w:pPr>
      <w:r>
        <w:t>Une fois que les 5 critères sont appliqués, il faut se demander s’il y a de la vétusté (durée de vie normale d’un bien). Si durée de vie terminée, il n’y a plus de recours en vice caché. Si pas encore la fin mais c’est avancé : il y a de la dépréciation. Un acheteur d’un immeuble construit il y a 15 ans : toiture coule, ne peut pas réclamer le total mais seulement une proportion.</w:t>
      </w:r>
    </w:p>
    <w:p w:rsidR="009615F3" w:rsidRDefault="009615F3" w:rsidP="009615F3"/>
    <w:p w:rsidR="009615F3" w:rsidRDefault="009615F3" w:rsidP="009615F3">
      <w:pPr>
        <w:ind w:left="708"/>
      </w:pPr>
      <w:r>
        <w:t xml:space="preserve">Vice juridiquement caché : vice qu’on trouve apparent en regardant les critères et l’acheteur prudent aurait dû le découvrir. L’acheteur l’a vu et a été rassuré par le vendeur (de mauvaise foi comme dans le cas du dol ou de bonne foi). Affaire Tremblay : vide sanitaire complètement pourri. Vice apparent au départ. Si mauvaise foi du vendeur : on va pouvoir réclamer des dommages et intérêts supplémentaires en vertu de l’article 1728 CcQ, en plus de la réparation. </w:t>
      </w:r>
    </w:p>
    <w:p w:rsidR="009615F3" w:rsidRDefault="009615F3" w:rsidP="009615F3">
      <w:pPr>
        <w:ind w:left="708"/>
      </w:pPr>
      <w:r>
        <w:t>Mauvaise foi : connaissance du vice et pas de déclaration ou encore mensonge.</w:t>
      </w:r>
    </w:p>
    <w:p w:rsidR="009615F3" w:rsidRDefault="009615F3" w:rsidP="009615F3">
      <w:pPr>
        <w:ind w:left="708"/>
      </w:pPr>
      <w:r>
        <w:t xml:space="preserve">Dol : par omission (on omet de déclarer un problème connu) et par mensonge. On utilise l’article 1401 CcQ car on n’a plus besoin de passer au travers des critères du vice caché. </w:t>
      </w:r>
    </w:p>
    <w:p w:rsidR="009615F3" w:rsidRDefault="009615F3" w:rsidP="009615F3">
      <w:pPr>
        <w:ind w:left="708"/>
      </w:pPr>
      <w:r>
        <w:t>-Article 1726 : avis de dénonciation en vertu de l’article 1739 dans un délai raisonnable. On n’a pas à envoyer un avis de dénonciation : dans le cas d’urgence ou quand le vendeur a nié la responsabilité (répudiation de l’avis de dénonciation).</w:t>
      </w:r>
    </w:p>
    <w:p w:rsidR="009615F3" w:rsidRDefault="009615F3" w:rsidP="009615F3">
      <w:pPr>
        <w:ind w:left="708"/>
      </w:pPr>
      <w:r>
        <w:lastRenderedPageBreak/>
        <w:t>Si le vendeur connaissait le vice, on ne peut plus opposer à l’acheteur une dénonciation tardive.</w:t>
      </w:r>
    </w:p>
    <w:p w:rsidR="009615F3" w:rsidRDefault="009615F3" w:rsidP="009615F3"/>
    <w:p w:rsidR="009615F3" w:rsidRDefault="009615F3" w:rsidP="009615F3">
      <w:r>
        <w:t>Inspection pré-achat : on ne remplit pas automatiquement notre obligation de prudence et diligence. Avantage : recours contre l’inspecteur.</w:t>
      </w:r>
    </w:p>
    <w:p w:rsidR="009615F3" w:rsidRDefault="009615F3" w:rsidP="009615F3"/>
    <w:p w:rsidR="009615F3" w:rsidRDefault="009615F3" w:rsidP="009615F3">
      <w:r>
        <w:t>LPC : articles 37 et 38 Lpc.</w:t>
      </w:r>
    </w:p>
    <w:p w:rsidR="009615F3" w:rsidRDefault="009615F3" w:rsidP="009615F3">
      <w:r>
        <w:t>-Garanties de durabilité. Articles 53 Lpc et 262 Lpc : on ne peut pas renoncer à la garantie à l’avance. Exclusion de garantie pas possible.</w:t>
      </w:r>
    </w:p>
    <w:p w:rsidR="009615F3" w:rsidRDefault="009615F3" w:rsidP="009615F3">
      <w:r>
        <w:t>-Affaire Zagros Developpements</w:t>
      </w:r>
    </w:p>
    <w:p w:rsidR="009615F3" w:rsidRDefault="009615F3" w:rsidP="009615F3"/>
    <w:p w:rsidR="009615F3" w:rsidRDefault="009615F3" w:rsidP="009615F3">
      <w:r>
        <w:t xml:space="preserve">On peut renoncer à la garantie de qualité au Code civil : article 1733 CcQ. Pas pour les vendeurs professionnels cependant. </w:t>
      </w:r>
    </w:p>
    <w:p w:rsidR="009615F3" w:rsidRDefault="009615F3" w:rsidP="009615F3">
      <w:pPr>
        <w:ind w:left="708"/>
      </w:pPr>
      <w:r>
        <w:t>Pour les vendeurs professionnels. Sauf : si clause de risques et périls et dénonciation et si capable de démontrer qu’il y a une mauvaise utilisation : exclusion de garantie pour vendeur professionnel. Au niveau du CcQ : il faut une dénonciation. Ou mauvaise utilisation (article 1729 CcQ)</w:t>
      </w:r>
    </w:p>
    <w:p w:rsidR="009615F3" w:rsidRDefault="009615F3" w:rsidP="009615F3">
      <w:pPr>
        <w:ind w:left="708"/>
      </w:pPr>
      <w:r>
        <w:t>Article 1733 al 2 : pour les particuliers. Ce n’est pas un acheteur professionnel. Clause : sans garantie aux risques et périls, sinon pas d’effet. Si on met cette clause, pas d’obligation de garantie en vertu de 1726, sauf en cas de dol. En vertu de la jurisprudence : le dol est une déclaration du vendeur qui est mensongère. Attention le dol par omission ne s’applique pas ici. Si on ne le dénonce pas, et clause aux risques et périls : aucun recours contre le vendeur pour l’acheteur. Attention dire tout est beau, c’est une déclaration.</w:t>
      </w:r>
    </w:p>
    <w:p w:rsidR="009615F3" w:rsidRDefault="009615F3" w:rsidP="009615F3"/>
    <w:p w:rsidR="009615F3" w:rsidRDefault="009615F3" w:rsidP="009615F3">
      <w:r>
        <w:t>Clause résolutoire : article 1742 CcQ</w:t>
      </w:r>
    </w:p>
    <w:p w:rsidR="009615F3" w:rsidRDefault="009615F3" w:rsidP="009615F3">
      <w:r>
        <w:t>-Il faut toujours avoir une stipulation et la clause résolutoire doit toujours être publiée (sinon pas utilisable envers le tiers). Il faut prendre une procédure hypothécaire pour la clause résolutoire.</w:t>
      </w:r>
    </w:p>
    <w:p w:rsidR="009615F3" w:rsidRDefault="009615F3" w:rsidP="009615F3">
      <w:r>
        <w:t>-vente d’un immeuble soumis à l’article 1785 CcQ (immeuble d’habitation).Dans tous les cas, contrats préliminaires. Permet à la personne de résilier une entente avec la faculté de dédit. Si pas prévue dans le contrat, la personne a quand même 10 jours pour se dédire. Si pas de contrat, la personne n’a rien à payer. Si prévu au contrat : frais à payer selon le contrat avec maximum cependant (article 1786 al 2)</w:t>
      </w:r>
    </w:p>
    <w:p w:rsidR="009615F3" w:rsidRDefault="009615F3" w:rsidP="009615F3">
      <w:r>
        <w:lastRenderedPageBreak/>
        <w:t>-Vente de condominium de plus de 10 unités, l’acheteur a le droit d’avoir une note d’informations et budget prévisionnel. Si non recours généraux et recours à l’article 1793 CcQ.</w:t>
      </w:r>
    </w:p>
    <w:p w:rsidR="009615F3" w:rsidRDefault="009615F3" w:rsidP="009615F3"/>
    <w:p w:rsidR="009615F3" w:rsidRDefault="009615F3" w:rsidP="009615F3">
      <w:r>
        <w:t>Vente à tempérament et faculté de rachat</w:t>
      </w:r>
    </w:p>
    <w:p w:rsidR="009615F3" w:rsidRDefault="009615F3" w:rsidP="009615F3">
      <w:r>
        <w:t>-Si publié dans les 15 jours, effet rétroactif. Affaire Acier Inoxydable : deux ventes à tempérament, une pas publiée dans les 15 jours. Banque avait créance sur universalité. Faillite. On n’a pas opposé à la banque la 2</w:t>
      </w:r>
      <w:r w:rsidRPr="00167033">
        <w:rPr>
          <w:vertAlign w:val="superscript"/>
        </w:rPr>
        <w:t>e</w:t>
      </w:r>
      <w:r>
        <w:t xml:space="preserve"> vente car pas publiée et la banque a pu saisir le bien.</w:t>
      </w:r>
    </w:p>
    <w:p w:rsidR="009615F3" w:rsidRDefault="009615F3" w:rsidP="009615F3">
      <w:r>
        <w:t>-Affaire Ouellet, Roy, Lefebvre. Acheteur qui fait faillite. Le syndic de faillite veut aller chercher les biens qui n’appartiennent pas au failli. CSC : les vendeurs à tempérament ou faculté de rachat sont des créanciers garantis. Le syndic peut évaluer ce qui reste à payer sur les biens et repayer les créanciers. On évalue l’équité dans le bien. Pour pouvoir opposé, il faut publier.</w:t>
      </w:r>
    </w:p>
    <w:p w:rsidR="009615F3" w:rsidRDefault="009615F3" w:rsidP="009615F3">
      <w:pPr>
        <w:ind w:left="708"/>
      </w:pPr>
      <w:r>
        <w:t>Ceci ne s’applique pas à la vente à tempérament couvert par la Lpc : dans ce cas, le syndic ne peut rien faire, le bien revient au vendeur même si pas publié. Le syndic est un continuateur du failli, sans plus de droits que le failli dans ce cas.</w:t>
      </w:r>
    </w:p>
    <w:p w:rsidR="009615F3" w:rsidRDefault="009615F3" w:rsidP="009615F3">
      <w:pPr>
        <w:ind w:left="708"/>
      </w:pPr>
    </w:p>
    <w:p w:rsidR="009615F3" w:rsidRDefault="009615F3" w:rsidP="009615F3">
      <w:r>
        <w:t>-Qui assume les risques de perte du bien : l’acheteur en vertu de l’article 1746 CcQ.  Si LPc, le vendeur assume les risques de pertes, article 133 Lpc (articles 132 à 144 Lpc aussi important pour la reprise du bien).</w:t>
      </w:r>
    </w:p>
    <w:p w:rsidR="009615F3" w:rsidRDefault="009615F3" w:rsidP="009615F3"/>
    <w:p w:rsidR="009615F3" w:rsidRDefault="009615F3" w:rsidP="009615F3">
      <w:r>
        <w:t>Vente de droits successoraux</w:t>
      </w:r>
    </w:p>
    <w:p w:rsidR="009615F3" w:rsidRDefault="009615F3" w:rsidP="009615F3">
      <w:r>
        <w:t>-On ne peut jamais vendre de tels droits sur une succession non ouvert. Article 631 CcQ, renvoi à 1779 CcQ. Ordre public. Aussi renvoi à 848 CcQ : cela nous permet si on est cohéritier de désintéresser un successeur de droit successorauc en lui remboursement les frais payés et le contrat de vente.</w:t>
      </w:r>
    </w:p>
    <w:p w:rsidR="009615F3" w:rsidRDefault="009615F3" w:rsidP="009615F3"/>
    <w:p w:rsidR="009615F3" w:rsidRDefault="009615F3" w:rsidP="009615F3">
      <w:r>
        <w:t>Vente aux enchères</w:t>
      </w:r>
    </w:p>
    <w:p w:rsidR="009615F3" w:rsidRDefault="009615F3" w:rsidP="009615F3">
      <w:r>
        <w:t xml:space="preserve">-Vente au plus offrant. Mise à prix il faut qu’elle soit dénoncée ou transmise aux enquérisseurs avant que la vente commence. Article 1759 CcQ. </w:t>
      </w:r>
    </w:p>
    <w:p w:rsidR="009615F3" w:rsidRDefault="009615F3" w:rsidP="009615F3">
      <w:r>
        <w:t>Vente aux folles enchères</w:t>
      </w:r>
    </w:p>
    <w:p w:rsidR="009615F3" w:rsidRDefault="009615F3" w:rsidP="009615F3">
      <w:r>
        <w:t>-Récupérer les pertes que l’enquérisseur n’a pas payé.</w:t>
      </w:r>
    </w:p>
    <w:p w:rsidR="009615F3" w:rsidRDefault="009615F3" w:rsidP="009615F3"/>
    <w:p w:rsidR="009615F3" w:rsidRDefault="009615F3" w:rsidP="009615F3">
      <w:r>
        <w:lastRenderedPageBreak/>
        <w:t>Vente de droits litigieux</w:t>
      </w:r>
    </w:p>
    <w:p w:rsidR="009615F3" w:rsidRDefault="009615F3" w:rsidP="009615F3">
      <w:r>
        <w:t>-Il faut regarder si le droit est disputé. Si pas disputé : règles de la vente de créances. Si disputé, alors là vente de droits litigieux. Si la cause est devant les tribunaux et en délibération, pas de droits litigieux</w:t>
      </w:r>
    </w:p>
    <w:p w:rsidR="009615F3" w:rsidRDefault="009615F3" w:rsidP="009615F3">
      <w:r>
        <w:t>-Article 1784 al 2 CcQ : rachat par le vendeur, payer prix de vente et frais de transactions.</w:t>
      </w:r>
    </w:p>
    <w:p w:rsidR="009615F3" w:rsidRDefault="009615F3" w:rsidP="009615F3"/>
    <w:p w:rsidR="009615F3" w:rsidRDefault="009615F3" w:rsidP="009615F3">
      <w:r>
        <w:t>Vente de créance</w:t>
      </w:r>
    </w:p>
    <w:p w:rsidR="009615F3" w:rsidRDefault="009615F3" w:rsidP="009615F3">
      <w:r>
        <w:t>-Toujours fait sans garantie sauf quand la créance est due au vendeur. On peut garantir la solvabilité au moment du transfert article 1640. Garantie de fournir et faire valoir donne une plus grande garantie.</w:t>
      </w:r>
    </w:p>
    <w:p w:rsidR="009615F3" w:rsidRDefault="009615F3" w:rsidP="009615F3">
      <w:r>
        <w:t>-Pour rendre opposable la vente au débiteur, il faut lui envoyer un avis ou avoir un ???</w:t>
      </w:r>
    </w:p>
    <w:p w:rsidR="009615F3" w:rsidRDefault="009615F3" w:rsidP="009615F3">
      <w:r>
        <w:t>-Si universalités de créances (toutes les créances d’une personne) : inscription au RDPRM, article 1642 CcQ.</w:t>
      </w:r>
    </w:p>
    <w:p w:rsidR="009615F3" w:rsidRDefault="009615F3" w:rsidP="009615F3">
      <w:r>
        <w:t xml:space="preserve">-Articles 1641 et 1642 CcQ : démarche supplémentaire à l’article 3003 CcQ. </w:t>
      </w:r>
    </w:p>
    <w:p w:rsidR="009615F3" w:rsidRDefault="009615F3" w:rsidP="009615F3"/>
    <w:p w:rsidR="009615F3" w:rsidRDefault="009615F3" w:rsidP="009615F3">
      <w:r>
        <w:t>Dation en paiement</w:t>
      </w:r>
    </w:p>
    <w:p w:rsidR="009615F3" w:rsidRDefault="009615F3" w:rsidP="009615F3">
      <w:r>
        <w:t>-Article 1801 : on ne peut jamais prévoir l’avance que quelqu’un va devenir propriétaire en défaut de paiement. Ordre public.</w:t>
      </w:r>
    </w:p>
    <w:p w:rsidR="009615F3" w:rsidRDefault="009615F3" w:rsidP="009615F3"/>
    <w:p w:rsidR="009615F3" w:rsidRDefault="009615F3" w:rsidP="009615F3">
      <w:r>
        <w:t>Donation</w:t>
      </w:r>
    </w:p>
    <w:p w:rsidR="009615F3" w:rsidRPr="00575E99" w:rsidRDefault="009615F3" w:rsidP="009615F3">
      <w:r>
        <w:t xml:space="preserve">-donation déguisée. Distinguer donation entre vifs et donation pour cause de mort. </w:t>
      </w:r>
    </w:p>
    <w:p w:rsidR="004164DE" w:rsidRDefault="004164DE"/>
    <w:sectPr w:rsidR="004164DE" w:rsidSect="008E4CC2">
      <w:footerReference w:type="default" r:id="rId5"/>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677" w:rsidRDefault="009615F3">
    <w:pPr>
      <w:pStyle w:val="Footer"/>
      <w:jc w:val="right"/>
    </w:pPr>
    <w:r>
      <w:fldChar w:fldCharType="begin"/>
    </w:r>
    <w:r>
      <w:instrText xml:space="preserve"> PAGE   \* MERGEFORMAT </w:instrText>
    </w:r>
    <w:r>
      <w:fldChar w:fldCharType="separate"/>
    </w:r>
    <w:r>
      <w:rPr>
        <w:noProof/>
      </w:rPr>
      <w:t>27</w:t>
    </w:r>
    <w:r>
      <w:fldChar w:fldCharType="end"/>
    </w:r>
  </w:p>
  <w:p w:rsidR="00167677" w:rsidRDefault="009615F3">
    <w:pPr>
      <w:pStyle w:val="Foo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0407F"/>
    <w:multiLevelType w:val="hybridMultilevel"/>
    <w:tmpl w:val="158CF89E"/>
    <w:lvl w:ilvl="0" w:tplc="EF042B14">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nsid w:val="27AB7E61"/>
    <w:multiLevelType w:val="hybridMultilevel"/>
    <w:tmpl w:val="5B74FA88"/>
    <w:lvl w:ilvl="0" w:tplc="0C0C000B">
      <w:start w:val="1"/>
      <w:numFmt w:val="bullet"/>
      <w:lvlText w:val=""/>
      <w:lvlJc w:val="left"/>
      <w:pPr>
        <w:ind w:left="1428" w:hanging="360"/>
      </w:pPr>
      <w:rPr>
        <w:rFonts w:ascii="Wingdings" w:hAnsi="Wingdings"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2">
    <w:nsid w:val="30F317E7"/>
    <w:multiLevelType w:val="hybridMultilevel"/>
    <w:tmpl w:val="2BACE40E"/>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nsid w:val="3A5B6518"/>
    <w:multiLevelType w:val="hybridMultilevel"/>
    <w:tmpl w:val="32F2B7E4"/>
    <w:lvl w:ilvl="0" w:tplc="0E30C55E">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nsid w:val="580B67BC"/>
    <w:multiLevelType w:val="hybridMultilevel"/>
    <w:tmpl w:val="772A2386"/>
    <w:lvl w:ilvl="0" w:tplc="C82CDD18">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9615F3"/>
    <w:rsid w:val="001E293B"/>
    <w:rsid w:val="004164DE"/>
    <w:rsid w:val="009048FF"/>
    <w:rsid w:val="009615F3"/>
    <w:rsid w:val="00F643C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5F3"/>
    <w:pPr>
      <w:spacing w:line="240" w:lineRule="auto"/>
      <w:jc w:val="both"/>
    </w:pPr>
    <w:rPr>
      <w:rFonts w:ascii="Arial" w:eastAsia="Calibri" w:hAnsi="Arial" w:cs="Times New Roman"/>
      <w:sz w:val="24"/>
      <w:lang w:val="fr-CA"/>
    </w:rPr>
  </w:style>
  <w:style w:type="paragraph" w:styleId="Heading1">
    <w:name w:val="heading 1"/>
    <w:basedOn w:val="Normal"/>
    <w:next w:val="Normal"/>
    <w:link w:val="Heading1Char"/>
    <w:uiPriority w:val="9"/>
    <w:qFormat/>
    <w:rsid w:val="009615F3"/>
    <w:pPr>
      <w:keepNext/>
      <w:keepLines/>
      <w:spacing w:before="480" w:after="0"/>
      <w:outlineLvl w:val="0"/>
    </w:pPr>
    <w:rPr>
      <w:rFonts w:ascii="Cambria" w:eastAsia="Times New Roman" w:hAnsi="Cambria"/>
      <w:b/>
      <w:bCs/>
      <w:sz w:val="28"/>
      <w:szCs w:val="28"/>
    </w:rPr>
  </w:style>
  <w:style w:type="paragraph" w:styleId="Heading2">
    <w:name w:val="heading 2"/>
    <w:basedOn w:val="Normal"/>
    <w:next w:val="Normal"/>
    <w:link w:val="Heading2Char"/>
    <w:uiPriority w:val="9"/>
    <w:unhideWhenUsed/>
    <w:qFormat/>
    <w:rsid w:val="009615F3"/>
    <w:pPr>
      <w:keepNext/>
      <w:keepLines/>
      <w:spacing w:before="200" w:after="0"/>
      <w:outlineLvl w:val="1"/>
    </w:pPr>
    <w:rPr>
      <w:rFonts w:ascii="Cambria" w:eastAsia="Times New Roman" w:hAnsi="Cambria"/>
      <w:b/>
      <w:bCs/>
      <w:sz w:val="26"/>
      <w:szCs w:val="26"/>
    </w:rPr>
  </w:style>
  <w:style w:type="paragraph" w:styleId="Heading3">
    <w:name w:val="heading 3"/>
    <w:basedOn w:val="Normal"/>
    <w:next w:val="Normal"/>
    <w:link w:val="Heading3Char"/>
    <w:uiPriority w:val="9"/>
    <w:unhideWhenUsed/>
    <w:qFormat/>
    <w:rsid w:val="009615F3"/>
    <w:pPr>
      <w:keepNext/>
      <w:keepLines/>
      <w:spacing w:before="200" w:after="240"/>
      <w:outlineLvl w:val="2"/>
    </w:pPr>
    <w:rPr>
      <w:rFonts w:ascii="Cambria" w:eastAsia="Times New Roman" w:hAnsi="Cambria"/>
      <w:b/>
      <w:bCs/>
      <w:u w:val="single"/>
    </w:rPr>
  </w:style>
  <w:style w:type="paragraph" w:styleId="Heading4">
    <w:name w:val="heading 4"/>
    <w:basedOn w:val="Normal"/>
    <w:next w:val="Normal"/>
    <w:link w:val="Heading4Char"/>
    <w:uiPriority w:val="9"/>
    <w:unhideWhenUsed/>
    <w:qFormat/>
    <w:rsid w:val="009615F3"/>
    <w:pPr>
      <w:keepNext/>
      <w:keepLines/>
      <w:spacing w:before="200" w:after="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9615F3"/>
    <w:pPr>
      <w:keepNext/>
      <w:keepLines/>
      <w:spacing w:before="200" w:after="0"/>
      <w:outlineLvl w:val="4"/>
    </w:pPr>
    <w:rPr>
      <w:rFonts w:ascii="Cambria" w:eastAsia="Times New Roman" w:hAnsi="Cambria"/>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15F3"/>
    <w:rPr>
      <w:rFonts w:ascii="Cambria" w:eastAsia="Times New Roman" w:hAnsi="Cambria" w:cs="Times New Roman"/>
      <w:b/>
      <w:bCs/>
      <w:sz w:val="28"/>
      <w:szCs w:val="28"/>
      <w:lang w:val="fr-CA"/>
    </w:rPr>
  </w:style>
  <w:style w:type="character" w:customStyle="1" w:styleId="Heading2Char">
    <w:name w:val="Heading 2 Char"/>
    <w:basedOn w:val="DefaultParagraphFont"/>
    <w:link w:val="Heading2"/>
    <w:uiPriority w:val="9"/>
    <w:rsid w:val="009615F3"/>
    <w:rPr>
      <w:rFonts w:ascii="Cambria" w:eastAsia="Times New Roman" w:hAnsi="Cambria" w:cs="Times New Roman"/>
      <w:b/>
      <w:bCs/>
      <w:sz w:val="26"/>
      <w:szCs w:val="26"/>
      <w:lang w:val="fr-CA"/>
    </w:rPr>
  </w:style>
  <w:style w:type="character" w:customStyle="1" w:styleId="Heading3Char">
    <w:name w:val="Heading 3 Char"/>
    <w:basedOn w:val="DefaultParagraphFont"/>
    <w:link w:val="Heading3"/>
    <w:uiPriority w:val="9"/>
    <w:rsid w:val="009615F3"/>
    <w:rPr>
      <w:rFonts w:ascii="Cambria" w:eastAsia="Times New Roman" w:hAnsi="Cambria" w:cs="Times New Roman"/>
      <w:b/>
      <w:bCs/>
      <w:sz w:val="24"/>
      <w:u w:val="single"/>
      <w:lang w:val="fr-CA"/>
    </w:rPr>
  </w:style>
  <w:style w:type="character" w:customStyle="1" w:styleId="Heading4Char">
    <w:name w:val="Heading 4 Char"/>
    <w:basedOn w:val="DefaultParagraphFont"/>
    <w:link w:val="Heading4"/>
    <w:uiPriority w:val="9"/>
    <w:rsid w:val="009615F3"/>
    <w:rPr>
      <w:rFonts w:ascii="Cambria" w:eastAsia="Times New Roman" w:hAnsi="Cambria" w:cs="Times New Roman"/>
      <w:b/>
      <w:bCs/>
      <w:i/>
      <w:iCs/>
      <w:sz w:val="24"/>
      <w:lang w:val="fr-CA"/>
    </w:rPr>
  </w:style>
  <w:style w:type="character" w:customStyle="1" w:styleId="Heading5Char">
    <w:name w:val="Heading 5 Char"/>
    <w:basedOn w:val="DefaultParagraphFont"/>
    <w:link w:val="Heading5"/>
    <w:uiPriority w:val="9"/>
    <w:rsid w:val="009615F3"/>
    <w:rPr>
      <w:rFonts w:ascii="Cambria" w:eastAsia="Times New Roman" w:hAnsi="Cambria" w:cs="Times New Roman"/>
      <w:color w:val="243F60"/>
      <w:sz w:val="24"/>
      <w:lang w:val="fr-CA"/>
    </w:rPr>
  </w:style>
  <w:style w:type="character" w:styleId="Hyperlink">
    <w:name w:val="Hyperlink"/>
    <w:basedOn w:val="DefaultParagraphFont"/>
    <w:uiPriority w:val="99"/>
    <w:unhideWhenUsed/>
    <w:rsid w:val="009615F3"/>
    <w:rPr>
      <w:color w:val="0000FF"/>
      <w:u w:val="single"/>
    </w:rPr>
  </w:style>
  <w:style w:type="paragraph" w:styleId="ListParagraph">
    <w:name w:val="List Paragraph"/>
    <w:basedOn w:val="Normal"/>
    <w:uiPriority w:val="34"/>
    <w:qFormat/>
    <w:rsid w:val="009615F3"/>
    <w:pPr>
      <w:ind w:left="720"/>
      <w:contextualSpacing/>
    </w:pPr>
  </w:style>
  <w:style w:type="paragraph" w:styleId="Header">
    <w:name w:val="header"/>
    <w:basedOn w:val="Normal"/>
    <w:link w:val="HeaderChar"/>
    <w:uiPriority w:val="99"/>
    <w:semiHidden/>
    <w:unhideWhenUsed/>
    <w:rsid w:val="009615F3"/>
    <w:pPr>
      <w:tabs>
        <w:tab w:val="center" w:pos="4320"/>
        <w:tab w:val="right" w:pos="8640"/>
      </w:tabs>
      <w:spacing w:after="0"/>
    </w:pPr>
  </w:style>
  <w:style w:type="character" w:customStyle="1" w:styleId="HeaderChar">
    <w:name w:val="Header Char"/>
    <w:basedOn w:val="DefaultParagraphFont"/>
    <w:link w:val="Header"/>
    <w:uiPriority w:val="99"/>
    <w:semiHidden/>
    <w:rsid w:val="009615F3"/>
    <w:rPr>
      <w:rFonts w:ascii="Arial" w:eastAsia="Calibri" w:hAnsi="Arial" w:cs="Times New Roman"/>
      <w:sz w:val="24"/>
      <w:lang w:val="fr-CA"/>
    </w:rPr>
  </w:style>
  <w:style w:type="paragraph" w:styleId="Footer">
    <w:name w:val="footer"/>
    <w:basedOn w:val="Normal"/>
    <w:link w:val="FooterChar"/>
    <w:uiPriority w:val="99"/>
    <w:unhideWhenUsed/>
    <w:rsid w:val="009615F3"/>
    <w:pPr>
      <w:tabs>
        <w:tab w:val="center" w:pos="4320"/>
        <w:tab w:val="right" w:pos="8640"/>
      </w:tabs>
      <w:spacing w:after="0"/>
    </w:pPr>
  </w:style>
  <w:style w:type="character" w:customStyle="1" w:styleId="FooterChar">
    <w:name w:val="Footer Char"/>
    <w:basedOn w:val="DefaultParagraphFont"/>
    <w:link w:val="Footer"/>
    <w:uiPriority w:val="99"/>
    <w:rsid w:val="009615F3"/>
    <w:rPr>
      <w:rFonts w:ascii="Arial" w:eastAsia="Calibri" w:hAnsi="Arial" w:cs="Times New Roman"/>
      <w:sz w:val="24"/>
      <w:lang w:val="fr-CA"/>
    </w:rPr>
  </w:style>
  <w:style w:type="paragraph" w:styleId="NoSpacing">
    <w:name w:val="No Spacing"/>
    <w:uiPriority w:val="1"/>
    <w:qFormat/>
    <w:rsid w:val="009615F3"/>
    <w:pPr>
      <w:spacing w:after="0" w:line="240" w:lineRule="auto"/>
      <w:jc w:val="both"/>
    </w:pPr>
    <w:rPr>
      <w:rFonts w:ascii="Arial" w:eastAsia="Calibri" w:hAnsi="Arial" w:cs="Times New Roman"/>
      <w:sz w:val="24"/>
      <w:lang w:val="fr-CA"/>
    </w:rPr>
  </w:style>
  <w:style w:type="paragraph" w:styleId="TOCHeading">
    <w:name w:val="TOC Heading"/>
    <w:basedOn w:val="Heading1"/>
    <w:next w:val="Normal"/>
    <w:uiPriority w:val="39"/>
    <w:semiHidden/>
    <w:unhideWhenUsed/>
    <w:qFormat/>
    <w:rsid w:val="009615F3"/>
    <w:pPr>
      <w:spacing w:line="276" w:lineRule="auto"/>
      <w:jc w:val="left"/>
      <w:outlineLvl w:val="9"/>
    </w:pPr>
    <w:rPr>
      <w:color w:val="365F91"/>
      <w:lang w:val="en-US"/>
    </w:rPr>
  </w:style>
  <w:style w:type="paragraph" w:styleId="TOC1">
    <w:name w:val="toc 1"/>
    <w:basedOn w:val="Normal"/>
    <w:next w:val="Normal"/>
    <w:autoRedefine/>
    <w:uiPriority w:val="39"/>
    <w:unhideWhenUsed/>
    <w:rsid w:val="009615F3"/>
  </w:style>
  <w:style w:type="paragraph" w:styleId="TOC2">
    <w:name w:val="toc 2"/>
    <w:basedOn w:val="Normal"/>
    <w:next w:val="Normal"/>
    <w:autoRedefine/>
    <w:uiPriority w:val="39"/>
    <w:unhideWhenUsed/>
    <w:rsid w:val="009615F3"/>
    <w:pPr>
      <w:ind w:left="240"/>
    </w:pPr>
  </w:style>
  <w:style w:type="paragraph" w:styleId="TOC3">
    <w:name w:val="toc 3"/>
    <w:basedOn w:val="Normal"/>
    <w:next w:val="Normal"/>
    <w:autoRedefine/>
    <w:uiPriority w:val="39"/>
    <w:unhideWhenUsed/>
    <w:rsid w:val="009615F3"/>
    <w:pPr>
      <w:ind w:left="480"/>
    </w:pPr>
  </w:style>
  <w:style w:type="paragraph" w:styleId="TOC4">
    <w:name w:val="toc 4"/>
    <w:basedOn w:val="Normal"/>
    <w:next w:val="Normal"/>
    <w:autoRedefine/>
    <w:uiPriority w:val="39"/>
    <w:unhideWhenUsed/>
    <w:rsid w:val="009615F3"/>
    <w:pPr>
      <w:spacing w:after="100" w:line="276" w:lineRule="auto"/>
      <w:ind w:left="660"/>
      <w:jc w:val="left"/>
    </w:pPr>
    <w:rPr>
      <w:rFonts w:ascii="Calibri" w:eastAsia="Times New Roman" w:hAnsi="Calibri"/>
      <w:sz w:val="22"/>
      <w:lang w:val="en-CA" w:eastAsia="en-CA"/>
    </w:rPr>
  </w:style>
  <w:style w:type="paragraph" w:styleId="TOC5">
    <w:name w:val="toc 5"/>
    <w:basedOn w:val="Normal"/>
    <w:next w:val="Normal"/>
    <w:autoRedefine/>
    <w:uiPriority w:val="39"/>
    <w:unhideWhenUsed/>
    <w:rsid w:val="009615F3"/>
    <w:pPr>
      <w:spacing w:after="100" w:line="276" w:lineRule="auto"/>
      <w:ind w:left="880"/>
      <w:jc w:val="left"/>
    </w:pPr>
    <w:rPr>
      <w:rFonts w:ascii="Calibri" w:eastAsia="Times New Roman" w:hAnsi="Calibri"/>
      <w:sz w:val="22"/>
      <w:lang w:val="en-CA" w:eastAsia="en-CA"/>
    </w:rPr>
  </w:style>
  <w:style w:type="paragraph" w:styleId="TOC6">
    <w:name w:val="toc 6"/>
    <w:basedOn w:val="Normal"/>
    <w:next w:val="Normal"/>
    <w:autoRedefine/>
    <w:uiPriority w:val="39"/>
    <w:unhideWhenUsed/>
    <w:rsid w:val="009615F3"/>
    <w:pPr>
      <w:spacing w:after="100" w:line="276" w:lineRule="auto"/>
      <w:ind w:left="1100"/>
      <w:jc w:val="left"/>
    </w:pPr>
    <w:rPr>
      <w:rFonts w:ascii="Calibri" w:eastAsia="Times New Roman" w:hAnsi="Calibri"/>
      <w:sz w:val="22"/>
      <w:lang w:val="en-CA" w:eastAsia="en-CA"/>
    </w:rPr>
  </w:style>
  <w:style w:type="paragraph" w:styleId="TOC7">
    <w:name w:val="toc 7"/>
    <w:basedOn w:val="Normal"/>
    <w:next w:val="Normal"/>
    <w:autoRedefine/>
    <w:uiPriority w:val="39"/>
    <w:unhideWhenUsed/>
    <w:rsid w:val="009615F3"/>
    <w:pPr>
      <w:spacing w:after="100" w:line="276" w:lineRule="auto"/>
      <w:ind w:left="1320"/>
      <w:jc w:val="left"/>
    </w:pPr>
    <w:rPr>
      <w:rFonts w:ascii="Calibri" w:eastAsia="Times New Roman" w:hAnsi="Calibri"/>
      <w:sz w:val="22"/>
      <w:lang w:val="en-CA" w:eastAsia="en-CA"/>
    </w:rPr>
  </w:style>
  <w:style w:type="paragraph" w:styleId="TOC8">
    <w:name w:val="toc 8"/>
    <w:basedOn w:val="Normal"/>
    <w:next w:val="Normal"/>
    <w:autoRedefine/>
    <w:uiPriority w:val="39"/>
    <w:unhideWhenUsed/>
    <w:rsid w:val="009615F3"/>
    <w:pPr>
      <w:spacing w:after="100" w:line="276" w:lineRule="auto"/>
      <w:ind w:left="1540"/>
      <w:jc w:val="left"/>
    </w:pPr>
    <w:rPr>
      <w:rFonts w:ascii="Calibri" w:eastAsia="Times New Roman" w:hAnsi="Calibri"/>
      <w:sz w:val="22"/>
      <w:lang w:val="en-CA" w:eastAsia="en-CA"/>
    </w:rPr>
  </w:style>
  <w:style w:type="paragraph" w:styleId="TOC9">
    <w:name w:val="toc 9"/>
    <w:basedOn w:val="Normal"/>
    <w:next w:val="Normal"/>
    <w:autoRedefine/>
    <w:uiPriority w:val="39"/>
    <w:unhideWhenUsed/>
    <w:rsid w:val="009615F3"/>
    <w:pPr>
      <w:spacing w:after="100" w:line="276" w:lineRule="auto"/>
      <w:ind w:left="1760"/>
      <w:jc w:val="left"/>
    </w:pPr>
    <w:rPr>
      <w:rFonts w:ascii="Calibri" w:eastAsia="Times New Roman" w:hAnsi="Calibri"/>
      <w:sz w:val="22"/>
      <w:lang w:val="en-CA" w:eastAsia="en-C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62</Pages>
  <Words>18923</Words>
  <Characters>107864</Characters>
  <Application>Microsoft Office Word</Application>
  <DocSecurity>0</DocSecurity>
  <Lines>898</Lines>
  <Paragraphs>253</Paragraphs>
  <ScaleCrop>false</ScaleCrop>
  <Company/>
  <LinksUpToDate>false</LinksUpToDate>
  <CharactersWithSpaces>126534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Tania Varbanova</dc:creator>
  <cp:lastModifiedBy>Tania Varbanova</cp:lastModifiedBy>
  <cp:revision>1</cp:revision>
  <dcterms:created xsi:type="dcterms:W3CDTF">2012-02-11T23:28:00Z</dcterms:created>
  <dcterms:modified xsi:type="dcterms:W3CDTF">2012-02-11T23:29:00Z</dcterms:modified>
</cp:coreProperties>
</file>