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249" w:rsidRPr="00507249" w:rsidRDefault="00FF2B34" w:rsidP="00FF2B34">
      <w:r w:rsidRPr="00507249">
        <w:t>1.</w:t>
      </w:r>
      <w:r w:rsidRPr="00507249">
        <w:tab/>
      </w:r>
    </w:p>
    <w:p w:rsidR="00AB7DB0" w:rsidRDefault="00AB7DB0" w:rsidP="00507249">
      <w:pPr>
        <w:ind w:firstLine="720"/>
      </w:pPr>
      <w:r>
        <w:t xml:space="preserve">There are multiple bases of which human rights can be claimed. Before discussing these, it is first important to understand what human rights are. </w:t>
      </w:r>
      <w:r w:rsidR="00FF2B34">
        <w:t>Human rights are d</w:t>
      </w:r>
      <w:r>
        <w:t>escribed as being “rights that are held by all human beings by virtue of being human</w:t>
      </w:r>
      <w:r w:rsidR="00CF742F">
        <w:rPr>
          <w:rStyle w:val="EndnoteReference"/>
        </w:rPr>
        <w:endnoteReference w:id="1"/>
      </w:r>
      <w:r w:rsidR="00B3090A">
        <w:t>”</w:t>
      </w:r>
      <w:r w:rsidR="00CF742F">
        <w:t xml:space="preserve"> (pg3</w:t>
      </w:r>
      <w:proofErr w:type="gramStart"/>
      <w:r w:rsidR="00CF742F">
        <w:t xml:space="preserve">) </w:t>
      </w:r>
      <w:r w:rsidR="00B3090A">
        <w:t>,</w:t>
      </w:r>
      <w:proofErr w:type="gramEnd"/>
      <w:r w:rsidR="00B3090A">
        <w:t xml:space="preserve"> </w:t>
      </w:r>
      <w:r>
        <w:t xml:space="preserve">human rights are unable to surrendered or erased. They are universal and granted to each human being. </w:t>
      </w:r>
    </w:p>
    <w:p w:rsidR="00AB7DB0" w:rsidRPr="00CF742F" w:rsidRDefault="00FF2B34" w:rsidP="00FF2B34">
      <w:pPr>
        <w:ind w:firstLine="720"/>
      </w:pPr>
      <w:r>
        <w:t xml:space="preserve">This vague description of human rights has left much room for interpretation. This room for interpretation has created many different philosophical theories justifying human rights. </w:t>
      </w:r>
      <w:r w:rsidR="00AB7DB0">
        <w:t>When discussing the justifications of human rights, there are two main debates</w:t>
      </w:r>
      <w:r w:rsidR="00E773C6">
        <w:t xml:space="preserve">, which </w:t>
      </w:r>
      <w:r>
        <w:t>are</w:t>
      </w:r>
      <w:r w:rsidR="00AB7DB0">
        <w:t>: deontological, meaning duty based, versus consequentialist, and foundationalist versus socially constructed notions of human nature and human rights</w:t>
      </w:r>
      <w:r w:rsidR="00B3090A">
        <w:rPr>
          <w:rStyle w:val="FootnoteReference"/>
          <w:b/>
        </w:rPr>
        <w:t xml:space="preserve"> </w:t>
      </w:r>
      <w:r w:rsidR="00CF742F">
        <w:t>(</w:t>
      </w:r>
      <w:proofErr w:type="spellStart"/>
      <w:r w:rsidR="00CF742F">
        <w:t>pg</w:t>
      </w:r>
      <w:proofErr w:type="spellEnd"/>
      <w:r w:rsidR="00CF742F">
        <w:t xml:space="preserve"> 8).</w:t>
      </w:r>
    </w:p>
    <w:p w:rsidR="00E773C6" w:rsidRDefault="00FF2B34" w:rsidP="00FF2B34">
      <w:pPr>
        <w:ind w:firstLine="720"/>
      </w:pPr>
      <w:r>
        <w:t>The textbook explains that it is possible for rights to be justified on deontological or consequentialist grounds. The view that human rights is fundamental supports the thought that human rights are absolute rules, and n</w:t>
      </w:r>
      <w:r w:rsidR="00E773C6">
        <w:t xml:space="preserve">ot observing these rules is wrong, because it would lead to their violation. </w:t>
      </w:r>
      <w:r w:rsidR="00E90B6C">
        <w:t xml:space="preserve">A deontological basis for human rights is offered to us by Immanuel Kant. His theory is that “one formulation enjoins us to treat human beings as ends in themselves and never just as means to our own ends”. </w:t>
      </w:r>
    </w:p>
    <w:p w:rsidR="00E90B6C" w:rsidRPr="00AB7DB0" w:rsidRDefault="00E90B6C" w:rsidP="00E90B6C">
      <w:pPr>
        <w:ind w:firstLine="720"/>
      </w:pPr>
      <w:r>
        <w:t>A consequentialist justification of human rights is “based on understanding of rights as means to achieve some larger end” (p</w:t>
      </w:r>
      <w:r w:rsidR="00CF742F">
        <w:t>g</w:t>
      </w:r>
      <w:r>
        <w:t xml:space="preserve">9). An example of a supporting consequentialist theory would be an argument that human rights should be respected because of its social and political benefit. Utilitarianism is a perspective that represents the consequentialist perspective on human rights, and its theory is that “whatever produces the greatest happiness for the greatest number of people is </w:t>
      </w:r>
      <w:proofErr w:type="gramStart"/>
      <w:r>
        <w:t>itself</w:t>
      </w:r>
      <w:proofErr w:type="gramEnd"/>
      <w:r>
        <w:t xml:space="preserve"> good”.</w:t>
      </w:r>
    </w:p>
    <w:p w:rsidR="00FF2B34" w:rsidRDefault="00FF2B34" w:rsidP="00E90B6C">
      <w:pPr>
        <w:tabs>
          <w:tab w:val="left" w:pos="1800"/>
        </w:tabs>
        <w:ind w:firstLine="720"/>
      </w:pPr>
      <w:r>
        <w:t>Another</w:t>
      </w:r>
      <w:r w:rsidR="00E90B6C">
        <w:t xml:space="preserve"> significant</w:t>
      </w:r>
      <w:r>
        <w:t xml:space="preserve"> </w:t>
      </w:r>
      <w:r w:rsidR="00814E1C">
        <w:t>philosophical debate</w:t>
      </w:r>
      <w:r w:rsidR="00E90B6C">
        <w:t xml:space="preserve"> concerning human rights involves</w:t>
      </w:r>
      <w:r>
        <w:t xml:space="preserve"> their foundations. “Natural law” is something that is frequently used to justify assertions of rights on the basis of foundations. However, this theory does not provide much in the way of persuading those with different religious beliefs.</w:t>
      </w:r>
    </w:p>
    <w:p w:rsidR="00FF2B34" w:rsidRDefault="00FF2B34"/>
    <w:p w:rsidR="00814E1C" w:rsidRDefault="00814E1C"/>
    <w:p w:rsidR="00814E1C" w:rsidRDefault="00814E1C">
      <w:pPr>
        <w:rPr>
          <w:b/>
        </w:rPr>
      </w:pPr>
      <w:r>
        <w:t xml:space="preserve">2. </w:t>
      </w:r>
    </w:p>
    <w:p w:rsidR="00AC407F" w:rsidRDefault="008E4DD4">
      <w:r>
        <w:tab/>
      </w:r>
      <w:r w:rsidR="00AC394D">
        <w:t>Canadians have played a large role in shaping international human rights organizations, such as the United Nations.  As Canada’s 14</w:t>
      </w:r>
      <w:r w:rsidR="00AC394D" w:rsidRPr="00AC394D">
        <w:rPr>
          <w:vertAlign w:val="superscript"/>
        </w:rPr>
        <w:t>th</w:t>
      </w:r>
      <w:r w:rsidR="00AC394D">
        <w:t xml:space="preserve"> prime minister, Lester B. Pearson introduced many great things to Canada such as the Canada Pension Plan, Medicare, and the current Canadian flag. However, before Lester B. Pearson was working to create these changes for Canada, he had a successful international career, during which he made a major contribution to international human rights: his role in the creation of the United Nations in 1945, as well as the creation of the United Nations Emergency Force. </w:t>
      </w:r>
      <w:r w:rsidR="002F5BDB">
        <w:t xml:space="preserve"> </w:t>
      </w:r>
    </w:p>
    <w:p w:rsidR="00775D7E" w:rsidRDefault="00AC407F">
      <w:r>
        <w:tab/>
        <w:t xml:space="preserve">Following the creation of the United Nations, </w:t>
      </w:r>
      <w:r w:rsidR="00775D7E">
        <w:t xml:space="preserve">Lester B. Pearson was a member of multiple different committees, such as Chair of the Special Committee on Palestine and President of the General Assembly of the United Nations during the Korean Conflict. </w:t>
      </w:r>
    </w:p>
    <w:p w:rsidR="00AC407F" w:rsidRDefault="00775D7E">
      <w:r>
        <w:tab/>
        <w:t>During the Suez Conflict, Lester B. Pearson played one of two important roles in ending the conflict, persuading the UN to intervene with its first official peacekeeping force. He argued to United Nations Security Council that they should create a United Nations Emergency Force to be deployed to the Suez Canal between opposing armies.</w:t>
      </w:r>
    </w:p>
    <w:p w:rsidR="008E4DD4" w:rsidRDefault="00AC394D" w:rsidP="007D651B">
      <w:pPr>
        <w:ind w:firstLine="720"/>
      </w:pPr>
      <w:r>
        <w:t>In 1957, Lester B. Pearson was awarded the Nobel Peace Prize for the work that he did during the Suez Crisis. His efforts with the United Nations helped to establish their</w:t>
      </w:r>
      <w:r w:rsidR="007D651B">
        <w:t xml:space="preserve"> first</w:t>
      </w:r>
      <w:r>
        <w:t xml:space="preserve"> role in p</w:t>
      </w:r>
      <w:r w:rsidR="007D651B">
        <w:t xml:space="preserve">eacekeeping. </w:t>
      </w:r>
    </w:p>
    <w:p w:rsidR="007D651B" w:rsidRDefault="007D651B" w:rsidP="007D651B">
      <w:pPr>
        <w:ind w:firstLine="720"/>
      </w:pPr>
      <w:r>
        <w:t>Another imp</w:t>
      </w:r>
      <w:r w:rsidR="002F6BC4">
        <w:t>act Lester B. Pearson had on the development of international human rights was is role in founding the North American Treaty Organization in 1948.</w:t>
      </w:r>
    </w:p>
    <w:p w:rsidR="002F6BC4" w:rsidRDefault="002F6BC4" w:rsidP="007D651B">
      <w:pPr>
        <w:ind w:firstLine="720"/>
      </w:pPr>
      <w:r>
        <w:t>Louise Arbour was another, of many, Canadian to play an important role in international human rights regimes. Arbour has served the UN in two separate roles, one of them being appointed by the United Nations Security Council as Chief Prosecutor for the International Criminal Tribunals for the former Yugoslavia and Rwanda from 1996-1999 (</w:t>
      </w:r>
      <w:proofErr w:type="spellStart"/>
      <w:r>
        <w:t>pg</w:t>
      </w:r>
      <w:proofErr w:type="spellEnd"/>
      <w:r>
        <w:t xml:space="preserve"> 60). During those years, she was successful in indicting the Serbian President, Slobodan </w:t>
      </w:r>
      <w:proofErr w:type="spellStart"/>
      <w:r>
        <w:t>Milošević</w:t>
      </w:r>
      <w:proofErr w:type="spellEnd"/>
      <w:r>
        <w:t xml:space="preserve">, on war crimes. Following the President’s indictment for crimes against humanity in 1999, Arbour resigned from her role. </w:t>
      </w:r>
    </w:p>
    <w:p w:rsidR="002F6BC4" w:rsidRDefault="00507249" w:rsidP="007D651B">
      <w:pPr>
        <w:ind w:firstLine="720"/>
      </w:pPr>
      <w:r>
        <w:t>Following her time in the United Nations, Louise Arbour accepted an appointment to the Supreme Court of Canada. However, her time there was cut short due to the death of the United Nations High Commissioner for Human Rights. Arbour returned to the UN in 2004 and was the first Canadian to be appointed to the position of United Nations High Commissioner for Human Rights (</w:t>
      </w:r>
      <w:proofErr w:type="spellStart"/>
      <w:r>
        <w:t>pg</w:t>
      </w:r>
      <w:proofErr w:type="spellEnd"/>
      <w:r>
        <w:t xml:space="preserve"> 62).</w:t>
      </w: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Default="00CF742F" w:rsidP="007D651B">
      <w:pPr>
        <w:ind w:firstLine="720"/>
      </w:pPr>
    </w:p>
    <w:p w:rsidR="00CF742F" w:rsidRPr="008E4DD4" w:rsidRDefault="00CF742F" w:rsidP="007D651B">
      <w:pPr>
        <w:ind w:firstLine="720"/>
      </w:pPr>
    </w:p>
    <w:sectPr w:rsidR="00CF742F" w:rsidRPr="008E4DD4" w:rsidSect="0020039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90A" w:rsidRDefault="00B3090A" w:rsidP="00B3090A">
      <w:r>
        <w:separator/>
      </w:r>
    </w:p>
  </w:endnote>
  <w:endnote w:type="continuationSeparator" w:id="0">
    <w:p w:rsidR="00B3090A" w:rsidRDefault="00B3090A" w:rsidP="00B3090A">
      <w:r>
        <w:continuationSeparator/>
      </w:r>
    </w:p>
  </w:endnote>
  <w:endnote w:id="1">
    <w:p w:rsidR="00CF742F" w:rsidRDefault="00CF742F" w:rsidP="00CF742F">
      <w:pPr>
        <w:widowControl w:val="0"/>
        <w:autoSpaceDE w:val="0"/>
        <w:autoSpaceDN w:val="0"/>
        <w:adjustRightInd w:val="0"/>
        <w:rPr>
          <w:rFonts w:ascii="Verdana" w:hAnsi="Verdana" w:cs="Verdana"/>
          <w:sz w:val="22"/>
          <w:szCs w:val="22"/>
        </w:rPr>
      </w:pPr>
      <w:r>
        <w:rPr>
          <w:rStyle w:val="EndnoteReference"/>
        </w:rPr>
        <w:endnoteRef/>
      </w:r>
      <w:r>
        <w:t xml:space="preserve"> </w:t>
      </w:r>
      <w:r>
        <w:rPr>
          <w:rFonts w:ascii="Verdana" w:hAnsi="Verdana" w:cs="Verdana"/>
          <w:sz w:val="22"/>
          <w:szCs w:val="22"/>
        </w:rPr>
        <w:t xml:space="preserve">References </w:t>
      </w:r>
    </w:p>
    <w:p w:rsidR="00CF742F" w:rsidRDefault="00CF742F" w:rsidP="00CF742F">
      <w:pPr>
        <w:pStyle w:val="EndnoteText"/>
      </w:pPr>
      <w:r>
        <w:rPr>
          <w:rFonts w:ascii="Verdana" w:hAnsi="Verdana" w:cs="Verdana"/>
          <w:sz w:val="22"/>
          <w:szCs w:val="22"/>
        </w:rPr>
        <w:t>Tremblay, R., Kelly, J., Lipson M. and J.F. Mayer. 2008. Understanding Human Rights Origins, Currents and Critiques. Scar</w:t>
      </w:r>
      <w:r>
        <w:rPr>
          <w:rFonts w:ascii="Verdana" w:hAnsi="Verdana" w:cs="Verdana"/>
          <w:sz w:val="22"/>
          <w:szCs w:val="22"/>
        </w:rPr>
        <w:t>borough: Nelson Education Ltd.</w:t>
      </w: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90A" w:rsidRDefault="00B3090A" w:rsidP="00B3090A">
      <w:r>
        <w:separator/>
      </w:r>
    </w:p>
  </w:footnote>
  <w:footnote w:type="continuationSeparator" w:id="0">
    <w:p w:rsidR="00B3090A" w:rsidRDefault="00B3090A" w:rsidP="00B309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DB0"/>
    <w:rsid w:val="000430B1"/>
    <w:rsid w:val="00200392"/>
    <w:rsid w:val="002F5BDB"/>
    <w:rsid w:val="002F6BC4"/>
    <w:rsid w:val="00507249"/>
    <w:rsid w:val="00775D7E"/>
    <w:rsid w:val="007D651B"/>
    <w:rsid w:val="00814E1C"/>
    <w:rsid w:val="008E4DD4"/>
    <w:rsid w:val="00AB7DB0"/>
    <w:rsid w:val="00AC394D"/>
    <w:rsid w:val="00AC407F"/>
    <w:rsid w:val="00B3090A"/>
    <w:rsid w:val="00CF742F"/>
    <w:rsid w:val="00E773C6"/>
    <w:rsid w:val="00E90B6C"/>
    <w:rsid w:val="00F0060F"/>
    <w:rsid w:val="00FF2B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92FCA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3090A"/>
  </w:style>
  <w:style w:type="character" w:customStyle="1" w:styleId="FootnoteTextChar">
    <w:name w:val="Footnote Text Char"/>
    <w:basedOn w:val="DefaultParagraphFont"/>
    <w:link w:val="FootnoteText"/>
    <w:uiPriority w:val="99"/>
    <w:rsid w:val="00B3090A"/>
  </w:style>
  <w:style w:type="character" w:styleId="FootnoteReference">
    <w:name w:val="footnote reference"/>
    <w:basedOn w:val="DefaultParagraphFont"/>
    <w:uiPriority w:val="99"/>
    <w:unhideWhenUsed/>
    <w:rsid w:val="00B3090A"/>
    <w:rPr>
      <w:vertAlign w:val="superscript"/>
    </w:rPr>
  </w:style>
  <w:style w:type="paragraph" w:styleId="EndnoteText">
    <w:name w:val="endnote text"/>
    <w:basedOn w:val="Normal"/>
    <w:link w:val="EndnoteTextChar"/>
    <w:uiPriority w:val="99"/>
    <w:unhideWhenUsed/>
    <w:rsid w:val="00B3090A"/>
  </w:style>
  <w:style w:type="character" w:customStyle="1" w:styleId="EndnoteTextChar">
    <w:name w:val="Endnote Text Char"/>
    <w:basedOn w:val="DefaultParagraphFont"/>
    <w:link w:val="EndnoteText"/>
    <w:uiPriority w:val="99"/>
    <w:rsid w:val="00B3090A"/>
  </w:style>
  <w:style w:type="character" w:styleId="EndnoteReference">
    <w:name w:val="endnote reference"/>
    <w:basedOn w:val="DefaultParagraphFont"/>
    <w:uiPriority w:val="99"/>
    <w:unhideWhenUsed/>
    <w:rsid w:val="00B3090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3090A"/>
  </w:style>
  <w:style w:type="character" w:customStyle="1" w:styleId="FootnoteTextChar">
    <w:name w:val="Footnote Text Char"/>
    <w:basedOn w:val="DefaultParagraphFont"/>
    <w:link w:val="FootnoteText"/>
    <w:uiPriority w:val="99"/>
    <w:rsid w:val="00B3090A"/>
  </w:style>
  <w:style w:type="character" w:styleId="FootnoteReference">
    <w:name w:val="footnote reference"/>
    <w:basedOn w:val="DefaultParagraphFont"/>
    <w:uiPriority w:val="99"/>
    <w:unhideWhenUsed/>
    <w:rsid w:val="00B3090A"/>
    <w:rPr>
      <w:vertAlign w:val="superscript"/>
    </w:rPr>
  </w:style>
  <w:style w:type="paragraph" w:styleId="EndnoteText">
    <w:name w:val="endnote text"/>
    <w:basedOn w:val="Normal"/>
    <w:link w:val="EndnoteTextChar"/>
    <w:uiPriority w:val="99"/>
    <w:unhideWhenUsed/>
    <w:rsid w:val="00B3090A"/>
  </w:style>
  <w:style w:type="character" w:customStyle="1" w:styleId="EndnoteTextChar">
    <w:name w:val="Endnote Text Char"/>
    <w:basedOn w:val="DefaultParagraphFont"/>
    <w:link w:val="EndnoteText"/>
    <w:uiPriority w:val="99"/>
    <w:rsid w:val="00B3090A"/>
  </w:style>
  <w:style w:type="character" w:styleId="EndnoteReference">
    <w:name w:val="endnote reference"/>
    <w:basedOn w:val="DefaultParagraphFont"/>
    <w:uiPriority w:val="99"/>
    <w:unhideWhenUsed/>
    <w:rsid w:val="00B309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691</Words>
  <Characters>3940</Characters>
  <Application>Microsoft Macintosh Word</Application>
  <DocSecurity>0</DocSecurity>
  <Lines>32</Lines>
  <Paragraphs>9</Paragraphs>
  <ScaleCrop>false</ScaleCrop>
  <Company/>
  <LinksUpToDate>false</LinksUpToDate>
  <CharactersWithSpaces>4622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Meaghan</dc:creator>
  <cp:keywords/>
  <dc:description/>
  <cp:lastModifiedBy>Meaghan</cp:lastModifiedBy>
  <cp:revision>2</cp:revision>
  <dcterms:created xsi:type="dcterms:W3CDTF">2014-05-24T03:28:00Z</dcterms:created>
  <dcterms:modified xsi:type="dcterms:W3CDTF">2014-05-24T03:28:00Z</dcterms:modified>
</cp:coreProperties>
</file>