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5BA9" w:rsidRDefault="00A55BA9">
      <w:r w:rsidRPr="00A55BA9">
        <w:rPr>
          <w:u w:val="single"/>
        </w:rPr>
        <w:t>Module 2 Notes</w:t>
      </w:r>
      <w:r>
        <w:t xml:space="preserve"> – The Scientific Method and Matter</w:t>
      </w:r>
    </w:p>
    <w:p w:rsidR="00EB7C81" w:rsidRDefault="00EB7C81">
      <w:r>
        <w:t>Scientific Method:</w:t>
      </w:r>
    </w:p>
    <w:p w:rsidR="00EB7C81" w:rsidRDefault="00EB7C81">
      <w:r>
        <w:t>Step 1 – Performing experiments: a set of steps that are performed under controlled conditions.</w:t>
      </w:r>
    </w:p>
    <w:p w:rsidR="00EB7C81" w:rsidRDefault="00EB7C81">
      <w:r>
        <w:t xml:space="preserve">Step 2 – Making observations: </w:t>
      </w:r>
    </w:p>
    <w:p w:rsidR="00EB7C81" w:rsidRDefault="00EB7C81" w:rsidP="00EB7C81">
      <w:pPr>
        <w:pStyle w:val="ListParagraph"/>
        <w:numPr>
          <w:ilvl w:val="0"/>
          <w:numId w:val="1"/>
        </w:numPr>
      </w:pPr>
      <w:r>
        <w:t xml:space="preserve">Quantitative: observation is a measurement.  It has two </w:t>
      </w:r>
      <w:r w:rsidR="00D4442C">
        <w:t>components</w:t>
      </w:r>
      <w:r>
        <w:t>: a measured quantity with an appropriate unit.</w:t>
      </w:r>
    </w:p>
    <w:p w:rsidR="00EB7C81" w:rsidRDefault="00EB7C81" w:rsidP="00EB7C81">
      <w:pPr>
        <w:pStyle w:val="ListParagraph"/>
        <w:numPr>
          <w:ilvl w:val="0"/>
          <w:numId w:val="1"/>
        </w:numPr>
      </w:pPr>
      <w:r>
        <w:t>Qualitative: observation does not use numbers</w:t>
      </w:r>
    </w:p>
    <w:p w:rsidR="00EB7C81" w:rsidRDefault="00EB7C81">
      <w:r>
        <w:t>Step 3 – Proposing a hypothesis (based upon the observations made): a tentative explanation to account for the observations of an experiment.</w:t>
      </w:r>
    </w:p>
    <w:p w:rsidR="00EB7C81" w:rsidRDefault="00EB7C81">
      <w:r>
        <w:t>Step 4 – Confirming the hypothesis (by repeated experimentation)</w:t>
      </w:r>
      <w:r w:rsidR="001B2FFA">
        <w:t>: the validity of the hypothesis needs to be confirmed via repeated and controlled experiments.  In order to accept a hypothesis there must be no inconsistencies between the hypothesis and the experimental observations.</w:t>
      </w:r>
    </w:p>
    <w:p w:rsidR="00EB7C81" w:rsidRDefault="00EB7C81">
      <w:r>
        <w:t>Step 5 – Proposing a Scientific Law</w:t>
      </w:r>
    </w:p>
    <w:p w:rsidR="00F22ACB" w:rsidRDefault="00F22ACB"/>
    <w:p w:rsidR="00D4442C" w:rsidRDefault="00F22ACB">
      <w:r>
        <w:t xml:space="preserve">Numerical Values: </w:t>
      </w:r>
    </w:p>
    <w:p w:rsidR="00D4442C" w:rsidRDefault="00D4442C" w:rsidP="00D4442C">
      <w:pPr>
        <w:pStyle w:val="ListParagraph"/>
        <w:numPr>
          <w:ilvl w:val="0"/>
          <w:numId w:val="1"/>
        </w:numPr>
      </w:pPr>
      <w:r w:rsidRPr="00D4442C">
        <w:rPr>
          <w:b/>
        </w:rPr>
        <w:t>Scientific notation</w:t>
      </w:r>
      <w:r>
        <w:t xml:space="preserve">: </w:t>
      </w:r>
    </w:p>
    <w:p w:rsidR="00865A46" w:rsidRDefault="00D4442C" w:rsidP="00D4442C">
      <w:pPr>
        <w:pStyle w:val="ListParagraph"/>
        <w:numPr>
          <w:ilvl w:val="1"/>
          <w:numId w:val="1"/>
        </w:numPr>
      </w:pPr>
      <w:r>
        <w:t>A way of expressing very large or very small numbers and at the same time provides a method of increasing efficiency in scientific calculations.</w:t>
      </w:r>
    </w:p>
    <w:p w:rsidR="00D4442C" w:rsidRDefault="00865A46" w:rsidP="00D4442C">
      <w:pPr>
        <w:pStyle w:val="ListParagraph"/>
        <w:numPr>
          <w:ilvl w:val="1"/>
          <w:numId w:val="1"/>
        </w:numPr>
      </w:pPr>
      <w:r>
        <w:t xml:space="preserve">N can be any number other than zero, and can only have one digit before the decimal, so N could be 4.56, but not 78.56 or 0.476.  As for n it can be any whole number positive or negative </w:t>
      </w:r>
    </w:p>
    <w:p w:rsidR="003A02B1" w:rsidRDefault="00D4442C" w:rsidP="00D4442C">
      <w:pPr>
        <w:pStyle w:val="ListParagraph"/>
        <w:numPr>
          <w:ilvl w:val="1"/>
          <w:numId w:val="1"/>
        </w:numPr>
      </w:pPr>
      <w:r>
        <w:t xml:space="preserve">N x 10 +/- nth </w:t>
      </w:r>
      <w:proofErr w:type="gramStart"/>
      <w:r>
        <w:t>power</w:t>
      </w:r>
      <w:proofErr w:type="gramEnd"/>
      <w:r>
        <w:t xml:space="preserve"> where N contains only one nonzero digit to the left of the decimal and n is an integer.</w:t>
      </w:r>
    </w:p>
    <w:p w:rsidR="00D4442C" w:rsidRDefault="003A02B1" w:rsidP="00D4442C">
      <w:pPr>
        <w:pStyle w:val="ListParagraph"/>
        <w:numPr>
          <w:ilvl w:val="1"/>
          <w:numId w:val="1"/>
        </w:numPr>
      </w:pPr>
      <w:r>
        <w:t>Example: 2566 in scientific notation – 2.566 x 10^3</w:t>
      </w:r>
    </w:p>
    <w:p w:rsidR="00D4442C" w:rsidRDefault="00D4442C" w:rsidP="00D4442C">
      <w:pPr>
        <w:pStyle w:val="ListParagraph"/>
        <w:numPr>
          <w:ilvl w:val="0"/>
          <w:numId w:val="1"/>
        </w:numPr>
      </w:pPr>
      <w:r>
        <w:t>Significant figures (digits)</w:t>
      </w:r>
    </w:p>
    <w:p w:rsidR="00590391" w:rsidRDefault="00D4442C" w:rsidP="00D4442C">
      <w:pPr>
        <w:pStyle w:val="ListParagraph"/>
        <w:numPr>
          <w:ilvl w:val="0"/>
          <w:numId w:val="1"/>
        </w:numPr>
      </w:pPr>
      <w:r>
        <w:t>SI system of units (based on the metric system)</w:t>
      </w:r>
    </w:p>
    <w:p w:rsidR="00590391" w:rsidRDefault="00590391">
      <w:r>
        <w:t>Significant figures:</w:t>
      </w:r>
    </w:p>
    <w:p w:rsidR="00590391" w:rsidRDefault="00590391" w:rsidP="00590391">
      <w:pPr>
        <w:pStyle w:val="ListParagraph"/>
        <w:numPr>
          <w:ilvl w:val="0"/>
          <w:numId w:val="2"/>
        </w:numPr>
      </w:pPr>
      <w:r>
        <w:t>All nonzero digits are significant figures (EX. 135.62 =5 SF)</w:t>
      </w:r>
    </w:p>
    <w:p w:rsidR="00590391" w:rsidRDefault="00590391" w:rsidP="00590391">
      <w:pPr>
        <w:pStyle w:val="ListParagraph"/>
        <w:numPr>
          <w:ilvl w:val="0"/>
          <w:numId w:val="2"/>
        </w:numPr>
      </w:pPr>
      <w:r>
        <w:t>Counting begins from left with the first nonzero number (0.056=2)</w:t>
      </w:r>
    </w:p>
    <w:p w:rsidR="00590391" w:rsidRDefault="00590391" w:rsidP="00590391">
      <w:pPr>
        <w:pStyle w:val="ListParagraph"/>
        <w:numPr>
          <w:ilvl w:val="0"/>
          <w:numId w:val="2"/>
        </w:numPr>
      </w:pPr>
      <w:r>
        <w:t>Zeros between nonzero digits are counted as SF (30.78=4</w:t>
      </w:r>
    </w:p>
    <w:p w:rsidR="00DE72D6" w:rsidRDefault="00590391" w:rsidP="00590391">
      <w:pPr>
        <w:pStyle w:val="ListParagraph"/>
        <w:numPr>
          <w:ilvl w:val="0"/>
          <w:numId w:val="2"/>
        </w:numPr>
      </w:pPr>
      <w:r>
        <w:t>Terminal zer</w:t>
      </w:r>
      <w:r w:rsidR="00DE72D6">
        <w:t xml:space="preserve">os (2.3700=5 and 2.00 x 10^2 = 3 </w:t>
      </w:r>
      <w:r>
        <w:t>and 2.0 X</w:t>
      </w:r>
      <w:r w:rsidR="00DE72D6">
        <w:t xml:space="preserve"> </w:t>
      </w:r>
      <w:r>
        <w:t>10^</w:t>
      </w:r>
      <w:r w:rsidR="00DE72D6">
        <w:t>2=2)</w:t>
      </w:r>
    </w:p>
    <w:p w:rsidR="00DE72D6" w:rsidRDefault="00DE72D6" w:rsidP="00DE72D6">
      <w:r>
        <w:t>Rules for Significant Figures in Chemical Calculations:</w:t>
      </w:r>
    </w:p>
    <w:p w:rsidR="00DE72D6" w:rsidRDefault="00DE72D6" w:rsidP="00DE72D6">
      <w:pPr>
        <w:pStyle w:val="ListParagraph"/>
        <w:numPr>
          <w:ilvl w:val="0"/>
          <w:numId w:val="3"/>
        </w:numPr>
      </w:pPr>
      <w:r>
        <w:t>For calculating significant figures the answer should have same amount of digits as the smallest measurement.  (Round up to the same point as the measurement with the least amount of numbers.)</w:t>
      </w:r>
    </w:p>
    <w:p w:rsidR="00DE72D6" w:rsidRDefault="00DE72D6" w:rsidP="00DE72D6">
      <w:pPr>
        <w:pStyle w:val="ListParagraph"/>
        <w:numPr>
          <w:ilvl w:val="0"/>
          <w:numId w:val="3"/>
        </w:numPr>
      </w:pPr>
      <w:r>
        <w:t>1 inch = 2.54 cm</w:t>
      </w:r>
    </w:p>
    <w:p w:rsidR="00DE72D6" w:rsidRDefault="00DE72D6" w:rsidP="00DE72D6">
      <w:r>
        <w:t>Rules for Rounding off Chemical Calculations:</w:t>
      </w:r>
    </w:p>
    <w:p w:rsidR="00557868" w:rsidRDefault="00557868" w:rsidP="00557868">
      <w:pPr>
        <w:pStyle w:val="ListParagraph"/>
        <w:numPr>
          <w:ilvl w:val="0"/>
          <w:numId w:val="4"/>
        </w:numPr>
      </w:pPr>
      <w:r>
        <w:t>If the digit being rounded off is equal to 5, the preceding digit is rounded up if it is odd and remains the same if it is even.</w:t>
      </w:r>
    </w:p>
    <w:p w:rsidR="00557868" w:rsidRDefault="00557868" w:rsidP="00557868">
      <w:pPr>
        <w:pStyle w:val="ListParagraph"/>
        <w:numPr>
          <w:ilvl w:val="0"/>
          <w:numId w:val="1"/>
        </w:numPr>
      </w:pPr>
      <w:r>
        <w:t>The SI unit for length is the meter</w:t>
      </w:r>
    </w:p>
    <w:p w:rsidR="002B7C2A" w:rsidRDefault="00557868" w:rsidP="00557868">
      <w:pPr>
        <w:pStyle w:val="ListParagraph"/>
        <w:numPr>
          <w:ilvl w:val="0"/>
          <w:numId w:val="1"/>
        </w:numPr>
      </w:pPr>
      <w:r>
        <w:t xml:space="preserve">The SI derived unit for volume is the </w:t>
      </w:r>
      <w:proofErr w:type="spellStart"/>
      <w:r>
        <w:t>cubis</w:t>
      </w:r>
      <w:proofErr w:type="spellEnd"/>
      <w:r>
        <w:t xml:space="preserve"> meter (m^3).  The most common unit for volume is the liter and the milliliter.</w:t>
      </w:r>
    </w:p>
    <w:p w:rsidR="002B7C2A" w:rsidRDefault="002B7C2A" w:rsidP="002B7C2A">
      <w:pPr>
        <w:pStyle w:val="ListParagraph"/>
        <w:numPr>
          <w:ilvl w:val="1"/>
          <w:numId w:val="1"/>
        </w:numPr>
      </w:pPr>
      <w:r>
        <w:t>1 L = 1dm^3 = 10^-3 m^3</w:t>
      </w:r>
    </w:p>
    <w:p w:rsidR="00557868" w:rsidRDefault="002B7C2A" w:rsidP="002B7C2A">
      <w:pPr>
        <w:pStyle w:val="ListParagraph"/>
        <w:numPr>
          <w:ilvl w:val="1"/>
          <w:numId w:val="1"/>
        </w:numPr>
      </w:pPr>
      <w:r>
        <w:t xml:space="preserve">1 </w:t>
      </w:r>
      <w:proofErr w:type="spellStart"/>
      <w:r>
        <w:t>mL</w:t>
      </w:r>
      <w:proofErr w:type="spellEnd"/>
      <w:r>
        <w:t>=1 cm^3 = 10 ^-3 dm ^ 3 = 10 ^-3 L = 10^-6 m^3</w:t>
      </w:r>
    </w:p>
    <w:p w:rsidR="00557868" w:rsidRDefault="00557868" w:rsidP="00557868">
      <w:pPr>
        <w:pStyle w:val="ListParagraph"/>
        <w:numPr>
          <w:ilvl w:val="0"/>
          <w:numId w:val="1"/>
        </w:numPr>
      </w:pPr>
      <w:r>
        <w:t>The SI unit for mass is the kilogram.  Mass is constant like volume mass depends on the size of an object.</w:t>
      </w:r>
    </w:p>
    <w:p w:rsidR="002B7C2A" w:rsidRDefault="00557868" w:rsidP="00557868">
      <w:pPr>
        <w:pStyle w:val="ListParagraph"/>
        <w:numPr>
          <w:ilvl w:val="0"/>
          <w:numId w:val="1"/>
        </w:numPr>
      </w:pPr>
      <w:r>
        <w:t>The SI unit for density is the kilogram per cubic meter (kg/m^3).  Generally in chemistry density is expressed in the units of g/</w:t>
      </w:r>
      <w:proofErr w:type="spellStart"/>
      <w:r>
        <w:t>mL</w:t>
      </w:r>
      <w:proofErr w:type="spellEnd"/>
      <w:r>
        <w:t xml:space="preserve"> or g/L.  Density is a physical property of a substance.  Density=mass/volume.</w:t>
      </w:r>
    </w:p>
    <w:p w:rsidR="002B7C2A" w:rsidRDefault="002B7C2A" w:rsidP="00557868">
      <w:pPr>
        <w:pStyle w:val="ListParagraph"/>
        <w:numPr>
          <w:ilvl w:val="0"/>
          <w:numId w:val="1"/>
        </w:numPr>
      </w:pPr>
      <w:r>
        <w:t>Common SI Prefixes:</w:t>
      </w:r>
    </w:p>
    <w:p w:rsidR="002B7C2A" w:rsidRDefault="002B7C2A" w:rsidP="002B7C2A">
      <w:pPr>
        <w:pStyle w:val="ListParagraph"/>
        <w:numPr>
          <w:ilvl w:val="1"/>
          <w:numId w:val="1"/>
        </w:numPr>
      </w:pPr>
      <w:r>
        <w:t>Giga – 10^9 – G</w:t>
      </w:r>
    </w:p>
    <w:p w:rsidR="002B7C2A" w:rsidRDefault="002B7C2A" w:rsidP="002B7C2A">
      <w:pPr>
        <w:pStyle w:val="ListParagraph"/>
        <w:numPr>
          <w:ilvl w:val="1"/>
          <w:numId w:val="1"/>
        </w:numPr>
      </w:pPr>
      <w:r>
        <w:t>Mega – 10^6 – M</w:t>
      </w:r>
    </w:p>
    <w:p w:rsidR="002B7C2A" w:rsidRDefault="002B7C2A" w:rsidP="002B7C2A">
      <w:pPr>
        <w:pStyle w:val="ListParagraph"/>
        <w:numPr>
          <w:ilvl w:val="1"/>
          <w:numId w:val="1"/>
        </w:numPr>
      </w:pPr>
      <w:r>
        <w:t>Kilo – 10^3 – k</w:t>
      </w:r>
    </w:p>
    <w:p w:rsidR="002B7C2A" w:rsidRDefault="002B7C2A" w:rsidP="002B7C2A">
      <w:pPr>
        <w:pStyle w:val="ListParagraph"/>
        <w:numPr>
          <w:ilvl w:val="1"/>
          <w:numId w:val="1"/>
        </w:numPr>
      </w:pPr>
      <w:proofErr w:type="spellStart"/>
      <w:r>
        <w:t>Centi</w:t>
      </w:r>
      <w:proofErr w:type="spellEnd"/>
      <w:r>
        <w:t xml:space="preserve"> – 10^-2 – c</w:t>
      </w:r>
    </w:p>
    <w:p w:rsidR="002B7C2A" w:rsidRDefault="002B7C2A" w:rsidP="002B7C2A">
      <w:pPr>
        <w:pStyle w:val="ListParagraph"/>
        <w:numPr>
          <w:ilvl w:val="1"/>
          <w:numId w:val="1"/>
        </w:numPr>
      </w:pPr>
      <w:proofErr w:type="spellStart"/>
      <w:r>
        <w:t>Milli</w:t>
      </w:r>
      <w:proofErr w:type="spellEnd"/>
      <w:r>
        <w:t xml:space="preserve"> – 10^-3 – m</w:t>
      </w:r>
    </w:p>
    <w:p w:rsidR="002B7C2A" w:rsidRDefault="002B7C2A" w:rsidP="002B7C2A">
      <w:pPr>
        <w:pStyle w:val="ListParagraph"/>
        <w:numPr>
          <w:ilvl w:val="1"/>
          <w:numId w:val="1"/>
        </w:numPr>
      </w:pPr>
      <w:r>
        <w:t>Micro – 10^-6 – mew</w:t>
      </w:r>
    </w:p>
    <w:p w:rsidR="008354DF" w:rsidRDefault="002B7C2A" w:rsidP="002B7C2A">
      <w:pPr>
        <w:pStyle w:val="ListParagraph"/>
        <w:numPr>
          <w:ilvl w:val="1"/>
          <w:numId w:val="1"/>
        </w:numPr>
      </w:pPr>
      <w:proofErr w:type="spellStart"/>
      <w:r>
        <w:t>Nano</w:t>
      </w:r>
      <w:proofErr w:type="spellEnd"/>
      <w:r>
        <w:t xml:space="preserve"> – 10^-9 </w:t>
      </w:r>
      <w:r w:rsidR="008354DF">
        <w:t>–</w:t>
      </w:r>
      <w:r>
        <w:t xml:space="preserve"> n</w:t>
      </w:r>
    </w:p>
    <w:p w:rsidR="008354DF" w:rsidRDefault="008354DF" w:rsidP="008354DF">
      <w:pPr>
        <w:pStyle w:val="ListParagraph"/>
        <w:numPr>
          <w:ilvl w:val="0"/>
          <w:numId w:val="1"/>
        </w:numPr>
      </w:pPr>
      <w:r>
        <w:t>Area = d X d = m X m = m^2 (d=length)</w:t>
      </w:r>
    </w:p>
    <w:p w:rsidR="00557868" w:rsidRDefault="008354DF" w:rsidP="008354DF">
      <w:pPr>
        <w:pStyle w:val="ListParagraph"/>
        <w:numPr>
          <w:ilvl w:val="0"/>
          <w:numId w:val="1"/>
        </w:numPr>
      </w:pPr>
      <w:r>
        <w:t>Volume = d x d x d = m x m x m = m^3</w:t>
      </w:r>
    </w:p>
    <w:p w:rsidR="00455FAA" w:rsidRDefault="00455FAA" w:rsidP="00455FAA"/>
    <w:p w:rsidR="00455FAA" w:rsidRDefault="00455FAA" w:rsidP="00455FAA">
      <w:r>
        <w:t>Example: What is th</w:t>
      </w:r>
      <w:r w:rsidR="00F147E8">
        <w:t>e</w:t>
      </w:r>
      <w:r>
        <w:t xml:space="preserve"> mass of an object in milligrams that weighs 10.31 lbs?</w:t>
      </w:r>
    </w:p>
    <w:p w:rsidR="00455FAA" w:rsidRDefault="00455FAA" w:rsidP="00455FAA"/>
    <w:p w:rsidR="00455FAA" w:rsidRDefault="00455FAA" w:rsidP="00455FAA">
      <w:r>
        <w:t>1 lb=453.6 g</w:t>
      </w:r>
    </w:p>
    <w:p w:rsidR="00455FAA" w:rsidRDefault="00455FAA" w:rsidP="00455FAA">
      <w:r>
        <w:t>10.31 lb x (453.6 g/1.00lb)</w:t>
      </w:r>
    </w:p>
    <w:p w:rsidR="00455FAA" w:rsidRDefault="00455FAA" w:rsidP="00455FAA"/>
    <w:p w:rsidR="00455FAA" w:rsidRDefault="00455FAA" w:rsidP="00455FAA">
      <w:pPr>
        <w:rPr>
          <w:u w:val="single"/>
        </w:rPr>
      </w:pPr>
      <w:r w:rsidRPr="00455FAA">
        <w:rPr>
          <w:u w:val="single"/>
        </w:rPr>
        <w:t>The Scientific Method and Matter</w:t>
      </w:r>
    </w:p>
    <w:p w:rsidR="00455FAA" w:rsidRDefault="00455FAA" w:rsidP="00455FAA">
      <w:r>
        <w:t>Matter: used to describe things that occupy space, are perceivable by our sense.</w:t>
      </w:r>
    </w:p>
    <w:p w:rsidR="00455FAA" w:rsidRDefault="00455FAA" w:rsidP="00455FAA">
      <w:r>
        <w:t>Matter can be classified in terms of its physical states: solid, liquid or gas or chemical composition: element, compound or mixture.</w:t>
      </w:r>
    </w:p>
    <w:p w:rsidR="00455FAA" w:rsidRDefault="00455FAA" w:rsidP="00455FAA"/>
    <w:p w:rsidR="00455FAA" w:rsidRDefault="00455FAA" w:rsidP="00455FAA">
      <w:r>
        <w:sym w:font="Wingdings" w:char="F0E0"/>
      </w:r>
      <w:r>
        <w:t xml:space="preserve"> Elements are composed of one type of atom and are classified as metal, nonmetal or metalloid (semi-metal)</w:t>
      </w:r>
    </w:p>
    <w:p w:rsidR="00455FAA" w:rsidRDefault="00455FAA" w:rsidP="00455FAA">
      <w:r>
        <w:sym w:font="Wingdings" w:char="F0E0"/>
      </w:r>
      <w:r>
        <w:t xml:space="preserve"> Compounds are a combination of elements in a definite proportion.  The atoms of each of the individual elements are chemically combined to form the compound.</w:t>
      </w:r>
    </w:p>
    <w:p w:rsidR="00455FAA" w:rsidRDefault="00455FAA" w:rsidP="00455FAA">
      <w:r>
        <w:sym w:font="Wingdings" w:char="F0E0"/>
      </w:r>
      <w:r>
        <w:t xml:space="preserve"> A non-pure substance made of two or more elements or compounds that can be separated by physical procedures.</w:t>
      </w:r>
    </w:p>
    <w:p w:rsidR="00455FAA" w:rsidRDefault="00455FAA" w:rsidP="00455FAA"/>
    <w:p w:rsidR="00455FAA" w:rsidRDefault="00455FAA" w:rsidP="00455FAA">
      <w:r>
        <w:t xml:space="preserve">Atoms: composed of electrons, protons and neutrons.  The nucleus of the atom contains the neutrons and protons.  The electrons surround the nucleus and are equal to the number of protons in a neutral atom.  </w:t>
      </w:r>
    </w:p>
    <w:p w:rsidR="00455FAA" w:rsidRDefault="00455FAA" w:rsidP="00455FAA">
      <w:pPr>
        <w:pStyle w:val="ListParagraph"/>
        <w:numPr>
          <w:ilvl w:val="0"/>
          <w:numId w:val="1"/>
        </w:numPr>
      </w:pPr>
      <w:r>
        <w:t>Protons have a + charge</w:t>
      </w:r>
    </w:p>
    <w:p w:rsidR="00455FAA" w:rsidRDefault="00455FAA" w:rsidP="00455FAA">
      <w:pPr>
        <w:pStyle w:val="ListParagraph"/>
        <w:numPr>
          <w:ilvl w:val="0"/>
          <w:numId w:val="1"/>
        </w:numPr>
      </w:pPr>
      <w:r>
        <w:t>Electrons have a – charge</w:t>
      </w:r>
    </w:p>
    <w:p w:rsidR="00455FAA" w:rsidRDefault="00455FAA" w:rsidP="00455FAA">
      <w:pPr>
        <w:pStyle w:val="ListParagraph"/>
        <w:numPr>
          <w:ilvl w:val="0"/>
          <w:numId w:val="1"/>
        </w:numPr>
      </w:pPr>
      <w:r>
        <w:t>Neutrons have no charge</w:t>
      </w:r>
    </w:p>
    <w:p w:rsidR="00BC1E0F" w:rsidRDefault="00455FAA" w:rsidP="00455FAA">
      <w:r>
        <w:sym w:font="Wingdings" w:char="F0E0"/>
      </w:r>
      <w:r>
        <w:t xml:space="preserve"> The </w:t>
      </w:r>
      <w:r>
        <w:rPr>
          <w:b/>
        </w:rPr>
        <w:t xml:space="preserve">atomic number </w:t>
      </w:r>
      <w:r>
        <w:t xml:space="preserve">of an element is equal to the number of protons in the nucleus of its atoms.  </w:t>
      </w:r>
    </w:p>
    <w:p w:rsidR="00BC1E0F" w:rsidRDefault="00BC1E0F" w:rsidP="00455FAA">
      <w:r>
        <w:sym w:font="Wingdings" w:char="F0E0"/>
      </w:r>
      <w:r>
        <w:t xml:space="preserve"> The </w:t>
      </w:r>
      <w:r>
        <w:rPr>
          <w:b/>
        </w:rPr>
        <w:t xml:space="preserve">mass number </w:t>
      </w:r>
      <w:r>
        <w:t>is equal to the number of protons and neutrons in the atom.  To calculate the number of neutrons, subtract the atomic number from the mass number.  Number of neutrons = A-Z</w:t>
      </w:r>
    </w:p>
    <w:p w:rsidR="00BC1E0F" w:rsidRDefault="00BC1E0F" w:rsidP="00455FAA">
      <w:r>
        <w:sym w:font="Wingdings" w:char="F0E0"/>
      </w:r>
      <w:r>
        <w:t xml:space="preserve"> Every element has an </w:t>
      </w:r>
      <w:r>
        <w:rPr>
          <w:b/>
        </w:rPr>
        <w:t>atomic symbol</w:t>
      </w:r>
      <w:r>
        <w:t xml:space="preserve"> both the atomic and mass numbers are included with the atomic symbol.</w:t>
      </w:r>
    </w:p>
    <w:p w:rsidR="00BC1E0F" w:rsidRDefault="00BC1E0F" w:rsidP="00455FAA"/>
    <w:tbl>
      <w:tblPr>
        <w:tblW w:w="4296" w:type="pct"/>
        <w:tblInd w:w="-96" w:type="dxa"/>
        <w:tblBorders>
          <w:top w:val="single" w:sz="6" w:space="0" w:color="B8B8B8"/>
          <w:left w:val="single" w:sz="6" w:space="0" w:color="B8B8B8"/>
          <w:bottom w:val="single" w:sz="6" w:space="0" w:color="B8B8B8"/>
          <w:right w:val="single" w:sz="6" w:space="0" w:color="B8B8B8"/>
        </w:tblBorders>
        <w:shd w:val="clear" w:color="auto" w:fill="FFFFFF"/>
        <w:tblCellMar>
          <w:left w:w="0" w:type="dxa"/>
          <w:right w:w="0" w:type="dxa"/>
        </w:tblCellMar>
        <w:tblLook w:val="0000"/>
      </w:tblPr>
      <w:tblGrid>
        <w:gridCol w:w="1452"/>
        <w:gridCol w:w="6219"/>
      </w:tblGrid>
      <w:tr w:rsidR="00BC1E0F" w:rsidRPr="00BC1E0F">
        <w:tc>
          <w:tcPr>
            <w:tcW w:w="1452" w:type="dxa"/>
            <w:tcBorders>
              <w:bottom w:val="single" w:sz="6" w:space="0" w:color="ECECEC"/>
            </w:tcBorders>
            <w:shd w:val="clear" w:color="auto" w:fill="ECECEC"/>
            <w:tcMar>
              <w:top w:w="96" w:type="dxa"/>
              <w:left w:w="192" w:type="dxa"/>
              <w:bottom w:w="96" w:type="dxa"/>
              <w:right w:w="96" w:type="dxa"/>
            </w:tcMar>
            <w:vAlign w:val="center"/>
          </w:tcPr>
          <w:p w:rsidR="00BC1E0F" w:rsidRPr="00BC1E0F" w:rsidRDefault="00BC1E0F" w:rsidP="00BC1E0F">
            <w:pPr>
              <w:jc w:val="center"/>
              <w:rPr>
                <w:rFonts w:ascii="Verdana" w:hAnsi="Verdana"/>
                <w:b/>
                <w:bCs/>
                <w:color w:val="02634D"/>
                <w:sz w:val="21"/>
                <w:szCs w:val="21"/>
              </w:rPr>
            </w:pPr>
            <w:r w:rsidRPr="00BC1E0F">
              <w:rPr>
                <w:rFonts w:ascii="Verdana" w:hAnsi="Verdana"/>
                <w:b/>
                <w:bCs/>
                <w:color w:val="02634D"/>
                <w:sz w:val="21"/>
              </w:rPr>
              <w:t>Molecules</w:t>
            </w:r>
          </w:p>
        </w:tc>
        <w:tc>
          <w:tcPr>
            <w:tcW w:w="6137" w:type="dxa"/>
            <w:tcBorders>
              <w:bottom w:val="single" w:sz="6" w:space="0" w:color="DADADA"/>
            </w:tcBorders>
            <w:shd w:val="clear" w:color="auto" w:fill="FFFFFF"/>
            <w:tcMar>
              <w:top w:w="96" w:type="dxa"/>
              <w:left w:w="96" w:type="dxa"/>
              <w:bottom w:w="96" w:type="dxa"/>
              <w:right w:w="96" w:type="dxa"/>
            </w:tcMar>
            <w:vAlign w:val="center"/>
          </w:tcPr>
          <w:p w:rsidR="00BC1E0F" w:rsidRPr="00BC1E0F" w:rsidRDefault="00BC1E0F" w:rsidP="00BC1E0F">
            <w:pPr>
              <w:numPr>
                <w:ilvl w:val="0"/>
                <w:numId w:val="5"/>
              </w:numPr>
              <w:ind w:left="320"/>
              <w:rPr>
                <w:rFonts w:ascii="Verdana" w:hAnsi="Verdana"/>
                <w:color w:val="3C3C3C"/>
                <w:sz w:val="19"/>
                <w:szCs w:val="19"/>
              </w:rPr>
            </w:pPr>
            <w:r w:rsidRPr="00BC1E0F">
              <w:rPr>
                <w:rFonts w:ascii="Verdana" w:hAnsi="Verdana"/>
                <w:color w:val="3C3C3C"/>
                <w:sz w:val="19"/>
                <w:szCs w:val="19"/>
              </w:rPr>
              <w:t>Molecules are a combination of atoms in a definite proportion e.g., molecule of water</w:t>
            </w:r>
            <w:r w:rsidRPr="00BC1E0F">
              <w:rPr>
                <w:rFonts w:ascii="Verdana" w:hAnsi="Verdana"/>
                <w:color w:val="3C3C3C"/>
                <w:sz w:val="19"/>
                <w:szCs w:val="19"/>
              </w:rPr>
              <w:br/>
            </w:r>
            <w:r w:rsidRPr="00BC1E0F">
              <w:rPr>
                <w:rFonts w:ascii="Verdana" w:hAnsi="Verdana"/>
                <w:color w:val="3C3C3C"/>
                <w:sz w:val="19"/>
                <w:szCs w:val="19"/>
              </w:rPr>
              <w:br/>
              <w:t>(H</w:t>
            </w:r>
            <w:r w:rsidRPr="00BC1E0F">
              <w:rPr>
                <w:rFonts w:ascii="Verdana" w:hAnsi="Verdana"/>
                <w:color w:val="3C3C3C"/>
                <w:sz w:val="19"/>
                <w:szCs w:val="19"/>
                <w:vertAlign w:val="subscript"/>
              </w:rPr>
              <w:t>2</w:t>
            </w:r>
            <w:r w:rsidRPr="00BC1E0F">
              <w:rPr>
                <w:rFonts w:ascii="Verdana" w:hAnsi="Verdana"/>
                <w:color w:val="3C3C3C"/>
                <w:sz w:val="19"/>
                <w:szCs w:val="19"/>
              </w:rPr>
              <w:t xml:space="preserve">O; </w:t>
            </w:r>
            <w:proofErr w:type="spellStart"/>
            <w:r w:rsidRPr="00BC1E0F">
              <w:rPr>
                <w:rFonts w:ascii="Verdana" w:hAnsi="Verdana"/>
                <w:color w:val="3C3C3C"/>
                <w:sz w:val="19"/>
                <w:szCs w:val="19"/>
              </w:rPr>
              <w:t>hydrogen:oxygen</w:t>
            </w:r>
            <w:proofErr w:type="spellEnd"/>
            <w:r w:rsidRPr="00BC1E0F">
              <w:rPr>
                <w:rFonts w:ascii="Verdana" w:hAnsi="Verdana"/>
                <w:color w:val="3C3C3C"/>
                <w:sz w:val="19"/>
                <w:szCs w:val="19"/>
              </w:rPr>
              <w:t xml:space="preserve"> = 2:1).</w:t>
            </w:r>
          </w:p>
        </w:tc>
      </w:tr>
      <w:tr w:rsidR="00BC1E0F" w:rsidRPr="00BC1E0F">
        <w:tc>
          <w:tcPr>
            <w:tcW w:w="0" w:type="auto"/>
            <w:tcBorders>
              <w:bottom w:val="single" w:sz="6" w:space="0" w:color="ECECEC"/>
            </w:tcBorders>
            <w:shd w:val="clear" w:color="auto" w:fill="ECECEC"/>
            <w:tcMar>
              <w:top w:w="96" w:type="dxa"/>
              <w:left w:w="192" w:type="dxa"/>
              <w:bottom w:w="96" w:type="dxa"/>
              <w:right w:w="96" w:type="dxa"/>
            </w:tcMar>
            <w:vAlign w:val="center"/>
          </w:tcPr>
          <w:p w:rsidR="00BC1E0F" w:rsidRPr="00BC1E0F" w:rsidRDefault="00BC1E0F" w:rsidP="00BC1E0F">
            <w:pPr>
              <w:jc w:val="center"/>
              <w:rPr>
                <w:rFonts w:ascii="Verdana" w:hAnsi="Verdana"/>
                <w:b/>
                <w:bCs/>
                <w:color w:val="02634D"/>
                <w:sz w:val="21"/>
                <w:szCs w:val="21"/>
              </w:rPr>
            </w:pPr>
            <w:r w:rsidRPr="00BC1E0F">
              <w:rPr>
                <w:rFonts w:ascii="Verdana" w:hAnsi="Verdana"/>
                <w:b/>
                <w:bCs/>
                <w:color w:val="02634D"/>
                <w:sz w:val="21"/>
              </w:rPr>
              <w:t>Ions</w:t>
            </w:r>
          </w:p>
        </w:tc>
        <w:tc>
          <w:tcPr>
            <w:tcW w:w="0" w:type="auto"/>
            <w:tcBorders>
              <w:bottom w:val="single" w:sz="6" w:space="0" w:color="DADADA"/>
            </w:tcBorders>
            <w:shd w:val="clear" w:color="auto" w:fill="FFFFFF"/>
            <w:tcMar>
              <w:top w:w="96" w:type="dxa"/>
              <w:left w:w="96" w:type="dxa"/>
              <w:bottom w:w="96" w:type="dxa"/>
              <w:right w:w="96" w:type="dxa"/>
            </w:tcMar>
            <w:vAlign w:val="center"/>
          </w:tcPr>
          <w:p w:rsidR="00BC1E0F" w:rsidRPr="00BC1E0F" w:rsidRDefault="00BC1E0F" w:rsidP="00BC1E0F">
            <w:pPr>
              <w:numPr>
                <w:ilvl w:val="0"/>
                <w:numId w:val="6"/>
              </w:numPr>
              <w:ind w:left="320"/>
              <w:rPr>
                <w:rFonts w:ascii="Verdana" w:hAnsi="Verdana"/>
                <w:color w:val="3C3C3C"/>
                <w:sz w:val="19"/>
                <w:szCs w:val="19"/>
              </w:rPr>
            </w:pPr>
            <w:r w:rsidRPr="00BC1E0F">
              <w:rPr>
                <w:rFonts w:ascii="Verdana" w:hAnsi="Verdana"/>
                <w:color w:val="3C3C3C"/>
                <w:sz w:val="19"/>
                <w:szCs w:val="19"/>
              </w:rPr>
              <w:t>Ions are charged species formed by loss or gain of electron(s) from an atom.</w:t>
            </w:r>
          </w:p>
        </w:tc>
      </w:tr>
      <w:tr w:rsidR="00BC1E0F" w:rsidRPr="00BC1E0F">
        <w:tc>
          <w:tcPr>
            <w:tcW w:w="0" w:type="auto"/>
            <w:tcBorders>
              <w:bottom w:val="single" w:sz="6" w:space="0" w:color="ECECEC"/>
            </w:tcBorders>
            <w:shd w:val="clear" w:color="auto" w:fill="ECECEC"/>
            <w:tcMar>
              <w:top w:w="96" w:type="dxa"/>
              <w:left w:w="192" w:type="dxa"/>
              <w:bottom w:w="96" w:type="dxa"/>
              <w:right w:w="96" w:type="dxa"/>
            </w:tcMar>
            <w:vAlign w:val="center"/>
          </w:tcPr>
          <w:p w:rsidR="00BC1E0F" w:rsidRPr="00BC1E0F" w:rsidRDefault="00BC1E0F" w:rsidP="00BC1E0F">
            <w:pPr>
              <w:jc w:val="center"/>
              <w:rPr>
                <w:rFonts w:ascii="Verdana" w:hAnsi="Verdana"/>
                <w:b/>
                <w:bCs/>
                <w:color w:val="02634D"/>
                <w:sz w:val="21"/>
                <w:szCs w:val="21"/>
              </w:rPr>
            </w:pPr>
            <w:proofErr w:type="spellStart"/>
            <w:r w:rsidRPr="00BC1E0F">
              <w:rPr>
                <w:rFonts w:ascii="Verdana" w:hAnsi="Verdana"/>
                <w:b/>
                <w:bCs/>
                <w:color w:val="02634D"/>
                <w:sz w:val="21"/>
              </w:rPr>
              <w:t>Cation</w:t>
            </w:r>
            <w:proofErr w:type="spellEnd"/>
          </w:p>
        </w:tc>
        <w:tc>
          <w:tcPr>
            <w:tcW w:w="0" w:type="auto"/>
            <w:tcBorders>
              <w:bottom w:val="single" w:sz="6" w:space="0" w:color="DADADA"/>
            </w:tcBorders>
            <w:shd w:val="clear" w:color="auto" w:fill="FFFFFF"/>
            <w:tcMar>
              <w:top w:w="96" w:type="dxa"/>
              <w:left w:w="96" w:type="dxa"/>
              <w:bottom w:w="96" w:type="dxa"/>
              <w:right w:w="96" w:type="dxa"/>
            </w:tcMar>
            <w:vAlign w:val="center"/>
          </w:tcPr>
          <w:p w:rsidR="00BC1E0F" w:rsidRPr="00BC1E0F" w:rsidRDefault="00BC1E0F" w:rsidP="00BC1E0F">
            <w:pPr>
              <w:numPr>
                <w:ilvl w:val="0"/>
                <w:numId w:val="7"/>
              </w:numPr>
              <w:ind w:left="320"/>
              <w:rPr>
                <w:rFonts w:ascii="Verdana" w:hAnsi="Verdana"/>
                <w:color w:val="3C3C3C"/>
                <w:sz w:val="19"/>
                <w:szCs w:val="19"/>
              </w:rPr>
            </w:pPr>
            <w:proofErr w:type="spellStart"/>
            <w:r w:rsidRPr="00BC1E0F">
              <w:rPr>
                <w:rFonts w:ascii="Verdana" w:hAnsi="Verdana"/>
                <w:color w:val="3C3C3C"/>
                <w:sz w:val="19"/>
                <w:szCs w:val="19"/>
              </w:rPr>
              <w:t>Cation</w:t>
            </w:r>
            <w:proofErr w:type="spellEnd"/>
            <w:r w:rsidRPr="00BC1E0F">
              <w:rPr>
                <w:rFonts w:ascii="Verdana" w:hAnsi="Verdana"/>
                <w:color w:val="3C3C3C"/>
                <w:sz w:val="19"/>
                <w:szCs w:val="19"/>
              </w:rPr>
              <w:t xml:space="preserve"> generation: M (g)</w:t>
            </w:r>
            <w:r w:rsidRPr="00BC1E0F">
              <w:rPr>
                <w:rFonts w:ascii="Verdana" w:hAnsi="Verdana"/>
                <w:color w:val="3C3C3C"/>
                <w:sz w:val="19"/>
              </w:rPr>
              <w:t> </w:t>
            </w:r>
            <w:r>
              <w:rPr>
                <w:rFonts w:ascii="Wingdings 3" w:hAnsi="Wingdings 3"/>
                <w:noProof/>
                <w:color w:val="000000"/>
              </w:rPr>
              <w:drawing>
                <wp:inline distT="0" distB="0" distL="0" distR="0">
                  <wp:extent cx="223520" cy="121920"/>
                  <wp:effectExtent l="25400" t="0" r="5080" b="0"/>
                  <wp:docPr id="1" name="Picture 1" descr="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row"/>
                          <pic:cNvPicPr>
                            <a:picLocks noChangeAspect="1" noChangeArrowheads="1"/>
                          </pic:cNvPicPr>
                        </pic:nvPicPr>
                        <pic:blipFill>
                          <a:blip r:embed="rId5"/>
                          <a:srcRect/>
                          <a:stretch>
                            <a:fillRect/>
                          </a:stretch>
                        </pic:blipFill>
                        <pic:spPr bwMode="auto">
                          <a:xfrm>
                            <a:off x="0" y="0"/>
                            <a:ext cx="223520" cy="121920"/>
                          </a:xfrm>
                          <a:prstGeom prst="rect">
                            <a:avLst/>
                          </a:prstGeom>
                          <a:noFill/>
                          <a:ln w="9525">
                            <a:noFill/>
                            <a:miter lim="800000"/>
                            <a:headEnd/>
                            <a:tailEnd/>
                          </a:ln>
                        </pic:spPr>
                      </pic:pic>
                    </a:graphicData>
                  </a:graphic>
                </wp:inline>
              </w:drawing>
            </w:r>
            <w:r w:rsidRPr="00BC1E0F">
              <w:rPr>
                <w:rFonts w:ascii="Verdana" w:hAnsi="Verdana"/>
                <w:color w:val="3C3C3C"/>
                <w:sz w:val="19"/>
              </w:rPr>
              <w:t> </w:t>
            </w:r>
            <w:r w:rsidRPr="00BC1E0F">
              <w:rPr>
                <w:rFonts w:ascii="Verdana" w:hAnsi="Verdana"/>
                <w:color w:val="3C3C3C"/>
                <w:sz w:val="19"/>
                <w:szCs w:val="19"/>
              </w:rPr>
              <w:t>M</w:t>
            </w:r>
            <w:r w:rsidRPr="00BC1E0F">
              <w:rPr>
                <w:rFonts w:ascii="Verdana" w:hAnsi="Verdana"/>
                <w:color w:val="3C3C3C"/>
                <w:sz w:val="19"/>
                <w:szCs w:val="19"/>
                <w:vertAlign w:val="superscript"/>
              </w:rPr>
              <w:t>+</w:t>
            </w:r>
            <w:r w:rsidRPr="00BC1E0F">
              <w:rPr>
                <w:rFonts w:ascii="Verdana" w:hAnsi="Verdana"/>
                <w:color w:val="3C3C3C"/>
                <w:sz w:val="19"/>
                <w:szCs w:val="19"/>
              </w:rPr>
              <w:t>(g) + e- (loss of e</w:t>
            </w:r>
            <w:r w:rsidRPr="00BC1E0F">
              <w:rPr>
                <w:rFonts w:ascii="Verdana" w:hAnsi="Verdana"/>
                <w:color w:val="3C3C3C"/>
                <w:sz w:val="19"/>
                <w:szCs w:val="19"/>
                <w:vertAlign w:val="superscript"/>
              </w:rPr>
              <w:t>-</w:t>
            </w:r>
            <w:r w:rsidRPr="00BC1E0F">
              <w:rPr>
                <w:rFonts w:ascii="Verdana" w:hAnsi="Verdana"/>
                <w:color w:val="3C3C3C"/>
                <w:sz w:val="19"/>
                <w:szCs w:val="19"/>
              </w:rPr>
              <w:t>) [M = metal; g = gaseous state]</w:t>
            </w:r>
            <w:r w:rsidRPr="00BC1E0F">
              <w:rPr>
                <w:rFonts w:ascii="Verdana" w:hAnsi="Verdana"/>
                <w:color w:val="3C3C3C"/>
                <w:sz w:val="19"/>
              </w:rPr>
              <w:t> </w:t>
            </w:r>
            <w:r w:rsidRPr="00BC1E0F">
              <w:rPr>
                <w:rFonts w:ascii="Verdana" w:hAnsi="Verdana"/>
                <w:color w:val="3C3C3C"/>
                <w:sz w:val="19"/>
                <w:szCs w:val="19"/>
              </w:rPr>
              <w:br/>
            </w:r>
            <w:r w:rsidRPr="00BC1E0F">
              <w:rPr>
                <w:rFonts w:ascii="Verdana" w:hAnsi="Verdana"/>
                <w:color w:val="3C3C3C"/>
                <w:sz w:val="19"/>
                <w:szCs w:val="19"/>
              </w:rPr>
              <w:br/>
              <w:t>[where M</w:t>
            </w:r>
            <w:r w:rsidRPr="00BC1E0F">
              <w:rPr>
                <w:rFonts w:ascii="Verdana" w:hAnsi="Verdana"/>
                <w:color w:val="3C3C3C"/>
                <w:sz w:val="19"/>
                <w:szCs w:val="19"/>
                <w:vertAlign w:val="superscript"/>
              </w:rPr>
              <w:t>+</w:t>
            </w:r>
            <w:r w:rsidRPr="00BC1E0F">
              <w:rPr>
                <w:rFonts w:ascii="Verdana" w:hAnsi="Verdana"/>
                <w:color w:val="3C3C3C"/>
                <w:sz w:val="19"/>
                <w:szCs w:val="19"/>
              </w:rPr>
              <w:t xml:space="preserve">, a positively charged ion is the </w:t>
            </w:r>
            <w:proofErr w:type="spellStart"/>
            <w:r w:rsidRPr="00BC1E0F">
              <w:rPr>
                <w:rFonts w:ascii="Verdana" w:hAnsi="Verdana"/>
                <w:color w:val="3C3C3C"/>
                <w:sz w:val="19"/>
                <w:szCs w:val="19"/>
              </w:rPr>
              <w:t>cation</w:t>
            </w:r>
            <w:proofErr w:type="spellEnd"/>
            <w:r w:rsidRPr="00BC1E0F">
              <w:rPr>
                <w:rFonts w:ascii="Verdana" w:hAnsi="Verdana"/>
                <w:color w:val="3C3C3C"/>
                <w:sz w:val="19"/>
                <w:szCs w:val="19"/>
              </w:rPr>
              <w:t>]</w:t>
            </w:r>
          </w:p>
        </w:tc>
      </w:tr>
      <w:tr w:rsidR="00BC1E0F" w:rsidRPr="00BC1E0F">
        <w:tc>
          <w:tcPr>
            <w:tcW w:w="0" w:type="auto"/>
            <w:tcBorders>
              <w:bottom w:val="single" w:sz="6" w:space="0" w:color="ECECEC"/>
            </w:tcBorders>
            <w:shd w:val="clear" w:color="auto" w:fill="ECECEC"/>
            <w:tcMar>
              <w:top w:w="96" w:type="dxa"/>
              <w:left w:w="192" w:type="dxa"/>
              <w:bottom w:w="96" w:type="dxa"/>
              <w:right w:w="96" w:type="dxa"/>
            </w:tcMar>
            <w:vAlign w:val="center"/>
          </w:tcPr>
          <w:p w:rsidR="00BC1E0F" w:rsidRPr="00BC1E0F" w:rsidRDefault="00BC1E0F" w:rsidP="00BC1E0F">
            <w:pPr>
              <w:jc w:val="center"/>
              <w:rPr>
                <w:rFonts w:ascii="Verdana" w:hAnsi="Verdana"/>
                <w:b/>
                <w:bCs/>
                <w:color w:val="02634D"/>
                <w:sz w:val="21"/>
                <w:szCs w:val="21"/>
              </w:rPr>
            </w:pPr>
            <w:r w:rsidRPr="00BC1E0F">
              <w:rPr>
                <w:rFonts w:ascii="Verdana" w:hAnsi="Verdana"/>
                <w:b/>
                <w:bCs/>
                <w:color w:val="02634D"/>
                <w:sz w:val="21"/>
              </w:rPr>
              <w:t>Anion</w:t>
            </w:r>
          </w:p>
        </w:tc>
        <w:tc>
          <w:tcPr>
            <w:tcW w:w="0" w:type="auto"/>
            <w:tcBorders>
              <w:bottom w:val="single" w:sz="6" w:space="0" w:color="DADADA"/>
            </w:tcBorders>
            <w:shd w:val="clear" w:color="auto" w:fill="FFFFFF"/>
            <w:tcMar>
              <w:top w:w="96" w:type="dxa"/>
              <w:left w:w="96" w:type="dxa"/>
              <w:bottom w:w="96" w:type="dxa"/>
              <w:right w:w="96" w:type="dxa"/>
            </w:tcMar>
            <w:vAlign w:val="center"/>
          </w:tcPr>
          <w:p w:rsidR="00BC1E0F" w:rsidRPr="00BC1E0F" w:rsidRDefault="00BC1E0F" w:rsidP="00BC1E0F">
            <w:pPr>
              <w:numPr>
                <w:ilvl w:val="0"/>
                <w:numId w:val="8"/>
              </w:numPr>
              <w:ind w:left="320"/>
              <w:rPr>
                <w:rFonts w:ascii="Verdana" w:hAnsi="Verdana"/>
                <w:color w:val="3C3C3C"/>
                <w:sz w:val="19"/>
                <w:szCs w:val="19"/>
              </w:rPr>
            </w:pPr>
            <w:r w:rsidRPr="00BC1E0F">
              <w:rPr>
                <w:rFonts w:ascii="Verdana" w:hAnsi="Verdana"/>
                <w:color w:val="3C3C3C"/>
                <w:sz w:val="19"/>
                <w:szCs w:val="19"/>
              </w:rPr>
              <w:t>Anion generation: X (g) + e</w:t>
            </w:r>
            <w:r w:rsidRPr="00BC1E0F">
              <w:rPr>
                <w:rFonts w:ascii="Verdana" w:hAnsi="Verdana"/>
                <w:color w:val="3C3C3C"/>
                <w:sz w:val="19"/>
                <w:szCs w:val="19"/>
                <w:vertAlign w:val="superscript"/>
              </w:rPr>
              <w:t>-</w:t>
            </w:r>
            <w:r>
              <w:rPr>
                <w:rFonts w:ascii="Wingdings 3" w:hAnsi="Wingdings 3"/>
                <w:noProof/>
                <w:color w:val="000000"/>
              </w:rPr>
              <w:drawing>
                <wp:inline distT="0" distB="0" distL="0" distR="0">
                  <wp:extent cx="223520" cy="121920"/>
                  <wp:effectExtent l="25400" t="0" r="5080" b="0"/>
                  <wp:docPr id="2" name="Picture 2" descr="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row"/>
                          <pic:cNvPicPr>
                            <a:picLocks noChangeAspect="1" noChangeArrowheads="1"/>
                          </pic:cNvPicPr>
                        </pic:nvPicPr>
                        <pic:blipFill>
                          <a:blip r:embed="rId5"/>
                          <a:srcRect/>
                          <a:stretch>
                            <a:fillRect/>
                          </a:stretch>
                        </pic:blipFill>
                        <pic:spPr bwMode="auto">
                          <a:xfrm>
                            <a:off x="0" y="0"/>
                            <a:ext cx="223520" cy="121920"/>
                          </a:xfrm>
                          <a:prstGeom prst="rect">
                            <a:avLst/>
                          </a:prstGeom>
                          <a:noFill/>
                          <a:ln w="9525">
                            <a:noFill/>
                            <a:miter lim="800000"/>
                            <a:headEnd/>
                            <a:tailEnd/>
                          </a:ln>
                        </pic:spPr>
                      </pic:pic>
                    </a:graphicData>
                  </a:graphic>
                </wp:inline>
              </w:drawing>
            </w:r>
            <w:r w:rsidRPr="00BC1E0F">
              <w:rPr>
                <w:rFonts w:ascii="Verdana" w:hAnsi="Verdana"/>
                <w:color w:val="3C3C3C"/>
                <w:sz w:val="19"/>
              </w:rPr>
              <w:t> </w:t>
            </w:r>
            <w:r w:rsidRPr="00BC1E0F">
              <w:rPr>
                <w:rFonts w:ascii="Verdana" w:hAnsi="Verdana"/>
                <w:color w:val="3C3C3C"/>
                <w:sz w:val="19"/>
                <w:szCs w:val="19"/>
              </w:rPr>
              <w:t>X</w:t>
            </w:r>
            <w:r w:rsidRPr="00BC1E0F">
              <w:rPr>
                <w:rFonts w:ascii="Verdana" w:hAnsi="Verdana"/>
                <w:color w:val="3C3C3C"/>
                <w:sz w:val="19"/>
                <w:szCs w:val="19"/>
                <w:vertAlign w:val="superscript"/>
              </w:rPr>
              <w:t>-</w:t>
            </w:r>
            <w:r w:rsidRPr="00BC1E0F">
              <w:rPr>
                <w:rFonts w:ascii="Verdana" w:hAnsi="Verdana"/>
                <w:color w:val="3C3C3C"/>
                <w:sz w:val="19"/>
              </w:rPr>
              <w:t> </w:t>
            </w:r>
            <w:r w:rsidRPr="00BC1E0F">
              <w:rPr>
                <w:rFonts w:ascii="Verdana" w:hAnsi="Verdana"/>
                <w:color w:val="3C3C3C"/>
                <w:sz w:val="19"/>
                <w:szCs w:val="19"/>
              </w:rPr>
              <w:t>(g) (gain of e</w:t>
            </w:r>
            <w:r w:rsidRPr="00BC1E0F">
              <w:rPr>
                <w:rFonts w:ascii="Verdana" w:hAnsi="Verdana"/>
                <w:color w:val="3C3C3C"/>
                <w:sz w:val="19"/>
                <w:szCs w:val="19"/>
                <w:vertAlign w:val="superscript"/>
              </w:rPr>
              <w:t>-</w:t>
            </w:r>
            <w:r w:rsidRPr="00BC1E0F">
              <w:rPr>
                <w:rFonts w:ascii="Verdana" w:hAnsi="Verdana"/>
                <w:color w:val="3C3C3C"/>
                <w:sz w:val="19"/>
                <w:szCs w:val="19"/>
              </w:rPr>
              <w:t>) [X = nonmetal]</w:t>
            </w:r>
            <w:r w:rsidRPr="00BC1E0F">
              <w:rPr>
                <w:rFonts w:ascii="Verdana" w:hAnsi="Verdana"/>
                <w:color w:val="3C3C3C"/>
                <w:sz w:val="19"/>
                <w:szCs w:val="19"/>
              </w:rPr>
              <w:br/>
              <w:t>[where X</w:t>
            </w:r>
            <w:r w:rsidRPr="00BC1E0F">
              <w:rPr>
                <w:rFonts w:ascii="Verdana" w:hAnsi="Verdana"/>
                <w:color w:val="3C3C3C"/>
                <w:sz w:val="19"/>
                <w:szCs w:val="19"/>
                <w:vertAlign w:val="superscript"/>
              </w:rPr>
              <w:t>-</w:t>
            </w:r>
            <w:r w:rsidRPr="00BC1E0F">
              <w:rPr>
                <w:rFonts w:ascii="Verdana" w:hAnsi="Verdana"/>
                <w:color w:val="3C3C3C"/>
                <w:sz w:val="19"/>
                <w:szCs w:val="19"/>
              </w:rPr>
              <w:t>, a negatively charged ion is the anion]</w:t>
            </w:r>
            <w:r w:rsidRPr="00BC1E0F">
              <w:rPr>
                <w:rFonts w:ascii="Verdana" w:hAnsi="Verdana"/>
                <w:color w:val="3C3C3C"/>
                <w:sz w:val="19"/>
              </w:rPr>
              <w:t> </w:t>
            </w:r>
            <w:r w:rsidRPr="00BC1E0F">
              <w:rPr>
                <w:rFonts w:ascii="Verdana" w:hAnsi="Verdana"/>
                <w:color w:val="3C3C3C"/>
                <w:sz w:val="19"/>
                <w:szCs w:val="19"/>
              </w:rPr>
              <w:br/>
            </w:r>
            <w:r w:rsidRPr="00BC1E0F">
              <w:rPr>
                <w:rFonts w:ascii="Verdana" w:hAnsi="Verdana"/>
                <w:color w:val="3C3C3C"/>
                <w:sz w:val="19"/>
                <w:szCs w:val="19"/>
              </w:rPr>
              <w:br/>
              <w:t xml:space="preserve">Example: </w:t>
            </w:r>
            <w:proofErr w:type="spellStart"/>
            <w:r w:rsidRPr="00BC1E0F">
              <w:rPr>
                <w:rFonts w:ascii="Verdana" w:hAnsi="Verdana"/>
                <w:color w:val="3C3C3C"/>
                <w:sz w:val="19"/>
                <w:szCs w:val="19"/>
              </w:rPr>
              <w:t>NaC</w:t>
            </w:r>
            <w:proofErr w:type="spellEnd"/>
            <w:r>
              <w:rPr>
                <w:rFonts w:ascii="Verdana" w:hAnsi="Verdana"/>
                <w:noProof/>
                <w:color w:val="3C3C3C"/>
                <w:sz w:val="19"/>
                <w:szCs w:val="19"/>
              </w:rPr>
              <w:drawing>
                <wp:inline distT="0" distB="0" distL="0" distR="0">
                  <wp:extent cx="121920" cy="223520"/>
                  <wp:effectExtent l="25400" t="0" r="5080" b="0"/>
                  <wp:docPr id="3" name="Picture 3" descr="http://www.econcordia.com/courses/chemistry_lives/_lib/lesson_images/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concordia.com/courses/chemistry_lives/_lib/lesson_images/symbol.jpg"/>
                          <pic:cNvPicPr>
                            <a:picLocks noChangeAspect="1" noChangeArrowheads="1"/>
                          </pic:cNvPicPr>
                        </pic:nvPicPr>
                        <pic:blipFill>
                          <a:blip r:embed="rId6"/>
                          <a:srcRect/>
                          <a:stretch>
                            <a:fillRect/>
                          </a:stretch>
                        </pic:blipFill>
                        <pic:spPr bwMode="auto">
                          <a:xfrm>
                            <a:off x="0" y="0"/>
                            <a:ext cx="121920" cy="223520"/>
                          </a:xfrm>
                          <a:prstGeom prst="rect">
                            <a:avLst/>
                          </a:prstGeom>
                          <a:noFill/>
                          <a:ln w="9525">
                            <a:noFill/>
                            <a:miter lim="800000"/>
                            <a:headEnd/>
                            <a:tailEnd/>
                          </a:ln>
                        </pic:spPr>
                      </pic:pic>
                    </a:graphicData>
                  </a:graphic>
                </wp:inline>
              </w:drawing>
            </w:r>
            <w:r w:rsidRPr="00BC1E0F">
              <w:rPr>
                <w:rFonts w:ascii="Verdana" w:hAnsi="Verdana"/>
                <w:color w:val="3C3C3C"/>
                <w:sz w:val="19"/>
                <w:szCs w:val="19"/>
              </w:rPr>
              <w:t>(table salt) a compound, consists of Na</w:t>
            </w:r>
            <w:r w:rsidRPr="00BC1E0F">
              <w:rPr>
                <w:rFonts w:ascii="Verdana" w:hAnsi="Verdana"/>
                <w:color w:val="3C3C3C"/>
                <w:sz w:val="19"/>
                <w:szCs w:val="19"/>
                <w:vertAlign w:val="superscript"/>
              </w:rPr>
              <w:t>+</w:t>
            </w:r>
            <w:r w:rsidRPr="00BC1E0F">
              <w:rPr>
                <w:rFonts w:ascii="Verdana" w:hAnsi="Verdana"/>
                <w:color w:val="3C3C3C"/>
                <w:sz w:val="19"/>
                <w:szCs w:val="19"/>
              </w:rPr>
              <w:t>(</w:t>
            </w:r>
            <w:proofErr w:type="spellStart"/>
            <w:r w:rsidRPr="00BC1E0F">
              <w:rPr>
                <w:rFonts w:ascii="Verdana" w:hAnsi="Verdana"/>
                <w:color w:val="3C3C3C"/>
                <w:sz w:val="19"/>
                <w:szCs w:val="19"/>
              </w:rPr>
              <w:t>cation</w:t>
            </w:r>
            <w:proofErr w:type="spellEnd"/>
            <w:r w:rsidRPr="00BC1E0F">
              <w:rPr>
                <w:rFonts w:ascii="Verdana" w:hAnsi="Verdana"/>
                <w:color w:val="3C3C3C"/>
                <w:sz w:val="19"/>
                <w:szCs w:val="19"/>
              </w:rPr>
              <w:t>) &amp; C</w:t>
            </w:r>
            <w:r>
              <w:rPr>
                <w:rFonts w:ascii="Verdana" w:hAnsi="Verdana"/>
                <w:noProof/>
                <w:color w:val="3C3C3C"/>
                <w:sz w:val="19"/>
                <w:szCs w:val="19"/>
              </w:rPr>
              <w:drawing>
                <wp:inline distT="0" distB="0" distL="0" distR="0">
                  <wp:extent cx="121920" cy="223520"/>
                  <wp:effectExtent l="25400" t="0" r="5080" b="0"/>
                  <wp:docPr id="4" name="Picture 4" descr="http://www.econcordia.com/courses/chemistry_lives/_lib/lesson_images/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econcordia.com/courses/chemistry_lives/_lib/lesson_images/symbol.jpg"/>
                          <pic:cNvPicPr>
                            <a:picLocks noChangeAspect="1" noChangeArrowheads="1"/>
                          </pic:cNvPicPr>
                        </pic:nvPicPr>
                        <pic:blipFill>
                          <a:blip r:embed="rId6"/>
                          <a:srcRect/>
                          <a:stretch>
                            <a:fillRect/>
                          </a:stretch>
                        </pic:blipFill>
                        <pic:spPr bwMode="auto">
                          <a:xfrm>
                            <a:off x="0" y="0"/>
                            <a:ext cx="121920" cy="223520"/>
                          </a:xfrm>
                          <a:prstGeom prst="rect">
                            <a:avLst/>
                          </a:prstGeom>
                          <a:noFill/>
                          <a:ln w="9525">
                            <a:noFill/>
                            <a:miter lim="800000"/>
                            <a:headEnd/>
                            <a:tailEnd/>
                          </a:ln>
                        </pic:spPr>
                      </pic:pic>
                    </a:graphicData>
                  </a:graphic>
                </wp:inline>
              </w:drawing>
            </w:r>
            <w:r w:rsidRPr="00BC1E0F">
              <w:rPr>
                <w:rFonts w:ascii="Verdana" w:hAnsi="Verdana"/>
                <w:color w:val="3C3C3C"/>
                <w:sz w:val="19"/>
                <w:szCs w:val="19"/>
                <w:vertAlign w:val="superscript"/>
              </w:rPr>
              <w:t>-</w:t>
            </w:r>
            <w:r w:rsidRPr="00BC1E0F">
              <w:rPr>
                <w:rFonts w:ascii="Verdana" w:hAnsi="Verdana"/>
                <w:color w:val="3C3C3C"/>
                <w:sz w:val="19"/>
              </w:rPr>
              <w:t> </w:t>
            </w:r>
            <w:r w:rsidRPr="00BC1E0F">
              <w:rPr>
                <w:rFonts w:ascii="Verdana" w:hAnsi="Verdana"/>
                <w:color w:val="3C3C3C"/>
                <w:sz w:val="19"/>
                <w:szCs w:val="19"/>
              </w:rPr>
              <w:t>(anion) ions.</w:t>
            </w:r>
          </w:p>
        </w:tc>
      </w:tr>
    </w:tbl>
    <w:p w:rsidR="00933FEC" w:rsidRPr="00933FEC" w:rsidRDefault="00933FEC" w:rsidP="00933FEC">
      <w:pPr>
        <w:rPr>
          <w:rFonts w:ascii="Times" w:eastAsiaTheme="minorEastAsia" w:hAnsi="Times"/>
          <w:sz w:val="20"/>
          <w:szCs w:val="20"/>
        </w:rPr>
      </w:pPr>
      <w:r>
        <w:rPr>
          <w:rFonts w:ascii="Times" w:eastAsiaTheme="minorEastAsia" w:hAnsi="Times"/>
          <w:noProof/>
          <w:sz w:val="20"/>
          <w:szCs w:val="20"/>
        </w:rPr>
        <w:drawing>
          <wp:inline distT="0" distB="0" distL="0" distR="0">
            <wp:extent cx="3060292" cy="1661160"/>
            <wp:effectExtent l="25400" t="0" r="0" b="0"/>
            <wp:docPr id="5" name="Picture 1" descr="tomic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mic symbol"/>
                    <pic:cNvPicPr>
                      <a:picLocks noChangeAspect="1" noChangeArrowheads="1"/>
                    </pic:cNvPicPr>
                  </pic:nvPicPr>
                  <pic:blipFill>
                    <a:blip r:embed="rId7"/>
                    <a:srcRect/>
                    <a:stretch>
                      <a:fillRect/>
                    </a:stretch>
                  </pic:blipFill>
                  <pic:spPr bwMode="auto">
                    <a:xfrm>
                      <a:off x="0" y="0"/>
                      <a:ext cx="3060292" cy="1661160"/>
                    </a:xfrm>
                    <a:prstGeom prst="rect">
                      <a:avLst/>
                    </a:prstGeom>
                    <a:noFill/>
                    <a:ln w="9525">
                      <a:noFill/>
                      <a:miter lim="800000"/>
                      <a:headEnd/>
                      <a:tailEnd/>
                    </a:ln>
                  </pic:spPr>
                </pic:pic>
              </a:graphicData>
            </a:graphic>
          </wp:inline>
        </w:drawing>
      </w:r>
    </w:p>
    <w:p w:rsidR="00D4442C" w:rsidRPr="00BC1E0F" w:rsidRDefault="00D4442C" w:rsidP="00455FAA"/>
    <w:sectPr w:rsidR="00D4442C" w:rsidRPr="00BC1E0F" w:rsidSect="00D4442C">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Verdana">
    <w:panose1 w:val="020B0604030504040204"/>
    <w:charset w:val="00"/>
    <w:family w:val="auto"/>
    <w:pitch w:val="variable"/>
    <w:sig w:usb0="00000003" w:usb1="00000000" w:usb2="00000000" w:usb3="00000000" w:csb0="00000001" w:csb1="00000000"/>
  </w:font>
  <w:font w:name="Wingdings 3">
    <w:panose1 w:val="05040102010807070707"/>
    <w:charset w:val="02"/>
    <w:family w:val="auto"/>
    <w:pitch w:val="variable"/>
    <w:sig w:usb0="00000000" w:usb1="00000000" w:usb2="0001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F947BB"/>
    <w:multiLevelType w:val="hybridMultilevel"/>
    <w:tmpl w:val="0478C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EC712A"/>
    <w:multiLevelType w:val="multilevel"/>
    <w:tmpl w:val="3D4042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2AB05DB"/>
    <w:multiLevelType w:val="hybridMultilevel"/>
    <w:tmpl w:val="8662F070"/>
    <w:lvl w:ilvl="0" w:tplc="D4FC69B6">
      <w:start w:val="3"/>
      <w:numFmt w:val="bullet"/>
      <w:lvlText w:val="-"/>
      <w:lvlJc w:val="left"/>
      <w:pPr>
        <w:ind w:left="1080" w:hanging="360"/>
      </w:pPr>
      <w:rPr>
        <w:rFonts w:ascii="Cambria" w:eastAsiaTheme="minorHAnsi" w:hAnsi="Cambria" w:cstheme="minorBidi" w:hint="default"/>
        <w:i/>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7073DEB"/>
    <w:multiLevelType w:val="multilevel"/>
    <w:tmpl w:val="30162A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AFC18A6"/>
    <w:multiLevelType w:val="hybridMultilevel"/>
    <w:tmpl w:val="9CBA2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933CC7"/>
    <w:multiLevelType w:val="multilevel"/>
    <w:tmpl w:val="B8B22F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60B5395"/>
    <w:multiLevelType w:val="multilevel"/>
    <w:tmpl w:val="6A3048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E4F61B2"/>
    <w:multiLevelType w:val="hybridMultilevel"/>
    <w:tmpl w:val="326A5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7"/>
  </w:num>
  <w:num w:numId="5">
    <w:abstractNumId w:val="1"/>
  </w:num>
  <w:num w:numId="6">
    <w:abstractNumId w:val="3"/>
  </w:num>
  <w:num w:numId="7">
    <w:abstractNumId w:val="6"/>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F7F78"/>
    <w:rsid w:val="001356CD"/>
    <w:rsid w:val="001B2FFA"/>
    <w:rsid w:val="002B7C2A"/>
    <w:rsid w:val="003A02B1"/>
    <w:rsid w:val="00455FAA"/>
    <w:rsid w:val="00557868"/>
    <w:rsid w:val="00590391"/>
    <w:rsid w:val="005D5369"/>
    <w:rsid w:val="00616E2A"/>
    <w:rsid w:val="008354DF"/>
    <w:rsid w:val="00865A46"/>
    <w:rsid w:val="008918F6"/>
    <w:rsid w:val="00933FEC"/>
    <w:rsid w:val="00A55BA9"/>
    <w:rsid w:val="00BC1E0F"/>
    <w:rsid w:val="00BF7F78"/>
    <w:rsid w:val="00D4442C"/>
    <w:rsid w:val="00DE72D6"/>
    <w:rsid w:val="00EB7C81"/>
    <w:rsid w:val="00F147E8"/>
    <w:rsid w:val="00F22ACB"/>
  </w:rsids>
  <m:mathPr>
    <m:mathFont m:val="Hypatia Sans Pro"/>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0C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EB7C81"/>
    <w:pPr>
      <w:ind w:left="720"/>
      <w:contextualSpacing/>
    </w:pPr>
  </w:style>
  <w:style w:type="character" w:styleId="Strong">
    <w:name w:val="Strong"/>
    <w:basedOn w:val="DefaultParagraphFont"/>
    <w:uiPriority w:val="22"/>
    <w:rsid w:val="00BC1E0F"/>
    <w:rPr>
      <w:b/>
    </w:rPr>
  </w:style>
  <w:style w:type="character" w:customStyle="1" w:styleId="apple-converted-space">
    <w:name w:val="apple-converted-space"/>
    <w:basedOn w:val="DefaultParagraphFont"/>
    <w:rsid w:val="00BC1E0F"/>
  </w:style>
</w:styles>
</file>

<file path=word/webSettings.xml><?xml version="1.0" encoding="utf-8"?>
<w:webSettings xmlns:r="http://schemas.openxmlformats.org/officeDocument/2006/relationships" xmlns:w="http://schemas.openxmlformats.org/wordprocessingml/2006/main">
  <w:divs>
    <w:div w:id="1718551923">
      <w:bodyDiv w:val="1"/>
      <w:marLeft w:val="0"/>
      <w:marRight w:val="0"/>
      <w:marTop w:val="0"/>
      <w:marBottom w:val="0"/>
      <w:divBdr>
        <w:top w:val="none" w:sz="0" w:space="0" w:color="auto"/>
        <w:left w:val="none" w:sz="0" w:space="0" w:color="auto"/>
        <w:bottom w:val="none" w:sz="0" w:space="0" w:color="auto"/>
        <w:right w:val="none" w:sz="0" w:space="0" w:color="auto"/>
      </w:divBdr>
    </w:div>
    <w:div w:id="18125508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3</Pages>
  <Words>666</Words>
  <Characters>3798</Characters>
  <Application>Microsoft Macintosh Word</Application>
  <DocSecurity>0</DocSecurity>
  <Lines>31</Lines>
  <Paragraphs>7</Paragraphs>
  <ScaleCrop>false</ScaleCrop>
  <LinksUpToDate>false</LinksUpToDate>
  <CharactersWithSpaces>4664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McQuaid</dc:creator>
  <cp:keywords/>
  <cp:lastModifiedBy>Lucy McQuaid</cp:lastModifiedBy>
  <cp:revision>11</cp:revision>
  <dcterms:created xsi:type="dcterms:W3CDTF">2013-01-28T23:03:00Z</dcterms:created>
  <dcterms:modified xsi:type="dcterms:W3CDTF">2013-03-06T20:44:00Z</dcterms:modified>
</cp:coreProperties>
</file>