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109" w:rsidRDefault="006D3109">
      <w:pPr>
        <w:pStyle w:val="NoteLevel1"/>
        <w:rPr>
          <w:color w:val="943634" w:themeColor="accent2" w:themeShade="BF"/>
        </w:rPr>
      </w:pPr>
      <w:r>
        <w:rPr>
          <w:color w:val="943634" w:themeColor="accent2" w:themeShade="BF"/>
        </w:rPr>
        <w:t>Focus on the following Slideshows</w:t>
      </w:r>
    </w:p>
    <w:p w:rsidR="006D3109" w:rsidRPr="000334EC" w:rsidRDefault="00163FFD" w:rsidP="006D3109">
      <w:pPr>
        <w:pStyle w:val="NoteLevel1"/>
        <w:rPr>
          <w:b/>
          <w:bCs/>
          <w:color w:val="943634" w:themeColor="accent2" w:themeShade="BF"/>
          <w:u w:val="single"/>
        </w:rPr>
      </w:pPr>
      <w:r w:rsidRPr="006D3109">
        <w:rPr>
          <w:color w:val="943634" w:themeColor="accent2" w:themeShade="BF"/>
        </w:rPr>
        <w:t xml:space="preserve">1. </w:t>
      </w:r>
      <w:r w:rsidR="006D3109" w:rsidRPr="006D3109">
        <w:rPr>
          <w:bCs/>
          <w:color w:val="943634" w:themeColor="accent2" w:themeShade="BF"/>
        </w:rPr>
        <w:t xml:space="preserve">International Financial Institutions </w:t>
      </w:r>
      <w:r w:rsidR="006D3109">
        <w:rPr>
          <w:bCs/>
          <w:color w:val="943634" w:themeColor="accent2" w:themeShade="BF"/>
        </w:rPr>
        <w:t>and Globalization-</w:t>
      </w:r>
      <w:r w:rsidR="006D3109" w:rsidRPr="006D3109">
        <w:rPr>
          <w:bCs/>
          <w:color w:val="943634" w:themeColor="accent2" w:themeShade="BF"/>
        </w:rPr>
        <w:t>January 28</w:t>
      </w:r>
      <w:r w:rsidR="006D3109" w:rsidRPr="000334EC">
        <w:rPr>
          <w:bCs/>
          <w:color w:val="943634" w:themeColor="accent2" w:themeShade="BF"/>
          <w:vertAlign w:val="superscript"/>
        </w:rPr>
        <w:t>th</w:t>
      </w:r>
      <w:r w:rsidR="000334EC">
        <w:rPr>
          <w:bCs/>
          <w:color w:val="943634" w:themeColor="accent2" w:themeShade="BF"/>
        </w:rPr>
        <w:t xml:space="preserve"> </w:t>
      </w:r>
      <w:r w:rsidR="000334EC" w:rsidRPr="000334EC">
        <w:rPr>
          <w:b/>
          <w:bCs/>
          <w:color w:val="943634" w:themeColor="accent2" w:themeShade="BF"/>
          <w:u w:val="single"/>
        </w:rPr>
        <w:t xml:space="preserve">(lecture </w:t>
      </w:r>
      <w:proofErr w:type="spellStart"/>
      <w:r w:rsidR="000334EC" w:rsidRPr="000334EC">
        <w:rPr>
          <w:b/>
          <w:bCs/>
          <w:color w:val="943634" w:themeColor="accent2" w:themeShade="BF"/>
          <w:u w:val="single"/>
        </w:rPr>
        <w:t>Imf</w:t>
      </w:r>
      <w:proofErr w:type="spellEnd"/>
      <w:r w:rsidR="000334EC" w:rsidRPr="000334EC">
        <w:rPr>
          <w:b/>
          <w:bCs/>
          <w:color w:val="943634" w:themeColor="accent2" w:themeShade="BF"/>
          <w:u w:val="single"/>
        </w:rPr>
        <w:t>)</w:t>
      </w:r>
    </w:p>
    <w:p w:rsidR="00DE5880" w:rsidRPr="0033637B" w:rsidRDefault="00DE5880">
      <w:pPr>
        <w:pStyle w:val="NoteLevel1"/>
        <w:rPr>
          <w:color w:val="943634" w:themeColor="accent2" w:themeShade="BF"/>
        </w:rPr>
      </w:pPr>
    </w:p>
    <w:p w:rsidR="006D3109" w:rsidRPr="006D3109" w:rsidRDefault="00163FFD" w:rsidP="006D3109">
      <w:pPr>
        <w:pStyle w:val="NoteLevel1"/>
        <w:rPr>
          <w:b/>
          <w:bCs/>
          <w:color w:val="943634" w:themeColor="accent2" w:themeShade="BF"/>
          <w:u w:val="single"/>
        </w:rPr>
      </w:pPr>
      <w:r w:rsidRPr="006D3109">
        <w:rPr>
          <w:color w:val="943634" w:themeColor="accent2" w:themeShade="BF"/>
        </w:rPr>
        <w:t xml:space="preserve">2. </w:t>
      </w:r>
      <w:r w:rsidR="006D3109" w:rsidRPr="006D3109">
        <w:rPr>
          <w:bCs/>
          <w:color w:val="943634" w:themeColor="accent2" w:themeShade="BF"/>
        </w:rPr>
        <w:t>The human rights perspective February 28</w:t>
      </w:r>
      <w:r w:rsidR="006D3109" w:rsidRPr="006D3109">
        <w:rPr>
          <w:bCs/>
          <w:color w:val="943634" w:themeColor="accent2" w:themeShade="BF"/>
          <w:vertAlign w:val="superscript"/>
        </w:rPr>
        <w:t>th</w:t>
      </w:r>
      <w:r w:rsidR="006D3109">
        <w:rPr>
          <w:b/>
          <w:bCs/>
          <w:color w:val="943634" w:themeColor="accent2" w:themeShade="BF"/>
          <w:u w:val="single"/>
        </w:rPr>
        <w:t xml:space="preserve"> </w:t>
      </w:r>
      <w:r w:rsidR="000334EC">
        <w:rPr>
          <w:b/>
          <w:bCs/>
          <w:color w:val="943634" w:themeColor="accent2" w:themeShade="BF"/>
          <w:u w:val="single"/>
        </w:rPr>
        <w:t xml:space="preserve">(In Outsourcing slide: globalization of dark side) </w:t>
      </w:r>
    </w:p>
    <w:p w:rsidR="006D3109" w:rsidRPr="006D3109" w:rsidRDefault="006D3109" w:rsidP="006D3109">
      <w:pPr>
        <w:pStyle w:val="NoteLevel1"/>
        <w:rPr>
          <w:b/>
          <w:bCs/>
          <w:color w:val="943634" w:themeColor="accent2" w:themeShade="BF"/>
        </w:rPr>
      </w:pPr>
    </w:p>
    <w:p w:rsidR="006D3109" w:rsidRPr="006D3109" w:rsidRDefault="00163FFD" w:rsidP="006D3109">
      <w:pPr>
        <w:pStyle w:val="NoteLevel1"/>
        <w:rPr>
          <w:b/>
          <w:bCs/>
          <w:color w:val="943634" w:themeColor="accent2" w:themeShade="BF"/>
        </w:rPr>
      </w:pPr>
      <w:r w:rsidRPr="006D3109">
        <w:rPr>
          <w:color w:val="943634" w:themeColor="accent2" w:themeShade="BF"/>
        </w:rPr>
        <w:t>3.</w:t>
      </w:r>
      <w:r w:rsidR="006D3109" w:rsidRPr="006D3109">
        <w:rPr>
          <w:b/>
          <w:bCs/>
          <w:color w:val="000000"/>
          <w:sz w:val="22"/>
          <w:szCs w:val="22"/>
        </w:rPr>
        <w:t xml:space="preserve"> </w:t>
      </w:r>
      <w:r w:rsidR="006D3109" w:rsidRPr="006D3109">
        <w:rPr>
          <w:bCs/>
          <w:color w:val="943634" w:themeColor="accent2" w:themeShade="BF"/>
        </w:rPr>
        <w:t>Reaction from the Periphery: Terrorism and Security in the Era of Globalization March 7</w:t>
      </w:r>
      <w:r w:rsidR="006D3109" w:rsidRPr="006D3109">
        <w:rPr>
          <w:bCs/>
          <w:color w:val="943634" w:themeColor="accent2" w:themeShade="BF"/>
          <w:vertAlign w:val="superscript"/>
        </w:rPr>
        <w:t>th</w:t>
      </w:r>
      <w:r w:rsidR="006D3109">
        <w:rPr>
          <w:b/>
          <w:bCs/>
          <w:color w:val="943634" w:themeColor="accent2" w:themeShade="BF"/>
        </w:rPr>
        <w:t xml:space="preserve"> </w:t>
      </w:r>
      <w:r w:rsidR="006B066B">
        <w:rPr>
          <w:b/>
          <w:bCs/>
          <w:color w:val="943634" w:themeColor="accent2" w:themeShade="BF"/>
        </w:rPr>
        <w:t>(can’t find)</w:t>
      </w:r>
      <w:bookmarkStart w:id="0" w:name="_GoBack"/>
      <w:bookmarkEnd w:id="0"/>
    </w:p>
    <w:p w:rsidR="0033637B" w:rsidRPr="006D3109" w:rsidRDefault="0033637B" w:rsidP="006D3109">
      <w:pPr>
        <w:pStyle w:val="NoteLevel1"/>
        <w:rPr>
          <w:color w:val="943634" w:themeColor="accent2" w:themeShade="BF"/>
        </w:rPr>
      </w:pPr>
    </w:p>
    <w:p w:rsidR="006D3109" w:rsidRDefault="0033637B" w:rsidP="006D3109">
      <w:pPr>
        <w:pStyle w:val="NoteLevel2"/>
        <w:numPr>
          <w:ilvl w:val="0"/>
          <w:numId w:val="0"/>
        </w:numPr>
        <w:ind w:left="720"/>
        <w:rPr>
          <w:b/>
        </w:rPr>
      </w:pPr>
      <w:proofErr w:type="gramStart"/>
      <w:r w:rsidRPr="006D3109">
        <w:rPr>
          <w:b/>
        </w:rPr>
        <w:t>no</w:t>
      </w:r>
      <w:proofErr w:type="gramEnd"/>
      <w:r w:rsidRPr="006D3109">
        <w:rPr>
          <w:b/>
        </w:rPr>
        <w:t xml:space="preserve"> dates, names, geography, time fram</w:t>
      </w:r>
      <w:r w:rsidR="006D3109" w:rsidRPr="006D3109">
        <w:rPr>
          <w:b/>
        </w:rPr>
        <w:t>e</w:t>
      </w:r>
      <w:r w:rsidRPr="006D3109">
        <w:rPr>
          <w:b/>
        </w:rPr>
        <w:t xml:space="preserve">, </w:t>
      </w:r>
    </w:p>
    <w:p w:rsidR="0033637B" w:rsidRPr="006D3109" w:rsidRDefault="0033637B" w:rsidP="006D3109">
      <w:pPr>
        <w:pStyle w:val="NoteLevel2"/>
        <w:numPr>
          <w:ilvl w:val="0"/>
          <w:numId w:val="0"/>
        </w:numPr>
        <w:ind w:left="720"/>
        <w:rPr>
          <w:b/>
        </w:rPr>
      </w:pPr>
      <w:proofErr w:type="gramStart"/>
      <w:r w:rsidRPr="006D3109">
        <w:rPr>
          <w:b/>
        </w:rPr>
        <w:t>just</w:t>
      </w:r>
      <w:proofErr w:type="gramEnd"/>
      <w:r w:rsidRPr="006D3109">
        <w:rPr>
          <w:b/>
        </w:rPr>
        <w:t xml:space="preserve"> core ideas, main concepts, buzzwords</w:t>
      </w:r>
    </w:p>
    <w:p w:rsidR="0033637B" w:rsidRPr="0033637B" w:rsidRDefault="0033637B" w:rsidP="0033637B">
      <w:pPr>
        <w:pStyle w:val="NoteLevel1"/>
        <w:numPr>
          <w:ilvl w:val="0"/>
          <w:numId w:val="0"/>
        </w:numPr>
        <w:rPr>
          <w:color w:val="943634" w:themeColor="accent2" w:themeShade="BF"/>
        </w:rPr>
      </w:pPr>
    </w:p>
    <w:p w:rsidR="0033637B" w:rsidRPr="0033637B" w:rsidRDefault="0033637B" w:rsidP="0033637B">
      <w:pPr>
        <w:pStyle w:val="NoteLevel1"/>
        <w:rPr>
          <w:b/>
          <w:color w:val="1F497D" w:themeColor="text2"/>
        </w:rPr>
      </w:pPr>
    </w:p>
    <w:p w:rsidR="0033637B" w:rsidRPr="0033637B" w:rsidRDefault="006D3109" w:rsidP="006D3109">
      <w:pPr>
        <w:pStyle w:val="NoteLevel1"/>
        <w:numPr>
          <w:ilvl w:val="0"/>
          <w:numId w:val="0"/>
        </w:numPr>
        <w:rPr>
          <w:color w:val="1F497D" w:themeColor="text2"/>
        </w:rPr>
      </w:pPr>
      <w:r>
        <w:rPr>
          <w:color w:val="1F497D" w:themeColor="text2"/>
        </w:rPr>
        <w:t>Focus on</w:t>
      </w:r>
      <w:r w:rsidR="0033637B">
        <w:rPr>
          <w:color w:val="1F497D" w:themeColor="text2"/>
        </w:rPr>
        <w:t xml:space="preserve"> </w:t>
      </w:r>
      <w:r>
        <w:rPr>
          <w:color w:val="1F497D" w:themeColor="text2"/>
        </w:rPr>
        <w:t>Readings</w:t>
      </w:r>
    </w:p>
    <w:p w:rsidR="00986FC3" w:rsidRDefault="00986FC3" w:rsidP="00986FC3">
      <w:pPr>
        <w:pStyle w:val="NoteLevel1"/>
        <w:rPr>
          <w:bCs/>
          <w:color w:val="1F497D" w:themeColor="text2"/>
        </w:rPr>
      </w:pPr>
    </w:p>
    <w:p w:rsidR="00986FC3" w:rsidRPr="00986FC3" w:rsidRDefault="00986FC3" w:rsidP="00986FC3">
      <w:pPr>
        <w:pStyle w:val="NoteLevel1"/>
        <w:rPr>
          <w:bCs/>
          <w:color w:val="1F497D" w:themeColor="text2"/>
        </w:rPr>
      </w:pPr>
      <w:r w:rsidRPr="00986FC3">
        <w:rPr>
          <w:bCs/>
          <w:color w:val="1F497D" w:themeColor="text2"/>
        </w:rPr>
        <w:t xml:space="preserve">George </w:t>
      </w:r>
      <w:proofErr w:type="spellStart"/>
      <w:r w:rsidRPr="00986FC3">
        <w:rPr>
          <w:bCs/>
          <w:color w:val="1F497D" w:themeColor="text2"/>
        </w:rPr>
        <w:t>Ritzer</w:t>
      </w:r>
      <w:proofErr w:type="spellEnd"/>
      <w:r w:rsidRPr="00986FC3">
        <w:rPr>
          <w:bCs/>
          <w:color w:val="1F497D" w:themeColor="text2"/>
        </w:rPr>
        <w:t xml:space="preserve">, “Structuring the Global Economy” </w:t>
      </w:r>
      <w:proofErr w:type="gramStart"/>
      <w:r w:rsidRPr="00986FC3">
        <w:rPr>
          <w:bCs/>
          <w:color w:val="1F497D" w:themeColor="text2"/>
        </w:rPr>
        <w:t>in  G</w:t>
      </w:r>
      <w:r w:rsidRPr="00986FC3">
        <w:rPr>
          <w:bCs/>
          <w:i/>
          <w:color w:val="1F497D" w:themeColor="text2"/>
        </w:rPr>
        <w:t>lobalization</w:t>
      </w:r>
      <w:proofErr w:type="gramEnd"/>
      <w:r w:rsidRPr="00986FC3">
        <w:rPr>
          <w:bCs/>
          <w:i/>
          <w:color w:val="1F497D" w:themeColor="text2"/>
        </w:rPr>
        <w:t xml:space="preserve"> a Basic Text, </w:t>
      </w:r>
      <w:r w:rsidRPr="00986FC3">
        <w:rPr>
          <w:bCs/>
          <w:color w:val="1F497D" w:themeColor="text2"/>
        </w:rPr>
        <w:t xml:space="preserve">Wiley-Blackwell, 2010, p. 171-203. </w:t>
      </w:r>
    </w:p>
    <w:p w:rsidR="0033637B" w:rsidRPr="0033637B" w:rsidRDefault="0033637B" w:rsidP="00986FC3">
      <w:pPr>
        <w:pStyle w:val="NoteLevel1"/>
        <w:rPr>
          <w:b/>
          <w:color w:val="943634" w:themeColor="accent2" w:themeShade="BF"/>
        </w:rPr>
      </w:pPr>
    </w:p>
    <w:p w:rsidR="0033637B" w:rsidRPr="00986FC3" w:rsidRDefault="00986FC3" w:rsidP="0033637B">
      <w:pPr>
        <w:pStyle w:val="NoteLevel1"/>
        <w:rPr>
          <w:b/>
          <w:color w:val="943634" w:themeColor="accent2" w:themeShade="BF"/>
        </w:rPr>
      </w:pPr>
      <w:proofErr w:type="spellStart"/>
      <w:r>
        <w:rPr>
          <w:color w:val="1F497D" w:themeColor="text2"/>
        </w:rPr>
        <w:t>Dani</w:t>
      </w:r>
      <w:proofErr w:type="spellEnd"/>
      <w:r>
        <w:rPr>
          <w:color w:val="1F497D" w:themeColor="text2"/>
        </w:rPr>
        <w:t xml:space="preserve"> </w:t>
      </w:r>
      <w:proofErr w:type="spellStart"/>
      <w:r>
        <w:rPr>
          <w:color w:val="1F497D" w:themeColor="text2"/>
        </w:rPr>
        <w:t>Rodrik</w:t>
      </w:r>
      <w:proofErr w:type="spellEnd"/>
      <w:r>
        <w:rPr>
          <w:color w:val="1F497D" w:themeColor="text2"/>
        </w:rPr>
        <w:t>, “The New Rules of Global Economy”, Project Syndicate January 10, 2011</w:t>
      </w:r>
    </w:p>
    <w:p w:rsidR="00986FC3" w:rsidRPr="0033637B" w:rsidRDefault="00986FC3" w:rsidP="0033637B">
      <w:pPr>
        <w:pStyle w:val="NoteLevel1"/>
        <w:rPr>
          <w:b/>
          <w:color w:val="943634" w:themeColor="accent2" w:themeShade="BF"/>
        </w:rPr>
      </w:pPr>
    </w:p>
    <w:p w:rsidR="0033637B" w:rsidRPr="00986FC3" w:rsidRDefault="0033637B" w:rsidP="0033637B">
      <w:pPr>
        <w:pStyle w:val="NoteLevel1"/>
        <w:rPr>
          <w:b/>
          <w:color w:val="943634" w:themeColor="accent2" w:themeShade="BF"/>
        </w:rPr>
      </w:pPr>
      <w:r>
        <w:rPr>
          <w:color w:val="1F497D" w:themeColor="text2"/>
        </w:rPr>
        <w:t xml:space="preserve">Alan </w:t>
      </w:r>
      <w:proofErr w:type="spellStart"/>
      <w:r>
        <w:rPr>
          <w:color w:val="1F497D" w:themeColor="text2"/>
        </w:rPr>
        <w:t>S</w:t>
      </w:r>
      <w:r w:rsidR="00986FC3">
        <w:rPr>
          <w:color w:val="1F497D" w:themeColor="text2"/>
        </w:rPr>
        <w:t>.Blinder</w:t>
      </w:r>
      <w:proofErr w:type="spellEnd"/>
      <w:r w:rsidR="00986FC3">
        <w:rPr>
          <w:color w:val="1F497D" w:themeColor="text2"/>
        </w:rPr>
        <w:t>, “offshoring: The New I</w:t>
      </w:r>
      <w:r>
        <w:rPr>
          <w:color w:val="1F497D" w:themeColor="text2"/>
        </w:rPr>
        <w:t>ndustrial Revolution?”</w:t>
      </w:r>
      <w:r w:rsidR="00986FC3">
        <w:rPr>
          <w:color w:val="1F497D" w:themeColor="text2"/>
        </w:rPr>
        <w:t xml:space="preserve"> in International Organization: Quo Vadis? Pearson, 2010, p. 250</w:t>
      </w:r>
    </w:p>
    <w:p w:rsidR="00986FC3" w:rsidRDefault="00986FC3" w:rsidP="00986FC3">
      <w:pPr>
        <w:pStyle w:val="NoteLevel2"/>
        <w:rPr>
          <w:b/>
          <w:color w:val="1F497D" w:themeColor="text2"/>
        </w:rPr>
      </w:pPr>
      <w:r w:rsidRPr="00986FC3">
        <w:rPr>
          <w:b/>
          <w:color w:val="1F497D" w:themeColor="text2"/>
        </w:rPr>
        <w:t xml:space="preserve">John </w:t>
      </w:r>
      <w:proofErr w:type="spellStart"/>
      <w:r w:rsidRPr="00986FC3">
        <w:rPr>
          <w:b/>
          <w:color w:val="1F497D" w:themeColor="text2"/>
        </w:rPr>
        <w:t>Centry</w:t>
      </w:r>
      <w:proofErr w:type="spellEnd"/>
      <w:r w:rsidRPr="00986FC3">
        <w:rPr>
          <w:b/>
          <w:color w:val="1F497D" w:themeColor="text2"/>
        </w:rPr>
        <w:t xml:space="preserve">, “The Cancer of Human Rights,” </w:t>
      </w:r>
      <w:proofErr w:type="spellStart"/>
      <w:r w:rsidRPr="00986FC3">
        <w:rPr>
          <w:b/>
          <w:color w:val="1F497D" w:themeColor="text2"/>
        </w:rPr>
        <w:t>G.Scott</w:t>
      </w:r>
      <w:proofErr w:type="spellEnd"/>
      <w:r w:rsidRPr="00986FC3">
        <w:rPr>
          <w:b/>
          <w:color w:val="1F497D" w:themeColor="text2"/>
        </w:rPr>
        <w:t xml:space="preserve">, R. Jones, Jr. L. </w:t>
      </w:r>
      <w:proofErr w:type="spellStart"/>
      <w:r w:rsidRPr="00986FC3">
        <w:rPr>
          <w:b/>
          <w:color w:val="1F497D" w:themeColor="text2"/>
        </w:rPr>
        <w:t>Furmanski</w:t>
      </w:r>
      <w:proofErr w:type="spellEnd"/>
      <w:r w:rsidRPr="00986FC3">
        <w:rPr>
          <w:b/>
          <w:color w:val="1F497D" w:themeColor="text2"/>
        </w:rPr>
        <w:t xml:space="preserve"> (eds.)</w:t>
      </w:r>
      <w:r w:rsidRPr="00986FC3">
        <w:rPr>
          <w:b/>
          <w:i/>
          <w:iCs/>
          <w:color w:val="1F497D" w:themeColor="text2"/>
        </w:rPr>
        <w:t xml:space="preserve"> 21 Debated Issues in World Politics</w:t>
      </w:r>
      <w:r w:rsidRPr="00986FC3">
        <w:rPr>
          <w:b/>
          <w:color w:val="1F497D" w:themeColor="text2"/>
        </w:rPr>
        <w:t xml:space="preserve">, Pearson Prentice Hall, New Jersey, 2004. p.184-200. </w:t>
      </w:r>
    </w:p>
    <w:p w:rsidR="00986FC3" w:rsidRPr="00986FC3" w:rsidRDefault="00986FC3" w:rsidP="00986FC3">
      <w:pPr>
        <w:pStyle w:val="NoteLevel2"/>
        <w:rPr>
          <w:b/>
          <w:color w:val="1F497D" w:themeColor="text2"/>
        </w:rPr>
      </w:pPr>
      <w:r w:rsidRPr="00986FC3">
        <w:rPr>
          <w:b/>
          <w:color w:val="1F497D" w:themeColor="text2"/>
        </w:rPr>
        <w:t xml:space="preserve">Kevin Bales, “The New Slavery,” </w:t>
      </w:r>
      <w:r w:rsidRPr="00986FC3">
        <w:rPr>
          <w:b/>
          <w:i/>
          <w:iCs/>
          <w:color w:val="1F497D" w:themeColor="text2"/>
        </w:rPr>
        <w:t>Disposable People, New Slavery in the Global Economy</w:t>
      </w:r>
      <w:r w:rsidRPr="00986FC3">
        <w:rPr>
          <w:b/>
          <w:color w:val="1F497D" w:themeColor="text2"/>
        </w:rPr>
        <w:t xml:space="preserve">, University of California Press, Berkley 1999.p. 1-33, Thailand “Because She looks like a child”, p. 35-79. </w:t>
      </w:r>
    </w:p>
    <w:p w:rsidR="00986FC3" w:rsidRPr="00986FC3" w:rsidRDefault="00986FC3" w:rsidP="00986FC3">
      <w:pPr>
        <w:pStyle w:val="NoteLevel1"/>
        <w:rPr>
          <w:b/>
          <w:color w:val="1F497D" w:themeColor="text2"/>
        </w:rPr>
      </w:pPr>
    </w:p>
    <w:p w:rsidR="009906C1" w:rsidRPr="009906C1" w:rsidRDefault="009906C1" w:rsidP="009906C1">
      <w:pPr>
        <w:pStyle w:val="NoteLevel1"/>
        <w:rPr>
          <w:b/>
          <w:color w:val="943634" w:themeColor="accent2" w:themeShade="BF"/>
        </w:rPr>
      </w:pPr>
    </w:p>
    <w:p w:rsidR="009906C1" w:rsidRPr="009906C1" w:rsidRDefault="009906C1" w:rsidP="009906C1">
      <w:pPr>
        <w:pStyle w:val="NoteLevel1"/>
        <w:rPr>
          <w:color w:val="1F497D" w:themeColor="text2"/>
        </w:rPr>
      </w:pPr>
      <w:r w:rsidRPr="009906C1">
        <w:rPr>
          <w:color w:val="1F497D" w:themeColor="text2"/>
        </w:rPr>
        <w:t xml:space="preserve">Donald Snow, “Globalization and Terrorism,“ </w:t>
      </w:r>
      <w:r w:rsidRPr="009906C1">
        <w:rPr>
          <w:i/>
          <w:iCs/>
          <w:color w:val="1F497D" w:themeColor="text2"/>
        </w:rPr>
        <w:t>National Security for a New Era, Globalization and Geopolitics</w:t>
      </w:r>
      <w:r w:rsidRPr="009906C1">
        <w:rPr>
          <w:color w:val="1F497D" w:themeColor="text2"/>
        </w:rPr>
        <w:t xml:space="preserve">, Pearson, New York, 2004, p.341-350.  </w:t>
      </w:r>
    </w:p>
    <w:p w:rsidR="00986FC3" w:rsidRDefault="00986FC3" w:rsidP="00986FC3">
      <w:pPr>
        <w:pStyle w:val="NoteLevel1"/>
        <w:rPr>
          <w:b/>
          <w:color w:val="943634" w:themeColor="accent2" w:themeShade="BF"/>
        </w:rPr>
      </w:pPr>
    </w:p>
    <w:p w:rsidR="009906C1" w:rsidRPr="009906C1" w:rsidRDefault="009906C1" w:rsidP="009906C1">
      <w:pPr>
        <w:pStyle w:val="NoteLevel1"/>
        <w:rPr>
          <w:color w:val="1F497D" w:themeColor="text2"/>
        </w:rPr>
      </w:pPr>
      <w:r w:rsidRPr="009906C1">
        <w:rPr>
          <w:color w:val="1F497D" w:themeColor="text2"/>
        </w:rPr>
        <w:lastRenderedPageBreak/>
        <w:t xml:space="preserve">Eliot A. Cohen, “History and the Hyper-Power,” </w:t>
      </w:r>
      <w:r w:rsidRPr="009906C1">
        <w:rPr>
          <w:i/>
          <w:iCs/>
          <w:color w:val="1F497D" w:themeColor="text2"/>
        </w:rPr>
        <w:t>Foreign Affairs</w:t>
      </w:r>
      <w:r w:rsidRPr="009906C1">
        <w:rPr>
          <w:color w:val="1F497D" w:themeColor="text2"/>
        </w:rPr>
        <w:t>, July/ August 2004, p. 49-63</w:t>
      </w:r>
    </w:p>
    <w:p w:rsidR="009906C1" w:rsidRDefault="009906C1" w:rsidP="00986FC3">
      <w:pPr>
        <w:pStyle w:val="NoteLevel1"/>
        <w:rPr>
          <w:b/>
          <w:color w:val="943634" w:themeColor="accent2" w:themeShade="BF"/>
        </w:rPr>
      </w:pPr>
    </w:p>
    <w:p w:rsidR="009906C1" w:rsidRPr="009906C1" w:rsidRDefault="009906C1" w:rsidP="009906C1">
      <w:pPr>
        <w:pStyle w:val="NoteLevel1"/>
        <w:rPr>
          <w:color w:val="1F497D" w:themeColor="text2"/>
        </w:rPr>
      </w:pPr>
      <w:r w:rsidRPr="009906C1">
        <w:rPr>
          <w:color w:val="1F497D" w:themeColor="text2"/>
        </w:rPr>
        <w:t>Niall Ferguson, Hegemony or Empire?” Foreign Affairs.    September/October</w:t>
      </w:r>
      <w:proofErr w:type="gramStart"/>
      <w:r w:rsidRPr="009906C1">
        <w:rPr>
          <w:color w:val="1F497D" w:themeColor="text2"/>
        </w:rPr>
        <w:t>,2003</w:t>
      </w:r>
      <w:proofErr w:type="gramEnd"/>
      <w:r w:rsidRPr="009906C1">
        <w:rPr>
          <w:color w:val="1F497D" w:themeColor="text2"/>
        </w:rPr>
        <w:t xml:space="preserve"> </w:t>
      </w:r>
    </w:p>
    <w:p w:rsidR="009906C1" w:rsidRPr="009906C1" w:rsidRDefault="009906C1" w:rsidP="009906C1">
      <w:pPr>
        <w:pStyle w:val="NoteLevel1"/>
        <w:rPr>
          <w:color w:val="1F497D" w:themeColor="text2"/>
        </w:rPr>
      </w:pPr>
      <w:r w:rsidRPr="009906C1">
        <w:rPr>
          <w:color w:val="1F497D" w:themeColor="text2"/>
        </w:rPr>
        <w:t>http://www.foreignaffairs.com/articles/59200/niall-ferguson/hegemony-or-empire</w:t>
      </w:r>
      <w:proofErr w:type="gramStart"/>
      <w:r w:rsidRPr="009906C1">
        <w:rPr>
          <w:color w:val="1F497D" w:themeColor="text2"/>
        </w:rPr>
        <w:t>?page</w:t>
      </w:r>
      <w:proofErr w:type="gramEnd"/>
      <w:r w:rsidRPr="009906C1">
        <w:rPr>
          <w:color w:val="1F497D" w:themeColor="text2"/>
        </w:rPr>
        <w:t>=4</w:t>
      </w:r>
    </w:p>
    <w:p w:rsidR="009906C1" w:rsidRPr="00986FC3" w:rsidRDefault="009906C1" w:rsidP="00986FC3">
      <w:pPr>
        <w:pStyle w:val="NoteLevel1"/>
        <w:rPr>
          <w:b/>
          <w:color w:val="943634" w:themeColor="accent2" w:themeShade="BF"/>
        </w:rPr>
      </w:pPr>
    </w:p>
    <w:p w:rsidR="00986FC3" w:rsidRPr="00986FC3" w:rsidRDefault="00986FC3" w:rsidP="006D3109">
      <w:pPr>
        <w:pStyle w:val="NoteLevel1"/>
        <w:numPr>
          <w:ilvl w:val="0"/>
          <w:numId w:val="0"/>
        </w:numPr>
        <w:rPr>
          <w:b/>
          <w:color w:val="943634" w:themeColor="accent2" w:themeShade="BF"/>
        </w:rPr>
      </w:pPr>
    </w:p>
    <w:p w:rsidR="006D3109" w:rsidRDefault="006D3109" w:rsidP="0033637B">
      <w:pPr>
        <w:pStyle w:val="NoteLevel1"/>
        <w:rPr>
          <w:b/>
          <w:color w:val="943634" w:themeColor="accent2" w:themeShade="BF"/>
        </w:rPr>
      </w:pPr>
      <w:r>
        <w:rPr>
          <w:b/>
          <w:color w:val="943634" w:themeColor="accent2" w:themeShade="BF"/>
        </w:rPr>
        <w:t xml:space="preserve">*Madrid, Greece, France (Collapse of Left wing) No to outsourcing </w:t>
      </w:r>
    </w:p>
    <w:p w:rsidR="006D3109" w:rsidRDefault="006D3109" w:rsidP="0033637B">
      <w:pPr>
        <w:pStyle w:val="NoteLevel1"/>
        <w:rPr>
          <w:b/>
          <w:color w:val="943634" w:themeColor="accent2" w:themeShade="BF"/>
        </w:rPr>
      </w:pPr>
      <w:r>
        <w:rPr>
          <w:b/>
          <w:color w:val="943634" w:themeColor="accent2" w:themeShade="BF"/>
        </w:rPr>
        <w:t>If you’re an investor/if you’re a middle class citizen/its not good for you, you lose your job</w:t>
      </w:r>
      <w:proofErr w:type="gramStart"/>
      <w:r>
        <w:rPr>
          <w:b/>
          <w:color w:val="943634" w:themeColor="accent2" w:themeShade="BF"/>
        </w:rPr>
        <w:t>.*</w:t>
      </w:r>
      <w:proofErr w:type="gramEnd"/>
    </w:p>
    <w:p w:rsidR="006D3109" w:rsidRDefault="006D3109" w:rsidP="0033637B">
      <w:pPr>
        <w:pStyle w:val="NoteLevel1"/>
        <w:rPr>
          <w:b/>
          <w:color w:val="943634" w:themeColor="accent2" w:themeShade="BF"/>
        </w:rPr>
      </w:pPr>
    </w:p>
    <w:p w:rsidR="006D3109" w:rsidRPr="006D3109" w:rsidRDefault="006D3109" w:rsidP="006D3109">
      <w:pPr>
        <w:pStyle w:val="NoteLevel1"/>
        <w:rPr>
          <w:color w:val="1F497D" w:themeColor="text2"/>
        </w:rPr>
      </w:pPr>
      <w:r w:rsidRPr="006D3109">
        <w:rPr>
          <w:iCs/>
          <w:color w:val="1F497D" w:themeColor="text2"/>
        </w:rPr>
        <w:t>Francis Fukuyama, </w:t>
      </w:r>
      <w:r w:rsidRPr="006D3109">
        <w:rPr>
          <w:bCs/>
          <w:color w:val="1F497D" w:themeColor="text2"/>
        </w:rPr>
        <w:t xml:space="preserve">“The End of History?” in </w:t>
      </w:r>
      <w:r w:rsidRPr="006D3109">
        <w:rPr>
          <w:bCs/>
          <w:i/>
          <w:color w:val="1F497D" w:themeColor="text2"/>
        </w:rPr>
        <w:t>International Organizations: Quo Vadis?</w:t>
      </w:r>
      <w:r w:rsidRPr="006D3109">
        <w:rPr>
          <w:bCs/>
          <w:color w:val="1F497D" w:themeColor="text2"/>
        </w:rPr>
        <w:t xml:space="preserve"> </w:t>
      </w:r>
      <w:r w:rsidRPr="006D3109">
        <w:rPr>
          <w:color w:val="1F497D" w:themeColor="text2"/>
        </w:rPr>
        <w:t xml:space="preserve">Pearson, 2010, p. 7 </w:t>
      </w:r>
    </w:p>
    <w:p w:rsidR="00986FC3" w:rsidRPr="006D3109" w:rsidRDefault="006D3109" w:rsidP="0033637B">
      <w:pPr>
        <w:pStyle w:val="NoteLevel1"/>
        <w:rPr>
          <w:color w:val="1F497D" w:themeColor="text2"/>
        </w:rPr>
      </w:pPr>
      <w:r>
        <w:rPr>
          <w:b/>
          <w:color w:val="943634" w:themeColor="accent2" w:themeShade="BF"/>
        </w:rPr>
        <w:t xml:space="preserve"> </w:t>
      </w:r>
    </w:p>
    <w:p w:rsidR="006D3109" w:rsidRPr="006D3109" w:rsidRDefault="006D3109" w:rsidP="006D3109">
      <w:pPr>
        <w:pStyle w:val="NoteLevel1"/>
        <w:rPr>
          <w:bCs/>
          <w:color w:val="1F497D" w:themeColor="text2"/>
        </w:rPr>
      </w:pPr>
      <w:r w:rsidRPr="006D3109">
        <w:rPr>
          <w:bCs/>
          <w:color w:val="1F497D" w:themeColor="text2"/>
        </w:rPr>
        <w:t xml:space="preserve">George </w:t>
      </w:r>
      <w:proofErr w:type="spellStart"/>
      <w:r w:rsidRPr="006D3109">
        <w:rPr>
          <w:bCs/>
          <w:color w:val="1F497D" w:themeColor="text2"/>
        </w:rPr>
        <w:t>Ritzer</w:t>
      </w:r>
      <w:proofErr w:type="spellEnd"/>
      <w:r w:rsidRPr="006D3109">
        <w:rPr>
          <w:bCs/>
          <w:color w:val="1F497D" w:themeColor="text2"/>
        </w:rPr>
        <w:t xml:space="preserve">, “Globalization and Related Processes II, Americanization and Anti-Americanism” </w:t>
      </w:r>
      <w:proofErr w:type="gramStart"/>
      <w:r w:rsidRPr="006D3109">
        <w:rPr>
          <w:bCs/>
          <w:color w:val="1F497D" w:themeColor="text2"/>
        </w:rPr>
        <w:t xml:space="preserve">in  </w:t>
      </w:r>
      <w:r w:rsidRPr="006D3109">
        <w:rPr>
          <w:bCs/>
          <w:i/>
          <w:color w:val="1F497D" w:themeColor="text2"/>
        </w:rPr>
        <w:t>Globalization</w:t>
      </w:r>
      <w:proofErr w:type="gramEnd"/>
      <w:r w:rsidRPr="006D3109">
        <w:rPr>
          <w:bCs/>
          <w:i/>
          <w:color w:val="1F497D" w:themeColor="text2"/>
        </w:rPr>
        <w:t xml:space="preserve"> a Basic Text, </w:t>
      </w:r>
      <w:r w:rsidRPr="006D3109">
        <w:rPr>
          <w:bCs/>
          <w:color w:val="1F497D" w:themeColor="text2"/>
        </w:rPr>
        <w:t xml:space="preserve">Wiley-Blackwell, 2010, p. 85-105 </w:t>
      </w:r>
    </w:p>
    <w:p w:rsidR="006D3109" w:rsidRPr="0033637B" w:rsidRDefault="006D3109" w:rsidP="0033637B">
      <w:pPr>
        <w:pStyle w:val="NoteLevel1"/>
        <w:rPr>
          <w:b/>
          <w:color w:val="943634" w:themeColor="accent2" w:themeShade="BF"/>
        </w:rPr>
      </w:pPr>
    </w:p>
    <w:p w:rsidR="00DE5880" w:rsidRDefault="00DE5880">
      <w:pPr>
        <w:pStyle w:val="NoteLevel1"/>
        <w:sectPr w:rsidR="00DE5880" w:rsidSect="00DE588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E5880" w:rsidRDefault="00DE5880">
      <w:pPr>
        <w:pStyle w:val="NoteLevel1"/>
      </w:pPr>
    </w:p>
    <w:p w:rsidR="00DE5880" w:rsidRDefault="00DE5880">
      <w:pPr>
        <w:pStyle w:val="NoteLevel1"/>
        <w:sectPr w:rsidR="00DE5880" w:rsidSect="00DE588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EF0FA9" w:rsidRDefault="00EF0FA9">
      <w:pPr>
        <w:pStyle w:val="NoteLevel1"/>
      </w:pPr>
    </w:p>
    <w:sectPr w:rsidR="00EF0FA9" w:rsidSect="00DE588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4EC" w:rsidRDefault="000334EC" w:rsidP="00DE5880">
      <w:r>
        <w:separator/>
      </w:r>
    </w:p>
  </w:endnote>
  <w:endnote w:type="continuationSeparator" w:id="0">
    <w:p w:rsidR="000334EC" w:rsidRDefault="000334EC" w:rsidP="00DE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4EC" w:rsidRDefault="000334EC" w:rsidP="00DE5880">
      <w:r>
        <w:separator/>
      </w:r>
    </w:p>
  </w:footnote>
  <w:footnote w:type="continuationSeparator" w:id="0">
    <w:p w:rsidR="000334EC" w:rsidRDefault="000334EC" w:rsidP="00DE588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4EC" w:rsidRDefault="000334EC" w:rsidP="00DE58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POL1102 exam outline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2014-04-21 8:50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4EC" w:rsidRDefault="000334E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2014-04-21 8:50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4EC" w:rsidRDefault="000334E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2014-04-21 8:50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EEAE0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BA120D7"/>
    <w:multiLevelType w:val="hybridMultilevel"/>
    <w:tmpl w:val="525A9DBE"/>
    <w:lvl w:ilvl="0" w:tplc="45064FB2">
      <w:start w:val="1"/>
      <w:numFmt w:val="bullet"/>
      <w:lvlText w:val="•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E5880"/>
    <w:rsid w:val="000334EC"/>
    <w:rsid w:val="00163FFD"/>
    <w:rsid w:val="0033637B"/>
    <w:rsid w:val="006B066B"/>
    <w:rsid w:val="006D3109"/>
    <w:rsid w:val="00986FC3"/>
    <w:rsid w:val="009906C1"/>
    <w:rsid w:val="00DE5880"/>
    <w:rsid w:val="00EF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86DA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E588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E588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E588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E588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E588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E588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E588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E588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E588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E58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880"/>
  </w:style>
  <w:style w:type="paragraph" w:styleId="BodyText2">
    <w:name w:val="Body Text 2"/>
    <w:basedOn w:val="Normal"/>
    <w:link w:val="BodyText2Char"/>
    <w:uiPriority w:val="99"/>
    <w:semiHidden/>
    <w:unhideWhenUsed/>
    <w:rsid w:val="00986FC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86FC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E588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E588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E588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E588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E588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E588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E588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E588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E588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E58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880"/>
  </w:style>
  <w:style w:type="paragraph" w:styleId="BodyText2">
    <w:name w:val="Body Text 2"/>
    <w:basedOn w:val="Normal"/>
    <w:link w:val="BodyText2Char"/>
    <w:uiPriority w:val="99"/>
    <w:semiHidden/>
    <w:unhideWhenUsed/>
    <w:rsid w:val="00986FC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86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294</Words>
  <Characters>1679</Characters>
  <Application>Microsoft Macintosh Word</Application>
  <DocSecurity>0</DocSecurity>
  <Lines>13</Lines>
  <Paragraphs>3</Paragraphs>
  <ScaleCrop>false</ScaleCrop>
  <Company>Uottawa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Halima Abdisamed</dc:creator>
  <cp:keywords/>
  <dc:description/>
  <cp:lastModifiedBy>Halima Abdisamed</cp:lastModifiedBy>
  <cp:revision>1</cp:revision>
  <dcterms:created xsi:type="dcterms:W3CDTF">2014-04-22T00:50:00Z</dcterms:created>
  <dcterms:modified xsi:type="dcterms:W3CDTF">2014-04-22T02:53:00Z</dcterms:modified>
</cp:coreProperties>
</file>