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FEA" w:rsidRPr="00DE7BAB" w:rsidRDefault="007F643C" w:rsidP="007928B6">
      <w:pPr>
        <w:jc w:val="center"/>
        <w:rPr>
          <w:sz w:val="24"/>
          <w:szCs w:val="24"/>
        </w:rPr>
      </w:pPr>
      <w:r w:rsidRPr="00DE7BAB">
        <w:rPr>
          <w:sz w:val="24"/>
          <w:szCs w:val="24"/>
        </w:rPr>
        <w:t>Permeability of the red blood cell</w:t>
      </w:r>
    </w:p>
    <w:p w:rsidR="007F643C" w:rsidRPr="00DE7BAB" w:rsidRDefault="007F643C" w:rsidP="007928B6">
      <w:pPr>
        <w:jc w:val="center"/>
        <w:rPr>
          <w:sz w:val="24"/>
          <w:szCs w:val="24"/>
        </w:rPr>
      </w:pPr>
    </w:p>
    <w:p w:rsidR="007928B6" w:rsidRPr="00DE7BAB" w:rsidRDefault="007928B6" w:rsidP="007928B6">
      <w:pPr>
        <w:jc w:val="center"/>
        <w:rPr>
          <w:sz w:val="24"/>
          <w:szCs w:val="24"/>
        </w:rPr>
      </w:pPr>
    </w:p>
    <w:p w:rsidR="007928B6" w:rsidRPr="00DE7BAB" w:rsidRDefault="007928B6" w:rsidP="007928B6">
      <w:pPr>
        <w:jc w:val="center"/>
        <w:rPr>
          <w:sz w:val="24"/>
          <w:szCs w:val="24"/>
        </w:rPr>
      </w:pPr>
    </w:p>
    <w:p w:rsidR="007F643C" w:rsidRPr="00DE7BAB" w:rsidRDefault="007F643C" w:rsidP="007928B6">
      <w:pPr>
        <w:jc w:val="center"/>
        <w:rPr>
          <w:sz w:val="24"/>
          <w:szCs w:val="24"/>
        </w:rPr>
      </w:pPr>
      <w:r w:rsidRPr="00DE7BAB">
        <w:rPr>
          <w:sz w:val="24"/>
          <w:szCs w:val="24"/>
        </w:rPr>
        <w:t>Shehryar Faisal</w:t>
      </w:r>
    </w:p>
    <w:p w:rsidR="007F643C" w:rsidRPr="00DE7BAB" w:rsidRDefault="007F643C" w:rsidP="007928B6">
      <w:pPr>
        <w:jc w:val="center"/>
        <w:rPr>
          <w:sz w:val="24"/>
          <w:szCs w:val="24"/>
        </w:rPr>
      </w:pPr>
    </w:p>
    <w:p w:rsidR="007928B6" w:rsidRPr="00DE7BAB" w:rsidRDefault="007928B6" w:rsidP="007928B6">
      <w:pPr>
        <w:jc w:val="center"/>
        <w:rPr>
          <w:sz w:val="24"/>
          <w:szCs w:val="24"/>
        </w:rPr>
      </w:pPr>
    </w:p>
    <w:p w:rsidR="007928B6" w:rsidRPr="00DE7BAB" w:rsidRDefault="007928B6" w:rsidP="007928B6">
      <w:pPr>
        <w:jc w:val="center"/>
        <w:rPr>
          <w:sz w:val="24"/>
          <w:szCs w:val="24"/>
        </w:rPr>
      </w:pPr>
    </w:p>
    <w:p w:rsidR="007F643C" w:rsidRPr="00DE7BAB" w:rsidRDefault="007F643C" w:rsidP="007928B6">
      <w:pPr>
        <w:jc w:val="center"/>
        <w:rPr>
          <w:sz w:val="24"/>
          <w:szCs w:val="24"/>
        </w:rPr>
      </w:pPr>
      <w:r w:rsidRPr="00DE7BAB">
        <w:rPr>
          <w:sz w:val="24"/>
          <w:szCs w:val="24"/>
        </w:rPr>
        <w:t>BIO1140 A2</w:t>
      </w:r>
    </w:p>
    <w:p w:rsidR="007F643C" w:rsidRPr="00DE7BAB" w:rsidRDefault="007F643C" w:rsidP="007928B6">
      <w:pPr>
        <w:jc w:val="center"/>
        <w:rPr>
          <w:sz w:val="24"/>
          <w:szCs w:val="24"/>
        </w:rPr>
      </w:pPr>
    </w:p>
    <w:p w:rsidR="007928B6" w:rsidRPr="00DE7BAB" w:rsidRDefault="007928B6" w:rsidP="007928B6">
      <w:pPr>
        <w:jc w:val="center"/>
        <w:rPr>
          <w:sz w:val="24"/>
          <w:szCs w:val="24"/>
        </w:rPr>
      </w:pPr>
    </w:p>
    <w:p w:rsidR="007928B6" w:rsidRPr="00DE7BAB" w:rsidRDefault="007928B6" w:rsidP="007928B6">
      <w:pPr>
        <w:jc w:val="center"/>
        <w:rPr>
          <w:sz w:val="24"/>
          <w:szCs w:val="24"/>
        </w:rPr>
      </w:pPr>
    </w:p>
    <w:p w:rsidR="007928B6" w:rsidRPr="00DE7BAB" w:rsidRDefault="007928B6" w:rsidP="007928B6">
      <w:pPr>
        <w:jc w:val="center"/>
        <w:rPr>
          <w:sz w:val="24"/>
          <w:szCs w:val="24"/>
        </w:rPr>
      </w:pPr>
      <w:r w:rsidRPr="00DE7BAB">
        <w:rPr>
          <w:sz w:val="24"/>
          <w:szCs w:val="24"/>
        </w:rPr>
        <w:t>Demonstrator:</w:t>
      </w:r>
    </w:p>
    <w:p w:rsidR="007F643C" w:rsidRPr="00DE7BAB" w:rsidRDefault="007928B6" w:rsidP="007928B6">
      <w:pPr>
        <w:jc w:val="center"/>
        <w:rPr>
          <w:sz w:val="24"/>
          <w:szCs w:val="24"/>
        </w:rPr>
      </w:pPr>
      <w:r w:rsidRPr="00DE7BAB">
        <w:rPr>
          <w:sz w:val="24"/>
          <w:szCs w:val="24"/>
        </w:rPr>
        <w:t>Corey Godfrey</w:t>
      </w:r>
    </w:p>
    <w:p w:rsidR="007928B6" w:rsidRPr="00DE7BAB" w:rsidRDefault="007928B6" w:rsidP="007928B6">
      <w:pPr>
        <w:jc w:val="center"/>
        <w:rPr>
          <w:sz w:val="24"/>
          <w:szCs w:val="24"/>
        </w:rPr>
      </w:pPr>
    </w:p>
    <w:p w:rsidR="007928B6" w:rsidRPr="00DE7BAB" w:rsidRDefault="007928B6" w:rsidP="007928B6">
      <w:pPr>
        <w:jc w:val="center"/>
        <w:rPr>
          <w:sz w:val="24"/>
          <w:szCs w:val="24"/>
        </w:rPr>
      </w:pPr>
    </w:p>
    <w:p w:rsidR="007928B6" w:rsidRPr="00DE7BAB" w:rsidRDefault="007928B6" w:rsidP="007928B6">
      <w:pPr>
        <w:jc w:val="center"/>
        <w:rPr>
          <w:sz w:val="24"/>
          <w:szCs w:val="24"/>
        </w:rPr>
      </w:pPr>
    </w:p>
    <w:p w:rsidR="007928B6" w:rsidRPr="00DE7BAB" w:rsidRDefault="007928B6" w:rsidP="007928B6">
      <w:pPr>
        <w:jc w:val="center"/>
        <w:rPr>
          <w:sz w:val="24"/>
          <w:szCs w:val="24"/>
        </w:rPr>
      </w:pPr>
    </w:p>
    <w:p w:rsidR="007928B6" w:rsidRPr="00DE7BAB" w:rsidRDefault="007928B6" w:rsidP="007928B6">
      <w:pPr>
        <w:jc w:val="center"/>
        <w:rPr>
          <w:sz w:val="24"/>
          <w:szCs w:val="24"/>
        </w:rPr>
      </w:pPr>
      <w:r w:rsidRPr="00DE7BAB">
        <w:rPr>
          <w:sz w:val="24"/>
          <w:szCs w:val="24"/>
        </w:rPr>
        <w:t>February 3rd, 2014</w:t>
      </w:r>
    </w:p>
    <w:p w:rsidR="007928B6" w:rsidRPr="00DE7BAB" w:rsidRDefault="007928B6" w:rsidP="007928B6">
      <w:pPr>
        <w:jc w:val="center"/>
        <w:rPr>
          <w:sz w:val="24"/>
          <w:szCs w:val="24"/>
        </w:rPr>
      </w:pPr>
    </w:p>
    <w:p w:rsidR="007928B6" w:rsidRPr="00DE7BAB" w:rsidRDefault="007928B6" w:rsidP="007928B6">
      <w:pPr>
        <w:jc w:val="center"/>
        <w:rPr>
          <w:sz w:val="24"/>
          <w:szCs w:val="24"/>
        </w:rPr>
      </w:pPr>
    </w:p>
    <w:p w:rsidR="007928B6" w:rsidRPr="00DE7BAB" w:rsidRDefault="007928B6" w:rsidP="007928B6">
      <w:pPr>
        <w:jc w:val="center"/>
        <w:rPr>
          <w:sz w:val="24"/>
          <w:szCs w:val="24"/>
        </w:rPr>
      </w:pPr>
    </w:p>
    <w:p w:rsidR="007928B6" w:rsidRPr="00DE7BAB" w:rsidRDefault="007928B6" w:rsidP="007928B6">
      <w:pPr>
        <w:jc w:val="center"/>
        <w:rPr>
          <w:sz w:val="24"/>
          <w:szCs w:val="24"/>
        </w:rPr>
      </w:pPr>
      <w:r w:rsidRPr="00DE7BAB">
        <w:rPr>
          <w:sz w:val="24"/>
          <w:szCs w:val="24"/>
        </w:rPr>
        <w:t>Department of Biology</w:t>
      </w:r>
    </w:p>
    <w:p w:rsidR="007928B6" w:rsidRPr="00DE7BAB" w:rsidRDefault="007928B6" w:rsidP="007928B6">
      <w:pPr>
        <w:jc w:val="center"/>
        <w:rPr>
          <w:sz w:val="24"/>
          <w:szCs w:val="24"/>
        </w:rPr>
      </w:pPr>
      <w:r w:rsidRPr="00DE7BAB">
        <w:rPr>
          <w:sz w:val="24"/>
          <w:szCs w:val="24"/>
        </w:rPr>
        <w:t>University of Ottawa</w:t>
      </w:r>
    </w:p>
    <w:tbl>
      <w:tblPr>
        <w:tblpPr w:leftFromText="180" w:rightFromText="180" w:vertAnchor="page" w:horzAnchor="margin" w:tblpY="4401"/>
        <w:tblW w:w="9258" w:type="dxa"/>
        <w:tblLook w:val="04A0"/>
      </w:tblPr>
      <w:tblGrid>
        <w:gridCol w:w="1490"/>
        <w:gridCol w:w="1490"/>
        <w:gridCol w:w="1490"/>
        <w:gridCol w:w="1572"/>
        <w:gridCol w:w="1634"/>
        <w:gridCol w:w="1582"/>
      </w:tblGrid>
      <w:tr w:rsidR="00EC5B29" w:rsidRPr="007928B6" w:rsidTr="00EC5B29">
        <w:trPr>
          <w:trHeight w:val="471"/>
        </w:trPr>
        <w:tc>
          <w:tcPr>
            <w:tcW w:w="1490" w:type="dxa"/>
            <w:tcBorders>
              <w:top w:val="nil"/>
              <w:left w:val="nil"/>
              <w:bottom w:val="nil"/>
              <w:right w:val="nil"/>
            </w:tcBorders>
            <w:shd w:val="clear" w:color="auto" w:fill="auto"/>
            <w:noWrap/>
            <w:vAlign w:val="bottom"/>
            <w:hideMark/>
          </w:tcPr>
          <w:p w:rsidR="00EC5B29" w:rsidRDefault="00EC5B29" w:rsidP="00EC5B29">
            <w:pPr>
              <w:spacing w:after="0" w:line="360" w:lineRule="auto"/>
              <w:jc w:val="center"/>
              <w:rPr>
                <w:rFonts w:ascii="Calibri" w:eastAsia="Times New Roman" w:hAnsi="Calibri" w:cs="Times New Roman"/>
                <w:color w:val="000000"/>
                <w:sz w:val="24"/>
                <w:szCs w:val="24"/>
                <w:lang w:eastAsia="en-CA"/>
              </w:rPr>
            </w:pPr>
          </w:p>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Trial No.</w:t>
            </w:r>
          </w:p>
        </w:tc>
        <w:tc>
          <w:tcPr>
            <w:tcW w:w="1490"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DD H2O</w:t>
            </w:r>
          </w:p>
        </w:tc>
        <w:tc>
          <w:tcPr>
            <w:tcW w:w="1490"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Trit</w:t>
            </w:r>
            <w:r w:rsidR="00445454">
              <w:rPr>
                <w:rFonts w:ascii="Calibri" w:eastAsia="Times New Roman" w:hAnsi="Calibri" w:cs="Times New Roman"/>
                <w:color w:val="000000"/>
                <w:sz w:val="24"/>
                <w:szCs w:val="24"/>
                <w:lang w:eastAsia="en-CA"/>
              </w:rPr>
              <w:t>on</w:t>
            </w:r>
            <w:r w:rsidRPr="007928B6">
              <w:rPr>
                <w:rFonts w:ascii="Calibri" w:eastAsia="Times New Roman" w:hAnsi="Calibri" w:cs="Times New Roman"/>
                <w:color w:val="000000"/>
                <w:sz w:val="24"/>
                <w:szCs w:val="24"/>
                <w:lang w:eastAsia="en-CA"/>
              </w:rPr>
              <w:t xml:space="preserve"> X-100</w:t>
            </w:r>
          </w:p>
        </w:tc>
        <w:tc>
          <w:tcPr>
            <w:tcW w:w="1572" w:type="dxa"/>
            <w:tcBorders>
              <w:top w:val="nil"/>
              <w:left w:val="nil"/>
              <w:bottom w:val="nil"/>
              <w:right w:val="nil"/>
            </w:tcBorders>
            <w:shd w:val="clear" w:color="auto" w:fill="auto"/>
            <w:noWrap/>
            <w:vAlign w:val="bottom"/>
            <w:hideMark/>
          </w:tcPr>
          <w:p w:rsidR="00EC5B29" w:rsidRPr="007928B6" w:rsidRDefault="00E71A1F"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Ethanol</w:t>
            </w:r>
          </w:p>
        </w:tc>
        <w:tc>
          <w:tcPr>
            <w:tcW w:w="1634" w:type="dxa"/>
            <w:tcBorders>
              <w:top w:val="nil"/>
              <w:left w:val="nil"/>
              <w:bottom w:val="single" w:sz="4" w:space="0" w:color="auto"/>
              <w:right w:val="nil"/>
            </w:tcBorders>
            <w:shd w:val="clear" w:color="auto" w:fill="auto"/>
            <w:noWrap/>
            <w:vAlign w:val="bottom"/>
            <w:hideMark/>
          </w:tcPr>
          <w:p w:rsidR="00EC5B29" w:rsidRPr="007928B6" w:rsidRDefault="00E71A1F" w:rsidP="00E71A1F">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 xml:space="preserve">Thiourea </w:t>
            </w:r>
          </w:p>
        </w:tc>
        <w:tc>
          <w:tcPr>
            <w:tcW w:w="1582"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Dextrose</w:t>
            </w:r>
          </w:p>
        </w:tc>
      </w:tr>
      <w:tr w:rsidR="00EC5B29" w:rsidRPr="007928B6" w:rsidTr="00EC5B29">
        <w:trPr>
          <w:trHeight w:val="471"/>
        </w:trPr>
        <w:tc>
          <w:tcPr>
            <w:tcW w:w="1490" w:type="dxa"/>
            <w:tcBorders>
              <w:top w:val="single" w:sz="4" w:space="0" w:color="auto"/>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1</w:t>
            </w:r>
          </w:p>
        </w:tc>
        <w:tc>
          <w:tcPr>
            <w:tcW w:w="1490" w:type="dxa"/>
            <w:tcBorders>
              <w:top w:val="single" w:sz="4" w:space="0" w:color="auto"/>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&lt; 2 s</w:t>
            </w:r>
          </w:p>
        </w:tc>
        <w:tc>
          <w:tcPr>
            <w:tcW w:w="1490" w:type="dxa"/>
            <w:tcBorders>
              <w:top w:val="single" w:sz="4" w:space="0" w:color="auto"/>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&lt; 2 s</w:t>
            </w:r>
          </w:p>
        </w:tc>
        <w:tc>
          <w:tcPr>
            <w:tcW w:w="1572" w:type="dxa"/>
            <w:tcBorders>
              <w:top w:val="single" w:sz="4" w:space="0" w:color="auto"/>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&lt; 2 s</w:t>
            </w:r>
          </w:p>
        </w:tc>
        <w:tc>
          <w:tcPr>
            <w:tcW w:w="1634"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48.63</w:t>
            </w:r>
            <w:r>
              <w:rPr>
                <w:rFonts w:ascii="Calibri" w:eastAsia="Times New Roman" w:hAnsi="Calibri" w:cs="Times New Roman"/>
                <w:color w:val="000000"/>
                <w:sz w:val="24"/>
                <w:szCs w:val="24"/>
                <w:lang w:eastAsia="en-CA"/>
              </w:rPr>
              <w:t xml:space="preserve"> s</w:t>
            </w:r>
          </w:p>
        </w:tc>
        <w:tc>
          <w:tcPr>
            <w:tcW w:w="1582" w:type="dxa"/>
            <w:tcBorders>
              <w:top w:val="single" w:sz="4" w:space="0" w:color="auto"/>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DE7BAB">
              <w:rPr>
                <w:rFonts w:ascii="Calibri" w:eastAsia="Times New Roman" w:hAnsi="Calibri" w:cs="Times New Roman"/>
                <w:color w:val="000000"/>
                <w:sz w:val="24"/>
                <w:szCs w:val="24"/>
                <w:lang w:eastAsia="en-CA"/>
              </w:rPr>
              <w:t>&lt;</w:t>
            </w:r>
            <w:r>
              <w:rPr>
                <w:rFonts w:ascii="Calibri" w:eastAsia="Times New Roman" w:hAnsi="Calibri" w:cs="Times New Roman"/>
                <w:color w:val="000000"/>
                <w:sz w:val="24"/>
                <w:szCs w:val="24"/>
                <w:lang w:eastAsia="en-CA"/>
              </w:rPr>
              <w:t xml:space="preserve"> </w:t>
            </w:r>
            <w:r w:rsidRPr="007928B6">
              <w:rPr>
                <w:rFonts w:ascii="Calibri" w:eastAsia="Times New Roman" w:hAnsi="Calibri" w:cs="Times New Roman"/>
                <w:color w:val="000000"/>
                <w:sz w:val="24"/>
                <w:szCs w:val="24"/>
                <w:lang w:eastAsia="en-CA"/>
              </w:rPr>
              <w:t>1200</w:t>
            </w:r>
            <w:r>
              <w:rPr>
                <w:rFonts w:ascii="Calibri" w:eastAsia="Times New Roman" w:hAnsi="Calibri" w:cs="Times New Roman"/>
                <w:color w:val="000000"/>
                <w:sz w:val="24"/>
                <w:szCs w:val="24"/>
                <w:lang w:eastAsia="en-CA"/>
              </w:rPr>
              <w:t xml:space="preserve"> s</w:t>
            </w:r>
          </w:p>
        </w:tc>
      </w:tr>
      <w:tr w:rsidR="00EC5B29" w:rsidRPr="007928B6" w:rsidTr="00EC5B29">
        <w:trPr>
          <w:trHeight w:val="471"/>
        </w:trPr>
        <w:tc>
          <w:tcPr>
            <w:tcW w:w="1490"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2</w:t>
            </w:r>
          </w:p>
        </w:tc>
        <w:tc>
          <w:tcPr>
            <w:tcW w:w="1490"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&lt; 2 s</w:t>
            </w:r>
          </w:p>
        </w:tc>
        <w:tc>
          <w:tcPr>
            <w:tcW w:w="1490"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&lt; 2 s</w:t>
            </w:r>
          </w:p>
        </w:tc>
        <w:tc>
          <w:tcPr>
            <w:tcW w:w="1572"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&lt; 2 s</w:t>
            </w:r>
          </w:p>
        </w:tc>
        <w:tc>
          <w:tcPr>
            <w:tcW w:w="1634"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46.43</w:t>
            </w:r>
            <w:r>
              <w:rPr>
                <w:rFonts w:ascii="Calibri" w:eastAsia="Times New Roman" w:hAnsi="Calibri" w:cs="Times New Roman"/>
                <w:color w:val="000000"/>
                <w:sz w:val="24"/>
                <w:szCs w:val="24"/>
                <w:lang w:eastAsia="en-CA"/>
              </w:rPr>
              <w:t xml:space="preserve"> s</w:t>
            </w:r>
          </w:p>
        </w:tc>
        <w:tc>
          <w:tcPr>
            <w:tcW w:w="1582"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DE7BAB">
              <w:rPr>
                <w:rFonts w:ascii="Calibri" w:eastAsia="Times New Roman" w:hAnsi="Calibri" w:cs="Times New Roman"/>
                <w:color w:val="000000"/>
                <w:sz w:val="24"/>
                <w:szCs w:val="24"/>
                <w:lang w:eastAsia="en-CA"/>
              </w:rPr>
              <w:t>&lt;</w:t>
            </w:r>
            <w:r>
              <w:rPr>
                <w:rFonts w:ascii="Calibri" w:eastAsia="Times New Roman" w:hAnsi="Calibri" w:cs="Times New Roman"/>
                <w:color w:val="000000"/>
                <w:sz w:val="24"/>
                <w:szCs w:val="24"/>
                <w:lang w:eastAsia="en-CA"/>
              </w:rPr>
              <w:t xml:space="preserve"> </w:t>
            </w:r>
            <w:r w:rsidRPr="007928B6">
              <w:rPr>
                <w:rFonts w:ascii="Calibri" w:eastAsia="Times New Roman" w:hAnsi="Calibri" w:cs="Times New Roman"/>
                <w:color w:val="000000"/>
                <w:sz w:val="24"/>
                <w:szCs w:val="24"/>
                <w:lang w:eastAsia="en-CA"/>
              </w:rPr>
              <w:t>1200</w:t>
            </w:r>
            <w:r>
              <w:rPr>
                <w:rFonts w:ascii="Calibri" w:eastAsia="Times New Roman" w:hAnsi="Calibri" w:cs="Times New Roman"/>
                <w:color w:val="000000"/>
                <w:sz w:val="24"/>
                <w:szCs w:val="24"/>
                <w:lang w:eastAsia="en-CA"/>
              </w:rPr>
              <w:t xml:space="preserve"> s</w:t>
            </w:r>
          </w:p>
        </w:tc>
      </w:tr>
      <w:tr w:rsidR="00EC5B29" w:rsidRPr="007928B6" w:rsidTr="00EC5B29">
        <w:trPr>
          <w:trHeight w:val="471"/>
        </w:trPr>
        <w:tc>
          <w:tcPr>
            <w:tcW w:w="1490" w:type="dxa"/>
            <w:tcBorders>
              <w:top w:val="nil"/>
              <w:left w:val="nil"/>
              <w:bottom w:val="single" w:sz="4" w:space="0" w:color="auto"/>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3</w:t>
            </w:r>
          </w:p>
        </w:tc>
        <w:tc>
          <w:tcPr>
            <w:tcW w:w="1490" w:type="dxa"/>
            <w:tcBorders>
              <w:top w:val="nil"/>
              <w:left w:val="nil"/>
              <w:bottom w:val="single" w:sz="4" w:space="0" w:color="auto"/>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&lt; 2 s</w:t>
            </w:r>
          </w:p>
        </w:tc>
        <w:tc>
          <w:tcPr>
            <w:tcW w:w="1490" w:type="dxa"/>
            <w:tcBorders>
              <w:top w:val="nil"/>
              <w:left w:val="nil"/>
              <w:bottom w:val="single" w:sz="4" w:space="0" w:color="auto"/>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&lt; 2 s</w:t>
            </w:r>
          </w:p>
        </w:tc>
        <w:tc>
          <w:tcPr>
            <w:tcW w:w="1572" w:type="dxa"/>
            <w:tcBorders>
              <w:top w:val="nil"/>
              <w:left w:val="nil"/>
              <w:bottom w:val="single" w:sz="4" w:space="0" w:color="auto"/>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&lt; 2 s</w:t>
            </w:r>
          </w:p>
        </w:tc>
        <w:tc>
          <w:tcPr>
            <w:tcW w:w="1634" w:type="dxa"/>
            <w:tcBorders>
              <w:top w:val="nil"/>
              <w:left w:val="nil"/>
              <w:bottom w:val="single" w:sz="4" w:space="0" w:color="auto"/>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47.46</w:t>
            </w:r>
            <w:r>
              <w:rPr>
                <w:rFonts w:ascii="Calibri" w:eastAsia="Times New Roman" w:hAnsi="Calibri" w:cs="Times New Roman"/>
                <w:color w:val="000000"/>
                <w:sz w:val="24"/>
                <w:szCs w:val="24"/>
                <w:lang w:eastAsia="en-CA"/>
              </w:rPr>
              <w:t xml:space="preserve"> s</w:t>
            </w:r>
          </w:p>
        </w:tc>
        <w:tc>
          <w:tcPr>
            <w:tcW w:w="1582" w:type="dxa"/>
            <w:tcBorders>
              <w:top w:val="nil"/>
              <w:left w:val="nil"/>
              <w:bottom w:val="single" w:sz="4" w:space="0" w:color="auto"/>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DE7BAB">
              <w:rPr>
                <w:rFonts w:ascii="Calibri" w:eastAsia="Times New Roman" w:hAnsi="Calibri" w:cs="Times New Roman"/>
                <w:color w:val="000000"/>
                <w:sz w:val="24"/>
                <w:szCs w:val="24"/>
                <w:lang w:eastAsia="en-CA"/>
              </w:rPr>
              <w:t>&lt;</w:t>
            </w:r>
            <w:r>
              <w:rPr>
                <w:rFonts w:ascii="Calibri" w:eastAsia="Times New Roman" w:hAnsi="Calibri" w:cs="Times New Roman"/>
                <w:color w:val="000000"/>
                <w:sz w:val="24"/>
                <w:szCs w:val="24"/>
                <w:lang w:eastAsia="en-CA"/>
              </w:rPr>
              <w:t xml:space="preserve"> </w:t>
            </w:r>
            <w:r w:rsidRPr="007928B6">
              <w:rPr>
                <w:rFonts w:ascii="Calibri" w:eastAsia="Times New Roman" w:hAnsi="Calibri" w:cs="Times New Roman"/>
                <w:color w:val="000000"/>
                <w:sz w:val="24"/>
                <w:szCs w:val="24"/>
                <w:lang w:eastAsia="en-CA"/>
              </w:rPr>
              <w:t>1200</w:t>
            </w:r>
            <w:r>
              <w:rPr>
                <w:rFonts w:ascii="Calibri" w:eastAsia="Times New Roman" w:hAnsi="Calibri" w:cs="Times New Roman"/>
                <w:color w:val="000000"/>
                <w:sz w:val="24"/>
                <w:szCs w:val="24"/>
                <w:lang w:eastAsia="en-CA"/>
              </w:rPr>
              <w:t xml:space="preserve"> s</w:t>
            </w:r>
          </w:p>
        </w:tc>
      </w:tr>
      <w:tr w:rsidR="00EC5B29" w:rsidRPr="007928B6" w:rsidTr="00EC5B29">
        <w:trPr>
          <w:trHeight w:val="471"/>
        </w:trPr>
        <w:tc>
          <w:tcPr>
            <w:tcW w:w="1490" w:type="dxa"/>
            <w:tcBorders>
              <w:top w:val="single" w:sz="4" w:space="0" w:color="auto"/>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Mean</w:t>
            </w:r>
          </w:p>
        </w:tc>
        <w:tc>
          <w:tcPr>
            <w:tcW w:w="1490" w:type="dxa"/>
            <w:tcBorders>
              <w:top w:val="single" w:sz="4" w:space="0" w:color="auto"/>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2 s</w:t>
            </w:r>
          </w:p>
        </w:tc>
        <w:tc>
          <w:tcPr>
            <w:tcW w:w="1490" w:type="dxa"/>
            <w:tcBorders>
              <w:top w:val="single" w:sz="4" w:space="0" w:color="auto"/>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2 s</w:t>
            </w:r>
          </w:p>
        </w:tc>
        <w:tc>
          <w:tcPr>
            <w:tcW w:w="1572" w:type="dxa"/>
            <w:tcBorders>
              <w:top w:val="single" w:sz="4" w:space="0" w:color="auto"/>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2 s</w:t>
            </w:r>
          </w:p>
        </w:tc>
        <w:tc>
          <w:tcPr>
            <w:tcW w:w="1634" w:type="dxa"/>
            <w:tcBorders>
              <w:top w:val="single" w:sz="4" w:space="0" w:color="auto"/>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47.50667</w:t>
            </w:r>
            <w:r>
              <w:rPr>
                <w:rFonts w:ascii="Calibri" w:eastAsia="Times New Roman" w:hAnsi="Calibri" w:cs="Times New Roman"/>
                <w:color w:val="000000"/>
                <w:sz w:val="24"/>
                <w:szCs w:val="24"/>
                <w:lang w:eastAsia="en-CA"/>
              </w:rPr>
              <w:t xml:space="preserve"> s</w:t>
            </w:r>
          </w:p>
        </w:tc>
        <w:tc>
          <w:tcPr>
            <w:tcW w:w="1582" w:type="dxa"/>
            <w:tcBorders>
              <w:top w:val="single" w:sz="4" w:space="0" w:color="auto"/>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1200</w:t>
            </w:r>
            <w:r>
              <w:rPr>
                <w:rFonts w:ascii="Calibri" w:eastAsia="Times New Roman" w:hAnsi="Calibri" w:cs="Times New Roman"/>
                <w:color w:val="000000"/>
                <w:sz w:val="24"/>
                <w:szCs w:val="24"/>
                <w:lang w:eastAsia="en-CA"/>
              </w:rPr>
              <w:t xml:space="preserve"> s</w:t>
            </w:r>
          </w:p>
        </w:tc>
      </w:tr>
      <w:tr w:rsidR="00EC5B29" w:rsidRPr="007928B6" w:rsidTr="00EC5B29">
        <w:trPr>
          <w:trHeight w:val="471"/>
        </w:trPr>
        <w:tc>
          <w:tcPr>
            <w:tcW w:w="1490"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SD</w:t>
            </w:r>
            <w:r w:rsidRPr="00DE7BAB">
              <w:rPr>
                <w:rStyle w:val="FootnoteReference"/>
                <w:rFonts w:ascii="Calibri" w:eastAsia="Times New Roman" w:hAnsi="Calibri" w:cs="Times New Roman"/>
                <w:color w:val="000000"/>
                <w:sz w:val="24"/>
                <w:szCs w:val="24"/>
                <w:lang w:eastAsia="en-CA"/>
              </w:rPr>
              <w:footnoteReference w:id="2"/>
            </w:r>
          </w:p>
        </w:tc>
        <w:tc>
          <w:tcPr>
            <w:tcW w:w="1490"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0</w:t>
            </w:r>
          </w:p>
        </w:tc>
        <w:tc>
          <w:tcPr>
            <w:tcW w:w="1490"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0</w:t>
            </w:r>
          </w:p>
        </w:tc>
        <w:tc>
          <w:tcPr>
            <w:tcW w:w="1572"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0</w:t>
            </w:r>
          </w:p>
        </w:tc>
        <w:tc>
          <w:tcPr>
            <w:tcW w:w="1634"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1.100742</w:t>
            </w:r>
          </w:p>
        </w:tc>
        <w:tc>
          <w:tcPr>
            <w:tcW w:w="1582" w:type="dxa"/>
            <w:tcBorders>
              <w:top w:val="nil"/>
              <w:left w:val="nil"/>
              <w:bottom w:val="nil"/>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0</w:t>
            </w:r>
          </w:p>
        </w:tc>
      </w:tr>
      <w:tr w:rsidR="00EC5B29" w:rsidRPr="007928B6" w:rsidTr="00EC5B29">
        <w:trPr>
          <w:trHeight w:val="471"/>
        </w:trPr>
        <w:tc>
          <w:tcPr>
            <w:tcW w:w="1490" w:type="dxa"/>
            <w:tcBorders>
              <w:top w:val="nil"/>
              <w:left w:val="nil"/>
              <w:bottom w:val="single" w:sz="4" w:space="0" w:color="auto"/>
              <w:right w:val="nil"/>
            </w:tcBorders>
            <w:shd w:val="clear" w:color="auto" w:fill="auto"/>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SE</w:t>
            </w:r>
            <w:r w:rsidRPr="00DE7BAB">
              <w:rPr>
                <w:rStyle w:val="FootnoteReference"/>
                <w:rFonts w:ascii="Calibri" w:eastAsia="Times New Roman" w:hAnsi="Calibri" w:cs="Times New Roman"/>
                <w:color w:val="000000"/>
                <w:sz w:val="24"/>
                <w:szCs w:val="24"/>
                <w:lang w:eastAsia="en-CA"/>
              </w:rPr>
              <w:footnoteReference w:id="3"/>
            </w:r>
          </w:p>
        </w:tc>
        <w:tc>
          <w:tcPr>
            <w:tcW w:w="1490" w:type="dxa"/>
            <w:tcBorders>
              <w:top w:val="nil"/>
              <w:left w:val="nil"/>
              <w:bottom w:val="single" w:sz="4" w:space="0" w:color="auto"/>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0</w:t>
            </w:r>
          </w:p>
        </w:tc>
        <w:tc>
          <w:tcPr>
            <w:tcW w:w="1490" w:type="dxa"/>
            <w:tcBorders>
              <w:top w:val="nil"/>
              <w:left w:val="nil"/>
              <w:bottom w:val="single" w:sz="4" w:space="0" w:color="auto"/>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0</w:t>
            </w:r>
          </w:p>
        </w:tc>
        <w:tc>
          <w:tcPr>
            <w:tcW w:w="1572" w:type="dxa"/>
            <w:tcBorders>
              <w:top w:val="nil"/>
              <w:left w:val="nil"/>
              <w:bottom w:val="single" w:sz="4" w:space="0" w:color="auto"/>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0</w:t>
            </w:r>
          </w:p>
        </w:tc>
        <w:tc>
          <w:tcPr>
            <w:tcW w:w="1634" w:type="dxa"/>
            <w:tcBorders>
              <w:top w:val="nil"/>
              <w:left w:val="nil"/>
              <w:bottom w:val="single" w:sz="4" w:space="0" w:color="auto"/>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0.635514</w:t>
            </w:r>
          </w:p>
        </w:tc>
        <w:tc>
          <w:tcPr>
            <w:tcW w:w="1582" w:type="dxa"/>
            <w:tcBorders>
              <w:top w:val="nil"/>
              <w:left w:val="nil"/>
              <w:bottom w:val="single" w:sz="4" w:space="0" w:color="auto"/>
              <w:right w:val="nil"/>
            </w:tcBorders>
            <w:shd w:val="clear" w:color="auto" w:fill="auto"/>
            <w:noWrap/>
            <w:vAlign w:val="bottom"/>
            <w:hideMark/>
          </w:tcPr>
          <w:p w:rsidR="00EC5B29" w:rsidRPr="007928B6" w:rsidRDefault="00EC5B29" w:rsidP="00EC5B29">
            <w:pPr>
              <w:spacing w:after="0" w:line="360" w:lineRule="auto"/>
              <w:jc w:val="center"/>
              <w:rPr>
                <w:rFonts w:ascii="Calibri" w:eastAsia="Times New Roman" w:hAnsi="Calibri" w:cs="Times New Roman"/>
                <w:color w:val="000000"/>
                <w:sz w:val="24"/>
                <w:szCs w:val="24"/>
                <w:lang w:eastAsia="en-CA"/>
              </w:rPr>
            </w:pPr>
            <w:r w:rsidRPr="007928B6">
              <w:rPr>
                <w:rFonts w:ascii="Calibri" w:eastAsia="Times New Roman" w:hAnsi="Calibri" w:cs="Times New Roman"/>
                <w:color w:val="000000"/>
                <w:sz w:val="24"/>
                <w:szCs w:val="24"/>
                <w:lang w:eastAsia="en-CA"/>
              </w:rPr>
              <w:t>0</w:t>
            </w:r>
          </w:p>
        </w:tc>
      </w:tr>
    </w:tbl>
    <w:p w:rsidR="007928B6" w:rsidRPr="00DE7BAB" w:rsidRDefault="00EC5B29">
      <w:pPr>
        <w:rPr>
          <w:sz w:val="24"/>
          <w:szCs w:val="24"/>
        </w:rPr>
      </w:pPr>
      <w:r w:rsidRPr="00EC5B29">
        <w:rPr>
          <w:b/>
          <w:sz w:val="24"/>
          <w:szCs w:val="24"/>
        </w:rPr>
        <w:t>Table 1.</w:t>
      </w:r>
      <w:r w:rsidRPr="00DE7BAB">
        <w:rPr>
          <w:sz w:val="24"/>
          <w:szCs w:val="24"/>
        </w:rPr>
        <w:t xml:space="preserve"> Hemolysis time of sheep red blood cells in seconds, in the following solutions: distilled water, triton X-100 2%, 0.3M Thiourea, 0.3M Ethanol, and 0.3M Dextrose. Times shown as less than two seconds represent nearly instant hemolysis, and times presented as greater than 1200 seconds represent no hemolysis observed after 20 minutes. Hemolysis time was measured as the amount of time required for significant hemolysis to occur to cause the solution to become transparent enough to clearly see a blue line behind the test tube. </w:t>
      </w:r>
      <w:r>
        <w:rPr>
          <w:sz w:val="24"/>
          <w:szCs w:val="24"/>
        </w:rPr>
        <w:t>There were three trials conducted for each solvent, where a small drop was placed in all 15 of the samples to observe hemolysis time. n=5</w:t>
      </w:r>
    </w:p>
    <w:p w:rsidR="0013060A" w:rsidRDefault="0013060A" w:rsidP="002A689F">
      <w:pPr>
        <w:spacing w:line="360" w:lineRule="auto"/>
        <w:jc w:val="both"/>
        <w:rPr>
          <w:sz w:val="24"/>
          <w:szCs w:val="24"/>
        </w:rPr>
      </w:pPr>
    </w:p>
    <w:p w:rsidR="0013060A" w:rsidRDefault="0013060A" w:rsidP="0013060A">
      <w:pPr>
        <w:pStyle w:val="FootnoteText"/>
      </w:pPr>
      <w:r>
        <w:rPr>
          <w:rStyle w:val="FootnoteReference"/>
        </w:rPr>
        <w:footnoteRef/>
      </w:r>
      <w:r>
        <w:t xml:space="preserve"> SD stands for standard deviation</w:t>
      </w:r>
    </w:p>
    <w:p w:rsidR="0013060A" w:rsidRDefault="0013060A" w:rsidP="0013060A">
      <w:pPr>
        <w:pStyle w:val="FootnoteText"/>
      </w:pPr>
    </w:p>
    <w:p w:rsidR="0013060A" w:rsidRPr="0013060A" w:rsidRDefault="001C5647" w:rsidP="0013060A">
      <w:pPr>
        <w:rPr>
          <w:sz w:val="24"/>
          <w:szCs w:val="24"/>
        </w:rPr>
      </w:pPr>
      <w:r>
        <w:rPr>
          <w:rStyle w:val="FootnoteReference"/>
        </w:rPr>
        <w:t>2</w:t>
      </w:r>
      <w:r>
        <w:t xml:space="preserve"> </w:t>
      </w:r>
      <w:r w:rsidR="0013060A">
        <w:t>SE stands for standard error</w:t>
      </w:r>
    </w:p>
    <w:p w:rsidR="0013060A" w:rsidRPr="0013060A" w:rsidRDefault="0013060A" w:rsidP="0013060A">
      <w:pPr>
        <w:rPr>
          <w:sz w:val="24"/>
          <w:szCs w:val="24"/>
        </w:rPr>
      </w:pPr>
    </w:p>
    <w:p w:rsidR="0013060A" w:rsidRPr="0013060A" w:rsidRDefault="0013060A" w:rsidP="0013060A">
      <w:pPr>
        <w:rPr>
          <w:sz w:val="24"/>
          <w:szCs w:val="24"/>
        </w:rPr>
      </w:pPr>
    </w:p>
    <w:p w:rsidR="0013060A" w:rsidRPr="0013060A" w:rsidRDefault="0013060A" w:rsidP="0013060A">
      <w:pPr>
        <w:rPr>
          <w:sz w:val="24"/>
          <w:szCs w:val="24"/>
        </w:rPr>
      </w:pPr>
    </w:p>
    <w:p w:rsidR="0013060A" w:rsidRPr="0013060A" w:rsidRDefault="0013060A" w:rsidP="0013060A">
      <w:pPr>
        <w:rPr>
          <w:sz w:val="24"/>
          <w:szCs w:val="24"/>
        </w:rPr>
      </w:pPr>
    </w:p>
    <w:p w:rsidR="0013060A" w:rsidRPr="0013060A" w:rsidRDefault="0013060A" w:rsidP="0013060A">
      <w:pPr>
        <w:rPr>
          <w:sz w:val="24"/>
          <w:szCs w:val="24"/>
        </w:rPr>
      </w:pPr>
    </w:p>
    <w:p w:rsidR="007928B6" w:rsidRDefault="007928B6" w:rsidP="002A689F">
      <w:pPr>
        <w:spacing w:line="360" w:lineRule="auto"/>
        <w:jc w:val="both"/>
        <w:rPr>
          <w:sz w:val="24"/>
          <w:szCs w:val="24"/>
        </w:rPr>
      </w:pPr>
      <w:r w:rsidRPr="0013060A">
        <w:rPr>
          <w:sz w:val="24"/>
          <w:szCs w:val="24"/>
        </w:rPr>
        <w:br w:type="page"/>
      </w:r>
      <w:r w:rsidR="00404730" w:rsidRPr="00DE7BAB">
        <w:rPr>
          <w:sz w:val="24"/>
          <w:szCs w:val="24"/>
        </w:rPr>
        <w:lastRenderedPageBreak/>
        <w:t xml:space="preserve"> </w:t>
      </w:r>
      <w:r w:rsidR="00020B0B" w:rsidRPr="00DE7BAB">
        <w:rPr>
          <w:sz w:val="24"/>
          <w:szCs w:val="24"/>
        </w:rPr>
        <w:t xml:space="preserve">1. </w:t>
      </w:r>
      <w:r w:rsidR="00DE7BAB" w:rsidRPr="00DE7BAB">
        <w:rPr>
          <w:sz w:val="24"/>
          <w:szCs w:val="24"/>
        </w:rPr>
        <w:t xml:space="preserve">Many factors affect the diffusion of solutes tested in the permeability experiment across the </w:t>
      </w:r>
      <w:r w:rsidR="00DE7BAB">
        <w:rPr>
          <w:sz w:val="24"/>
          <w:szCs w:val="24"/>
        </w:rPr>
        <w:t xml:space="preserve">semi-permeable </w:t>
      </w:r>
      <w:r w:rsidR="00DE7BAB" w:rsidRPr="00DE7BAB">
        <w:rPr>
          <w:sz w:val="24"/>
          <w:szCs w:val="24"/>
        </w:rPr>
        <w:t xml:space="preserve">cell membrane. </w:t>
      </w:r>
      <w:r w:rsidR="00DE7BAB">
        <w:rPr>
          <w:sz w:val="24"/>
          <w:szCs w:val="24"/>
        </w:rPr>
        <w:t>These factors include size, polarity, and presence of channel proteins</w:t>
      </w:r>
      <w:r w:rsidR="00534306">
        <w:rPr>
          <w:sz w:val="24"/>
          <w:szCs w:val="24"/>
        </w:rPr>
        <w:t xml:space="preserve">. </w:t>
      </w:r>
    </w:p>
    <w:p w:rsidR="005351FB" w:rsidRDefault="00534306" w:rsidP="002A689F">
      <w:pPr>
        <w:spacing w:line="360" w:lineRule="auto"/>
        <w:jc w:val="both"/>
        <w:rPr>
          <w:sz w:val="24"/>
          <w:szCs w:val="24"/>
        </w:rPr>
      </w:pPr>
      <w:r>
        <w:rPr>
          <w:sz w:val="24"/>
          <w:szCs w:val="24"/>
        </w:rPr>
        <w:t>2. The size of the molecule affects how readily that molecule will diffuse across the cell membrane. Smaller molecules and ions can pass through the membrane more easily than larger molecules. Water is a very small molecule, which allows it to pass easily th</w:t>
      </w:r>
      <w:r w:rsidR="004A6BAB">
        <w:rPr>
          <w:sz w:val="24"/>
          <w:szCs w:val="24"/>
        </w:rPr>
        <w:t xml:space="preserve">rough the membrane. </w:t>
      </w:r>
      <w:r w:rsidR="00445454">
        <w:rPr>
          <w:sz w:val="24"/>
          <w:szCs w:val="24"/>
        </w:rPr>
        <w:t xml:space="preserve">Ethanol </w:t>
      </w:r>
      <w:r w:rsidR="00AF1B15">
        <w:rPr>
          <w:sz w:val="24"/>
          <w:szCs w:val="24"/>
        </w:rPr>
        <w:t>is also a relatively small molecule, and can thus easily move across the membrane.</w:t>
      </w:r>
      <w:r w:rsidR="00445454">
        <w:rPr>
          <w:sz w:val="24"/>
          <w:szCs w:val="24"/>
        </w:rPr>
        <w:t xml:space="preserve"> </w:t>
      </w:r>
    </w:p>
    <w:p w:rsidR="00445454" w:rsidRDefault="00AF1B15" w:rsidP="002A689F">
      <w:pPr>
        <w:spacing w:line="360" w:lineRule="auto"/>
        <w:jc w:val="both"/>
        <w:rPr>
          <w:sz w:val="24"/>
          <w:szCs w:val="24"/>
        </w:rPr>
      </w:pPr>
      <w:r>
        <w:rPr>
          <w:sz w:val="24"/>
          <w:szCs w:val="24"/>
        </w:rPr>
        <w:t xml:space="preserve">Triton is a large chain molecule, which prevents it from easily moving across the membrane, however results show it to be dissolving nearly instantaneously, and this is because of polarity. </w:t>
      </w:r>
      <w:r w:rsidR="005351FB">
        <w:rPr>
          <w:sz w:val="24"/>
          <w:szCs w:val="24"/>
        </w:rPr>
        <w:t>The membrane consists of a non polar hydrophobic inner region, and so any non-polar elements will have an easier time passing through this space than polar molecules.  The long chain part of Triton X-100 is non polar, which allows it to easily pass through the membrane, and it has a non polar head which allows it to dissolve in non polar solutes, and thus easily diffuse across the membrane.</w:t>
      </w:r>
    </w:p>
    <w:p w:rsidR="00445454" w:rsidRDefault="005351FB" w:rsidP="002A689F">
      <w:pPr>
        <w:spacing w:line="360" w:lineRule="auto"/>
        <w:jc w:val="both"/>
        <w:rPr>
          <w:sz w:val="24"/>
          <w:szCs w:val="24"/>
        </w:rPr>
      </w:pPr>
      <w:r>
        <w:rPr>
          <w:sz w:val="24"/>
          <w:szCs w:val="24"/>
        </w:rPr>
        <w:t xml:space="preserve">Thiourea is a large molecule, and is also polar. These attributes lead to poor transmission across the membrane. This is why the Thiourea was the second slowest to diffuse across the cell membrane and rupture the cell, due to its size and polarity. There may have been channel proteins involved in the transport of thiourea across the membrane, to allow for the relatively short time for hemolysis, even though the molecule has trouble dffusing across the membrane. </w:t>
      </w:r>
    </w:p>
    <w:p w:rsidR="007928B6" w:rsidRPr="00DE7BAB" w:rsidRDefault="002A689F" w:rsidP="005351FB">
      <w:pPr>
        <w:spacing w:line="360" w:lineRule="auto"/>
        <w:jc w:val="both"/>
        <w:rPr>
          <w:sz w:val="24"/>
          <w:szCs w:val="24"/>
        </w:rPr>
      </w:pPr>
      <w:r>
        <w:rPr>
          <w:sz w:val="24"/>
          <w:szCs w:val="24"/>
        </w:rPr>
        <w:t xml:space="preserve">The slowest rate of hemolysis was observed with Dextrose. Dextrose is a large substituted cyclohenaxe molecule, and similar to glucose, it requires transport proteins to be brought into the cell. The lack of hemolysis observed can be attributed to either no channels present, or very few channels which would become saturated very quickly due to the high concentrations of dextrose. This would result in little to no transport of dextrose within the red blood cell, attributing to the lack of results observed after a long period of time. </w:t>
      </w:r>
    </w:p>
    <w:p w:rsidR="007928B6" w:rsidRPr="00DE7BAB" w:rsidRDefault="007928B6" w:rsidP="00DE7BAB">
      <w:pPr>
        <w:spacing w:line="360" w:lineRule="auto"/>
        <w:jc w:val="center"/>
        <w:rPr>
          <w:sz w:val="24"/>
          <w:szCs w:val="24"/>
        </w:rPr>
      </w:pPr>
    </w:p>
    <w:sectPr w:rsidR="007928B6" w:rsidRPr="00DE7BAB" w:rsidSect="00872FEA">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5770" w:rsidRDefault="00435770" w:rsidP="00DE7BAB">
      <w:pPr>
        <w:spacing w:after="0" w:line="240" w:lineRule="auto"/>
      </w:pPr>
      <w:r>
        <w:separator/>
      </w:r>
    </w:p>
  </w:endnote>
  <w:endnote w:type="continuationSeparator" w:id="1">
    <w:p w:rsidR="00435770" w:rsidRDefault="00435770" w:rsidP="00DE7B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5770" w:rsidRDefault="00435770" w:rsidP="00DE7BAB">
      <w:pPr>
        <w:spacing w:after="0" w:line="240" w:lineRule="auto"/>
      </w:pPr>
      <w:r>
        <w:separator/>
      </w:r>
    </w:p>
  </w:footnote>
  <w:footnote w:type="continuationSeparator" w:id="1">
    <w:p w:rsidR="00435770" w:rsidRDefault="00435770" w:rsidP="00DE7BAB">
      <w:pPr>
        <w:spacing w:after="0" w:line="240" w:lineRule="auto"/>
      </w:pPr>
      <w:r>
        <w:continuationSeparator/>
      </w:r>
    </w:p>
  </w:footnote>
  <w:footnote w:id="2">
    <w:p w:rsidR="00EC5B29" w:rsidRDefault="00EC5B29" w:rsidP="00EC5B29">
      <w:pPr>
        <w:pStyle w:val="FootnoteText"/>
      </w:pPr>
    </w:p>
    <w:p w:rsidR="00EC5B29" w:rsidRDefault="00EC5B29" w:rsidP="00EC5B29">
      <w:pPr>
        <w:pStyle w:val="FootnoteText"/>
      </w:pPr>
    </w:p>
  </w:footnote>
  <w:footnote w:id="3">
    <w:p w:rsidR="00EC5B29" w:rsidRDefault="00EC5B29" w:rsidP="00EC5B29">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footnotePr>
    <w:footnote w:id="0"/>
    <w:footnote w:id="1"/>
  </w:footnotePr>
  <w:endnotePr>
    <w:endnote w:id="0"/>
    <w:endnote w:id="1"/>
  </w:endnotePr>
  <w:compat/>
  <w:rsids>
    <w:rsidRoot w:val="007F643C"/>
    <w:rsid w:val="00020B0B"/>
    <w:rsid w:val="0013060A"/>
    <w:rsid w:val="001C5647"/>
    <w:rsid w:val="002A689F"/>
    <w:rsid w:val="00404730"/>
    <w:rsid w:val="00435770"/>
    <w:rsid w:val="00445454"/>
    <w:rsid w:val="004A6BAB"/>
    <w:rsid w:val="00534306"/>
    <w:rsid w:val="005351FB"/>
    <w:rsid w:val="007928B6"/>
    <w:rsid w:val="007F643C"/>
    <w:rsid w:val="00872FEA"/>
    <w:rsid w:val="00AF1B15"/>
    <w:rsid w:val="00CA379D"/>
    <w:rsid w:val="00DE7BAB"/>
    <w:rsid w:val="00E71A1F"/>
    <w:rsid w:val="00E76888"/>
    <w:rsid w:val="00EC5B2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F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E7B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7BAB"/>
    <w:rPr>
      <w:sz w:val="20"/>
      <w:szCs w:val="20"/>
    </w:rPr>
  </w:style>
  <w:style w:type="character" w:styleId="FootnoteReference">
    <w:name w:val="footnote reference"/>
    <w:basedOn w:val="DefaultParagraphFont"/>
    <w:uiPriority w:val="99"/>
    <w:semiHidden/>
    <w:unhideWhenUsed/>
    <w:rsid w:val="00DE7BAB"/>
    <w:rPr>
      <w:vertAlign w:val="superscript"/>
    </w:rPr>
  </w:style>
  <w:style w:type="paragraph" w:styleId="Header">
    <w:name w:val="header"/>
    <w:basedOn w:val="Normal"/>
    <w:link w:val="HeaderChar"/>
    <w:uiPriority w:val="99"/>
    <w:semiHidden/>
    <w:unhideWhenUsed/>
    <w:rsid w:val="001C564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C5647"/>
  </w:style>
  <w:style w:type="paragraph" w:styleId="Footer">
    <w:name w:val="footer"/>
    <w:basedOn w:val="Normal"/>
    <w:link w:val="FooterChar"/>
    <w:uiPriority w:val="99"/>
    <w:semiHidden/>
    <w:unhideWhenUsed/>
    <w:rsid w:val="001C564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C5647"/>
  </w:style>
</w:styles>
</file>

<file path=word/webSettings.xml><?xml version="1.0" encoding="utf-8"?>
<w:webSettings xmlns:r="http://schemas.openxmlformats.org/officeDocument/2006/relationships" xmlns:w="http://schemas.openxmlformats.org/wordprocessingml/2006/main">
  <w:divs>
    <w:div w:id="145544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F39C3-3BF9-40E4-ACEF-961098A0F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Pages>
  <Words>497</Words>
  <Characters>2836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Shehryar Faisal</dc:creator>
  <cp:lastModifiedBy>Shehryar Faisal</cp:lastModifiedBy>
  <cp:revision>8</cp:revision>
  <dcterms:created xsi:type="dcterms:W3CDTF">2014-02-04T03:02:00Z</dcterms:created>
  <dcterms:modified xsi:type="dcterms:W3CDTF">2014-02-04T04:48:00Z</dcterms:modified>
</cp:coreProperties>
</file>