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684" w:rsidRDefault="00F53FB9" w:rsidP="00F53FB9">
      <w:pPr>
        <w:jc w:val="center"/>
        <w:rPr>
          <w:b/>
          <w:u w:val="single"/>
        </w:rPr>
      </w:pPr>
      <w:r>
        <w:rPr>
          <w:b/>
          <w:u w:val="single"/>
        </w:rPr>
        <w:t>CRM1300 – Roberts &amp; Grossman Ch. 2</w:t>
      </w:r>
    </w:p>
    <w:p w:rsidR="00F53FB9" w:rsidRDefault="00803F01" w:rsidP="00F53FB9">
      <w:pPr>
        <w:rPr>
          <w:u w:val="single"/>
        </w:rPr>
      </w:pPr>
      <w:r w:rsidRPr="00803F01">
        <w:rPr>
          <w:u w:val="single"/>
        </w:rPr>
        <w:t>Criminal Justice and the Canadian Charter of Rights and Freedoms</w:t>
      </w:r>
    </w:p>
    <w:p w:rsidR="00803F01" w:rsidRDefault="00803F01" w:rsidP="00803F01">
      <w:pPr>
        <w:pStyle w:val="ListParagraph"/>
        <w:numPr>
          <w:ilvl w:val="0"/>
          <w:numId w:val="1"/>
        </w:numPr>
      </w:pPr>
      <w:r w:rsidRPr="00803F01">
        <w:t xml:space="preserve">Courts make sure that all criminal laws adhere to </w:t>
      </w:r>
      <w:r>
        <w:t>the limitations set by the CCRF</w:t>
      </w:r>
    </w:p>
    <w:p w:rsidR="00803F01" w:rsidRDefault="007C258B" w:rsidP="00803F01">
      <w:pPr>
        <w:pStyle w:val="ListParagraph"/>
        <w:numPr>
          <w:ilvl w:val="0"/>
          <w:numId w:val="1"/>
        </w:numPr>
      </w:pPr>
      <w:r>
        <w:t>Prior to the Charter, the Bill of Rights was used, similar to England</w:t>
      </w:r>
    </w:p>
    <w:p w:rsidR="007C258B" w:rsidRDefault="007C258B" w:rsidP="00803F01">
      <w:pPr>
        <w:pStyle w:val="ListParagraph"/>
        <w:numPr>
          <w:ilvl w:val="0"/>
          <w:numId w:val="1"/>
        </w:numPr>
      </w:pPr>
      <w:r>
        <w:t>Charter provides instrument to address power imbalances between the State and an individual</w:t>
      </w:r>
    </w:p>
    <w:p w:rsidR="007C258B" w:rsidRDefault="007C258B" w:rsidP="007C258B">
      <w:r>
        <w:t>The Charter’s Impact on Police</w:t>
      </w:r>
    </w:p>
    <w:p w:rsidR="007C258B" w:rsidRDefault="007C258B" w:rsidP="007C258B">
      <w:pPr>
        <w:pStyle w:val="ListParagraph"/>
        <w:numPr>
          <w:ilvl w:val="0"/>
          <w:numId w:val="2"/>
        </w:numPr>
      </w:pPr>
      <w:r>
        <w:t>The Ri</w:t>
      </w:r>
      <w:r w:rsidR="00807479">
        <w:t>ght to Privacy: Modifying Police Conduct During Search and Seizure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>Constitutionalized security against unreasonable search and seizure</w:t>
      </w:r>
    </w:p>
    <w:p w:rsidR="00807479" w:rsidRDefault="00807479" w:rsidP="00807479">
      <w:pPr>
        <w:pStyle w:val="ListParagraph"/>
        <w:numPr>
          <w:ilvl w:val="2"/>
          <w:numId w:val="2"/>
        </w:numPr>
      </w:pPr>
      <w:r>
        <w:t>Reasonable expectation of privacy, police must obtain warrants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>Must have reasonable grounds to believe that the person is carrying an illegal object or substance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 xml:space="preserve">Until the Charter was enacted, police offices were able to search individuals without reasonable cause, leading to power abuses 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>Systemic racism is affected by search powers, where individuals are searched based on racial profiling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>The poor &amp; homeless have harder time securing Charter rights</w:t>
      </w:r>
    </w:p>
    <w:p w:rsidR="00807479" w:rsidRDefault="00807479" w:rsidP="00807479">
      <w:pPr>
        <w:pStyle w:val="ListParagraph"/>
        <w:numPr>
          <w:ilvl w:val="0"/>
          <w:numId w:val="2"/>
        </w:numPr>
      </w:pPr>
      <w:r>
        <w:t>The Right to Counsel: Modifying Police Conduct During Detention, Arrest and Interrogation</w:t>
      </w:r>
    </w:p>
    <w:p w:rsidR="00807479" w:rsidRDefault="00807479" w:rsidP="00807479">
      <w:pPr>
        <w:pStyle w:val="ListParagraph"/>
        <w:numPr>
          <w:ilvl w:val="1"/>
          <w:numId w:val="2"/>
        </w:numPr>
      </w:pPr>
      <w:r>
        <w:t>Section 10(b) of the Charter: “everyone has the right on arrest or detention… to retain and instruct counsel without delay and to be informed that right”</w:t>
      </w:r>
    </w:p>
    <w:p w:rsidR="00807479" w:rsidRDefault="001A023D" w:rsidP="00807479">
      <w:pPr>
        <w:pStyle w:val="ListParagraph"/>
        <w:numPr>
          <w:ilvl w:val="1"/>
          <w:numId w:val="2"/>
        </w:numPr>
      </w:pPr>
      <w:r>
        <w:t>Renders the legal system more accessible to individuals, recognizes importance of legal counsel to achieve more just results</w:t>
      </w:r>
    </w:p>
    <w:p w:rsidR="001A023D" w:rsidRDefault="001A023D" w:rsidP="001A023D">
      <w:pPr>
        <w:pStyle w:val="ListParagraph"/>
        <w:numPr>
          <w:ilvl w:val="1"/>
          <w:numId w:val="2"/>
        </w:numPr>
      </w:pPr>
      <w:r>
        <w:t>Gives accused fair opportunity to exercise right to silence and refrain from self-incrimination</w:t>
      </w:r>
    </w:p>
    <w:p w:rsidR="006A6C7C" w:rsidRDefault="00C04F22" w:rsidP="00C04F22">
      <w:pPr>
        <w:pStyle w:val="ListParagraph"/>
        <w:numPr>
          <w:ilvl w:val="2"/>
          <w:numId w:val="2"/>
        </w:numPr>
      </w:pPr>
      <w:r>
        <w:t>However, is fairly ineffective because many times, the accused must rely on their own resources until legal aid is given</w:t>
      </w:r>
    </w:p>
    <w:p w:rsidR="00C04F22" w:rsidRDefault="00C04F22" w:rsidP="00C04F22">
      <w:r>
        <w:t>The Charter’s Impact on Prosecutorial Conduct: The Disclosure of Evidence</w:t>
      </w:r>
    </w:p>
    <w:p w:rsidR="00C04F22" w:rsidRDefault="00C04F22" w:rsidP="00C04F22">
      <w:pPr>
        <w:pStyle w:val="ListParagraph"/>
        <w:numPr>
          <w:ilvl w:val="0"/>
          <w:numId w:val="3"/>
        </w:numPr>
      </w:pPr>
      <w:r>
        <w:t>Defendant has a right to full disclosure of all evidence against him or her</w:t>
      </w:r>
    </w:p>
    <w:p w:rsidR="00C04F22" w:rsidRDefault="00C04F22" w:rsidP="00C04F22">
      <w:pPr>
        <w:pStyle w:val="ListParagraph"/>
        <w:numPr>
          <w:ilvl w:val="1"/>
          <w:numId w:val="3"/>
        </w:numPr>
      </w:pPr>
      <w:r>
        <w:t>Must give all evidence, whether or not it will be used and whether it is inculpatory or exculpatory</w:t>
      </w:r>
    </w:p>
    <w:p w:rsidR="00C04F22" w:rsidRDefault="00C04F22" w:rsidP="00C04F22">
      <w:pPr>
        <w:pStyle w:val="ListParagraph"/>
        <w:numPr>
          <w:ilvl w:val="1"/>
          <w:numId w:val="3"/>
        </w:numPr>
      </w:pPr>
      <w:r>
        <w:t>Results of investigations are public property and must be provided to the accused</w:t>
      </w:r>
    </w:p>
    <w:p w:rsidR="00C04F22" w:rsidRDefault="00C04F22" w:rsidP="00C04F22">
      <w:pPr>
        <w:pStyle w:val="ListParagraph"/>
        <w:numPr>
          <w:ilvl w:val="1"/>
          <w:numId w:val="3"/>
        </w:numPr>
      </w:pPr>
      <w:r>
        <w:t>Prior to the Charter, disclosure was decided and governed by Crown counsel, the quality varied from one jurisdiction to another</w:t>
      </w:r>
    </w:p>
    <w:p w:rsidR="00C04F22" w:rsidRDefault="00C04F22" w:rsidP="00C04F22">
      <w:pPr>
        <w:pStyle w:val="ListParagraph"/>
        <w:numPr>
          <w:ilvl w:val="2"/>
          <w:numId w:val="3"/>
        </w:numPr>
      </w:pPr>
      <w:r>
        <w:t>No remedy provided except for disciplinary proceedings which were virtually unheard of</w:t>
      </w:r>
    </w:p>
    <w:p w:rsidR="00C04F22" w:rsidRDefault="00C04F22" w:rsidP="00C04F22">
      <w:pPr>
        <w:pStyle w:val="ListParagraph"/>
        <w:numPr>
          <w:ilvl w:val="1"/>
          <w:numId w:val="3"/>
        </w:numPr>
      </w:pPr>
      <w:r>
        <w:t>State of affairs contributed to wrongful convictions and deprived some of the chance to prove their innocence</w:t>
      </w:r>
    </w:p>
    <w:p w:rsidR="00C04F22" w:rsidRDefault="00C04F22" w:rsidP="00C04F22">
      <w:r>
        <w:t>The Charter’s Impact on Victims and Witnesses</w:t>
      </w:r>
    </w:p>
    <w:p w:rsidR="00C04F22" w:rsidRDefault="001D5746" w:rsidP="00C04F22">
      <w:pPr>
        <w:pStyle w:val="ListParagraph"/>
        <w:numPr>
          <w:ilvl w:val="0"/>
          <w:numId w:val="3"/>
        </w:numPr>
      </w:pPr>
      <w:r>
        <w:t xml:space="preserve">Judges recognized </w:t>
      </w:r>
      <w:r w:rsidR="00567051">
        <w:t>vulnerable victims and witnesses can benefit from certain constitutional protections</w:t>
      </w:r>
    </w:p>
    <w:p w:rsidR="00567051" w:rsidRDefault="00567051" w:rsidP="00567051">
      <w:pPr>
        <w:pStyle w:val="ListParagraph"/>
        <w:numPr>
          <w:ilvl w:val="1"/>
          <w:numId w:val="3"/>
        </w:numPr>
      </w:pPr>
      <w:r>
        <w:lastRenderedPageBreak/>
        <w:t>Children have special rights during court because they require protection from emotional harm during proceedings</w:t>
      </w:r>
    </w:p>
    <w:p w:rsidR="004C13E7" w:rsidRDefault="004C13E7" w:rsidP="004C13E7">
      <w:pPr>
        <w:pStyle w:val="ListParagraph"/>
        <w:numPr>
          <w:ilvl w:val="0"/>
          <w:numId w:val="3"/>
        </w:numPr>
      </w:pPr>
      <w:r>
        <w:t>Content in cross examinations restricted in some trials, due to the nature of some cases</w:t>
      </w:r>
    </w:p>
    <w:p w:rsidR="004C13E7" w:rsidRDefault="004C13E7" w:rsidP="004C13E7">
      <w:pPr>
        <w:pStyle w:val="ListParagraph"/>
        <w:numPr>
          <w:ilvl w:val="1"/>
          <w:numId w:val="3"/>
        </w:numPr>
      </w:pPr>
      <w:r>
        <w:t>Victims qualified as “vulnerable”, namely sexual assault victims and children have an easier time establishing rights than non-vulnerable victims</w:t>
      </w:r>
    </w:p>
    <w:p w:rsidR="004C13E7" w:rsidRDefault="004C13E7" w:rsidP="004C13E7">
      <w:r>
        <w:t>The Charter’s Impact on Judges</w:t>
      </w:r>
    </w:p>
    <w:p w:rsidR="004C13E7" w:rsidRDefault="004C13E7" w:rsidP="004C13E7">
      <w:pPr>
        <w:pStyle w:val="ListParagraph"/>
        <w:numPr>
          <w:ilvl w:val="0"/>
          <w:numId w:val="4"/>
        </w:numPr>
      </w:pPr>
      <w:r>
        <w:t>Charter Remedies and the Exclusion of Evidence</w:t>
      </w:r>
    </w:p>
    <w:p w:rsidR="004C13E7" w:rsidRDefault="00EB1690" w:rsidP="004C13E7">
      <w:pPr>
        <w:pStyle w:val="ListParagraph"/>
        <w:numPr>
          <w:ilvl w:val="1"/>
          <w:numId w:val="4"/>
        </w:numPr>
      </w:pPr>
      <w:r>
        <w:t>One of the most important elements is the possibility for remedies in the case of rights violation</w:t>
      </w:r>
    </w:p>
    <w:p w:rsidR="00EB1690" w:rsidRDefault="00EB1690" w:rsidP="00EB1690">
      <w:pPr>
        <w:pStyle w:val="ListParagraph"/>
        <w:numPr>
          <w:ilvl w:val="2"/>
          <w:numId w:val="4"/>
        </w:numPr>
      </w:pPr>
      <w:r>
        <w:t>Judges protect these rights in the legal system</w:t>
      </w:r>
    </w:p>
    <w:p w:rsidR="00EB1690" w:rsidRDefault="00EB1690" w:rsidP="00EB1690">
      <w:pPr>
        <w:pStyle w:val="ListParagraph"/>
        <w:numPr>
          <w:ilvl w:val="1"/>
          <w:numId w:val="4"/>
        </w:numPr>
      </w:pPr>
      <w:r>
        <w:t>Power to exclude unconstitutionally obtained evidence (Section 24[2])</w:t>
      </w:r>
      <w:r w:rsidR="00AF41E0">
        <w:t xml:space="preserve"> to protect individuals from wrongful convictions</w:t>
      </w:r>
    </w:p>
    <w:p w:rsidR="00AF41E0" w:rsidRDefault="00AF41E0" w:rsidP="00AF41E0">
      <w:pPr>
        <w:pStyle w:val="ListParagraph"/>
        <w:numPr>
          <w:ilvl w:val="2"/>
          <w:numId w:val="4"/>
        </w:numPr>
      </w:pPr>
      <w:r>
        <w:t xml:space="preserve">Public opinion rains split when publicised cases are thrown out on a technicality </w:t>
      </w:r>
    </w:p>
    <w:p w:rsidR="00AF41E0" w:rsidRDefault="00D75E2A" w:rsidP="00AF41E0">
      <w:pPr>
        <w:pStyle w:val="ListParagraph"/>
        <w:numPr>
          <w:ilvl w:val="1"/>
          <w:numId w:val="4"/>
        </w:numPr>
      </w:pPr>
      <w:r>
        <w:t>Judiciary confronted with a difficult task of balancing the discovery of truth and the exclusion of evidence in a criminal trial</w:t>
      </w:r>
    </w:p>
    <w:p w:rsidR="006055F5" w:rsidRDefault="00117D15" w:rsidP="00117D15">
      <w:pPr>
        <w:pStyle w:val="ListParagraph"/>
        <w:numPr>
          <w:ilvl w:val="0"/>
          <w:numId w:val="4"/>
        </w:numPr>
      </w:pPr>
      <w:r>
        <w:t xml:space="preserve">The Charter’s Impact on </w:t>
      </w:r>
      <w:r w:rsidR="006055F5">
        <w:t xml:space="preserve">Sentencing </w:t>
      </w:r>
    </w:p>
    <w:p w:rsidR="00D75E2A" w:rsidRDefault="006055F5" w:rsidP="006055F5">
      <w:pPr>
        <w:pStyle w:val="ListParagraph"/>
        <w:numPr>
          <w:ilvl w:val="1"/>
          <w:numId w:val="4"/>
        </w:numPr>
      </w:pPr>
      <w:r>
        <w:t>Charter’s impact less influential in our system of punishment, s. 9 &amp; s. 12</w:t>
      </w:r>
    </w:p>
    <w:p w:rsidR="006055F5" w:rsidRDefault="006055F5" w:rsidP="006055F5">
      <w:pPr>
        <w:pStyle w:val="ListParagraph"/>
        <w:numPr>
          <w:ilvl w:val="1"/>
          <w:numId w:val="4"/>
        </w:numPr>
      </w:pPr>
      <w:r>
        <w:t>Minimum sentences of imprisonment are unfair &amp; ineffective, while judges are more active with youth justice &amp; sentencing</w:t>
      </w:r>
    </w:p>
    <w:p w:rsidR="006055F5" w:rsidRDefault="006055F5" w:rsidP="006055F5">
      <w:pPr>
        <w:pStyle w:val="ListParagraph"/>
        <w:numPr>
          <w:ilvl w:val="2"/>
          <w:numId w:val="4"/>
        </w:numPr>
      </w:pPr>
      <w:r>
        <w:t>“diminished moral blameworthiness” for young offenders</w:t>
      </w:r>
    </w:p>
    <w:p w:rsidR="006055F5" w:rsidRDefault="006055F5" w:rsidP="006055F5">
      <w:pPr>
        <w:pStyle w:val="ListParagraph"/>
        <w:numPr>
          <w:ilvl w:val="0"/>
          <w:numId w:val="4"/>
        </w:numPr>
      </w:pPr>
      <w:r>
        <w:t>Practical Measures to Facilitate the Implementations of Charter Rights</w:t>
      </w:r>
    </w:p>
    <w:p w:rsidR="006055F5" w:rsidRDefault="006055F5" w:rsidP="006055F5">
      <w:pPr>
        <w:pStyle w:val="ListParagraph"/>
        <w:numPr>
          <w:ilvl w:val="1"/>
          <w:numId w:val="4"/>
        </w:numPr>
      </w:pPr>
      <w:r>
        <w:t>Despite the Charter’s enactment, racial profiling still occurs</w:t>
      </w:r>
    </w:p>
    <w:p w:rsidR="006055F5" w:rsidRPr="00803F01" w:rsidRDefault="006055F5" w:rsidP="002431FF">
      <w:pPr>
        <w:pStyle w:val="ListParagraph"/>
        <w:numPr>
          <w:ilvl w:val="1"/>
          <w:numId w:val="4"/>
        </w:numPr>
      </w:pPr>
      <w:r>
        <w:t>Youth and visible minorities subject to tactics that often result in Charter breaches</w:t>
      </w:r>
      <w:bookmarkStart w:id="0" w:name="_GoBack"/>
      <w:bookmarkEnd w:id="0"/>
    </w:p>
    <w:sectPr w:rsidR="006055F5" w:rsidRPr="00803F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85D3D"/>
    <w:multiLevelType w:val="hybridMultilevel"/>
    <w:tmpl w:val="79D09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823C1"/>
    <w:multiLevelType w:val="hybridMultilevel"/>
    <w:tmpl w:val="D7C89C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C50CD"/>
    <w:multiLevelType w:val="hybridMultilevel"/>
    <w:tmpl w:val="303E1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D5047"/>
    <w:multiLevelType w:val="hybridMultilevel"/>
    <w:tmpl w:val="437C5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B9"/>
    <w:rsid w:val="00117D15"/>
    <w:rsid w:val="001A023D"/>
    <w:rsid w:val="001D5746"/>
    <w:rsid w:val="002431FF"/>
    <w:rsid w:val="004C13E7"/>
    <w:rsid w:val="00567051"/>
    <w:rsid w:val="006055F5"/>
    <w:rsid w:val="006A6C7C"/>
    <w:rsid w:val="007479FD"/>
    <w:rsid w:val="007C258B"/>
    <w:rsid w:val="00803F01"/>
    <w:rsid w:val="00807479"/>
    <w:rsid w:val="00AF41E0"/>
    <w:rsid w:val="00C04F22"/>
    <w:rsid w:val="00CA0684"/>
    <w:rsid w:val="00D75E2A"/>
    <w:rsid w:val="00EB1690"/>
    <w:rsid w:val="00F5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686DB5-4C1C-40E8-AE23-42E8B05BB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Nguyen</dc:creator>
  <cp:keywords/>
  <dc:description/>
  <cp:lastModifiedBy>Phil Nguyen</cp:lastModifiedBy>
  <cp:revision>8</cp:revision>
  <dcterms:created xsi:type="dcterms:W3CDTF">2013-09-16T23:59:00Z</dcterms:created>
  <dcterms:modified xsi:type="dcterms:W3CDTF">2013-09-17T05:18:00Z</dcterms:modified>
</cp:coreProperties>
</file>