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4D0C" w:rsidRPr="00484D0C" w:rsidRDefault="001712F9" w:rsidP="001712F9">
      <w:pPr>
        <w:pStyle w:val="NoSpacing"/>
        <w:rPr>
          <w:b/>
          <w:sz w:val="36"/>
          <w:szCs w:val="36"/>
        </w:rPr>
      </w:pPr>
      <w:bookmarkStart w:id="0" w:name="_GoBack"/>
      <w:bookmarkEnd w:id="0"/>
      <w:r w:rsidRPr="001712F9">
        <w:rPr>
          <w:b/>
          <w:sz w:val="36"/>
          <w:szCs w:val="36"/>
        </w:rPr>
        <w:t xml:space="preserve">Exam de </w:t>
      </w:r>
      <w:proofErr w:type="spellStart"/>
      <w:r w:rsidRPr="001712F9">
        <w:rPr>
          <w:b/>
          <w:sz w:val="36"/>
          <w:szCs w:val="36"/>
        </w:rPr>
        <w:t>lab</w:t>
      </w:r>
      <w:proofErr w:type="spellEnd"/>
      <w:r w:rsidR="00484D0C">
        <w:rPr>
          <w:b/>
          <w:sz w:val="36"/>
          <w:szCs w:val="36"/>
        </w:rPr>
        <w:t xml:space="preserve"> : </w:t>
      </w:r>
      <w:r w:rsidRPr="007451AF">
        <w:rPr>
          <w:b/>
          <w:sz w:val="28"/>
          <w:szCs w:val="28"/>
        </w:rPr>
        <w:t>BIO 1540</w:t>
      </w:r>
      <w:r>
        <w:t xml:space="preserve"> : samedi le 6 avril 2013 </w:t>
      </w:r>
    </w:p>
    <w:p w:rsidR="00484D0C" w:rsidRDefault="00484D0C" w:rsidP="001712F9">
      <w:pPr>
        <w:pStyle w:val="NoSpacing"/>
      </w:pPr>
    </w:p>
    <w:p w:rsidR="00484D0C" w:rsidRDefault="00484D0C" w:rsidP="001712F9">
      <w:pPr>
        <w:pStyle w:val="NoSpacing"/>
      </w:pPr>
      <w:r w:rsidRPr="00BC18F7">
        <w:rPr>
          <w:b/>
          <w:sz w:val="32"/>
          <w:szCs w:val="32"/>
        </w:rPr>
        <w:t>LAB 1</w:t>
      </w:r>
      <w:r>
        <w:t xml:space="preserve"> : </w:t>
      </w:r>
      <w:r w:rsidR="00BC18F7">
        <w:t>Introduction à la microscopie &amp; observation des cellules procaryotes et eucaryotes</w:t>
      </w:r>
    </w:p>
    <w:p w:rsidR="00BC18F7" w:rsidRPr="00484D0C" w:rsidRDefault="00BC18F7" w:rsidP="001712F9">
      <w:pPr>
        <w:pStyle w:val="NoSpacing"/>
      </w:pPr>
    </w:p>
    <w:p w:rsidR="001712F9" w:rsidRDefault="001712F9" w:rsidP="00433438">
      <w:pPr>
        <w:pStyle w:val="NoSpacing"/>
        <w:jc w:val="both"/>
      </w:pPr>
      <w:r>
        <w:t xml:space="preserve">On peut observer une image dans le microscope par les oculaires ou sur l’écran d’ordi avec le programme </w:t>
      </w:r>
      <w:proofErr w:type="spellStart"/>
      <w:r>
        <w:t>ImageJ</w:t>
      </w:r>
      <w:proofErr w:type="spellEnd"/>
      <w:r>
        <w:t xml:space="preserve"> couplé au module </w:t>
      </w:r>
      <w:proofErr w:type="spellStart"/>
      <w:r>
        <w:t>Qcapture</w:t>
      </w:r>
      <w:proofErr w:type="spellEnd"/>
      <w:r>
        <w:t xml:space="preserve">.  </w:t>
      </w:r>
    </w:p>
    <w:p w:rsidR="001712F9" w:rsidRDefault="001712F9" w:rsidP="00433438">
      <w:pPr>
        <w:pStyle w:val="NoSpacing"/>
        <w:jc w:val="both"/>
      </w:pPr>
    </w:p>
    <w:tbl>
      <w:tblPr>
        <w:tblStyle w:val="LightShading"/>
        <w:tblW w:w="0" w:type="auto"/>
        <w:tblLook w:val="06A0" w:firstRow="1" w:lastRow="0" w:firstColumn="1" w:lastColumn="0" w:noHBand="1" w:noVBand="1"/>
      </w:tblPr>
      <w:tblGrid>
        <w:gridCol w:w="5094"/>
        <w:gridCol w:w="5094"/>
      </w:tblGrid>
      <w:tr w:rsidR="001712F9" w:rsidTr="001712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4" w:type="dxa"/>
          </w:tcPr>
          <w:p w:rsidR="001712F9" w:rsidRPr="007451AF" w:rsidRDefault="001712F9" w:rsidP="001712F9">
            <w:pPr>
              <w:pStyle w:val="NoSpacing"/>
              <w:rPr>
                <w:sz w:val="28"/>
                <w:szCs w:val="28"/>
              </w:rPr>
            </w:pPr>
            <w:r w:rsidRPr="007451AF">
              <w:rPr>
                <w:sz w:val="28"/>
                <w:szCs w:val="28"/>
              </w:rPr>
              <w:t>Avantages</w:t>
            </w:r>
          </w:p>
        </w:tc>
        <w:tc>
          <w:tcPr>
            <w:tcW w:w="5094" w:type="dxa"/>
          </w:tcPr>
          <w:p w:rsidR="001712F9" w:rsidRDefault="001712F9" w:rsidP="001712F9">
            <w:pPr>
              <w:pStyle w:val="NoSpacing"/>
              <w:cnfStyle w:val="100000000000" w:firstRow="1" w:lastRow="0" w:firstColumn="0" w:lastColumn="0" w:oddVBand="0" w:evenVBand="0" w:oddHBand="0" w:evenHBand="0" w:firstRowFirstColumn="0" w:firstRowLastColumn="0" w:lastRowFirstColumn="0" w:lastRowLastColumn="0"/>
            </w:pPr>
          </w:p>
        </w:tc>
      </w:tr>
      <w:tr w:rsidR="001712F9" w:rsidTr="001712F9">
        <w:tc>
          <w:tcPr>
            <w:cnfStyle w:val="001000000000" w:firstRow="0" w:lastRow="0" w:firstColumn="1" w:lastColumn="0" w:oddVBand="0" w:evenVBand="0" w:oddHBand="0" w:evenHBand="0" w:firstRowFirstColumn="0" w:firstRowLastColumn="0" w:lastRowFirstColumn="0" w:lastRowLastColumn="0"/>
            <w:tcW w:w="5094" w:type="dxa"/>
          </w:tcPr>
          <w:p w:rsidR="001712F9" w:rsidRDefault="001712F9" w:rsidP="001712F9">
            <w:pPr>
              <w:pStyle w:val="NoSpacing"/>
              <w:rPr>
                <w:b w:val="0"/>
                <w:u w:val="single"/>
              </w:rPr>
            </w:pPr>
            <w:r w:rsidRPr="001712F9">
              <w:rPr>
                <w:b w:val="0"/>
                <w:u w:val="single"/>
              </w:rPr>
              <w:t>Oculaires</w:t>
            </w:r>
          </w:p>
          <w:p w:rsidR="001712F9" w:rsidRDefault="001712F9" w:rsidP="001712F9">
            <w:pPr>
              <w:pStyle w:val="NoSpacing"/>
              <w:rPr>
                <w:b w:val="0"/>
              </w:rPr>
            </w:pPr>
            <w:r>
              <w:rPr>
                <w:b w:val="0"/>
              </w:rPr>
              <w:t>-Résolution plus grande</w:t>
            </w:r>
          </w:p>
          <w:p w:rsidR="001712F9" w:rsidRPr="001712F9" w:rsidRDefault="001712F9" w:rsidP="001712F9">
            <w:pPr>
              <w:pStyle w:val="NoSpacing"/>
              <w:rPr>
                <w:b w:val="0"/>
              </w:rPr>
            </w:pPr>
            <w:r>
              <w:rPr>
                <w:b w:val="0"/>
              </w:rPr>
              <w:t>-Champ de vision plus large</w:t>
            </w:r>
          </w:p>
        </w:tc>
        <w:tc>
          <w:tcPr>
            <w:tcW w:w="5094" w:type="dxa"/>
          </w:tcPr>
          <w:p w:rsidR="001712F9" w:rsidRDefault="001712F9" w:rsidP="001712F9">
            <w:pPr>
              <w:pStyle w:val="NoSpacing"/>
              <w:cnfStyle w:val="000000000000" w:firstRow="0" w:lastRow="0" w:firstColumn="0" w:lastColumn="0" w:oddVBand="0" w:evenVBand="0" w:oddHBand="0" w:evenHBand="0" w:firstRowFirstColumn="0" w:firstRowLastColumn="0" w:lastRowFirstColumn="0" w:lastRowLastColumn="0"/>
              <w:rPr>
                <w:u w:val="single"/>
              </w:rPr>
            </w:pPr>
            <w:r w:rsidRPr="001712F9">
              <w:rPr>
                <w:u w:val="single"/>
              </w:rPr>
              <w:t>Moniteur</w:t>
            </w:r>
          </w:p>
          <w:p w:rsidR="001712F9" w:rsidRDefault="001712F9" w:rsidP="001712F9">
            <w:pPr>
              <w:pStyle w:val="NoSpacing"/>
              <w:cnfStyle w:val="000000000000" w:firstRow="0" w:lastRow="0" w:firstColumn="0" w:lastColumn="0" w:oddVBand="0" w:evenVBand="0" w:oddHBand="0" w:evenHBand="0" w:firstRowFirstColumn="0" w:firstRowLastColumn="0" w:lastRowFirstColumn="0" w:lastRowLastColumn="0"/>
            </w:pPr>
            <w:r>
              <w:t>-Utilisateurs peuvent partager les observations</w:t>
            </w:r>
          </w:p>
          <w:p w:rsidR="001712F9" w:rsidRDefault="001712F9" w:rsidP="001712F9">
            <w:pPr>
              <w:pStyle w:val="NoSpacing"/>
              <w:cnfStyle w:val="000000000000" w:firstRow="0" w:lastRow="0" w:firstColumn="0" w:lastColumn="0" w:oddVBand="0" w:evenVBand="0" w:oddHBand="0" w:evenHBand="0" w:firstRowFirstColumn="0" w:firstRowLastColumn="0" w:lastRowFirstColumn="0" w:lastRowLastColumn="0"/>
            </w:pPr>
            <w:r>
              <w:t>-Plus confortable à long terme</w:t>
            </w:r>
          </w:p>
          <w:p w:rsidR="001712F9" w:rsidRPr="001712F9" w:rsidRDefault="001712F9" w:rsidP="001712F9">
            <w:pPr>
              <w:pStyle w:val="NoSpacing"/>
              <w:cnfStyle w:val="000000000000" w:firstRow="0" w:lastRow="0" w:firstColumn="0" w:lastColumn="0" w:oddVBand="0" w:evenVBand="0" w:oddHBand="0" w:evenHBand="0" w:firstRowFirstColumn="0" w:firstRowLastColumn="0" w:lastRowFirstColumn="0" w:lastRowLastColumn="0"/>
            </w:pPr>
            <w:r>
              <w:t>-Prise d’image pendant les observations</w:t>
            </w:r>
          </w:p>
        </w:tc>
      </w:tr>
    </w:tbl>
    <w:p w:rsidR="001712F9" w:rsidRDefault="001712F9" w:rsidP="001712F9">
      <w:pPr>
        <w:pStyle w:val="NoSpacing"/>
      </w:pPr>
    </w:p>
    <w:p w:rsidR="001712F9" w:rsidRPr="001712F9" w:rsidRDefault="001712F9" w:rsidP="00433438">
      <w:pPr>
        <w:pStyle w:val="NoSpacing"/>
        <w:jc w:val="both"/>
        <w:rPr>
          <w:b/>
        </w:rPr>
      </w:pPr>
      <w:r w:rsidRPr="001712F9">
        <w:rPr>
          <w:b/>
        </w:rPr>
        <w:t>Il y a deux types de microscopes </w:t>
      </w:r>
    </w:p>
    <w:p w:rsidR="001712F9" w:rsidRDefault="001712F9" w:rsidP="00433438">
      <w:pPr>
        <w:pStyle w:val="NoSpacing"/>
        <w:numPr>
          <w:ilvl w:val="0"/>
          <w:numId w:val="3"/>
        </w:numPr>
        <w:jc w:val="both"/>
      </w:pPr>
      <w:r>
        <w:t>Microscope composé : observes les cellules par exemple, choses très petites</w:t>
      </w:r>
    </w:p>
    <w:p w:rsidR="001712F9" w:rsidRDefault="001712F9" w:rsidP="00433438">
      <w:pPr>
        <w:pStyle w:val="NoSpacing"/>
        <w:numPr>
          <w:ilvl w:val="0"/>
          <w:numId w:val="3"/>
        </w:numPr>
        <w:jc w:val="both"/>
      </w:pPr>
      <w:r>
        <w:t>Microscope stéréoscopique/à dissection : observer de plus gros objets comme une cenne par exemple</w:t>
      </w:r>
    </w:p>
    <w:p w:rsidR="001712F9" w:rsidRDefault="001712F9" w:rsidP="00433438">
      <w:pPr>
        <w:pStyle w:val="NoSpacing"/>
        <w:jc w:val="both"/>
      </w:pPr>
    </w:p>
    <w:p w:rsidR="00287FA5" w:rsidRPr="00287FA5" w:rsidRDefault="001712F9" w:rsidP="00433438">
      <w:pPr>
        <w:pStyle w:val="NoSpacing"/>
        <w:jc w:val="both"/>
        <w:rPr>
          <w:b/>
          <w:sz w:val="36"/>
          <w:szCs w:val="36"/>
          <w:u w:val="single"/>
        </w:rPr>
      </w:pPr>
      <w:r w:rsidRPr="00287FA5">
        <w:rPr>
          <w:b/>
          <w:sz w:val="36"/>
          <w:szCs w:val="36"/>
          <w:u w:val="single"/>
        </w:rPr>
        <w:t>Microscope composé </w:t>
      </w:r>
    </w:p>
    <w:p w:rsidR="001712F9" w:rsidRDefault="001712F9" w:rsidP="00433438">
      <w:pPr>
        <w:pStyle w:val="NoSpacing"/>
        <w:jc w:val="both"/>
      </w:pPr>
      <w:r>
        <w:t xml:space="preserve">On peut y connecter un câble </w:t>
      </w:r>
      <w:proofErr w:type="spellStart"/>
      <w:r>
        <w:t>fire</w:t>
      </w:r>
      <w:proofErr w:type="spellEnd"/>
      <w:r>
        <w:t xml:space="preserve"> </w:t>
      </w:r>
      <w:proofErr w:type="spellStart"/>
      <w:r>
        <w:t>wire</w:t>
      </w:r>
      <w:proofErr w:type="spellEnd"/>
      <w:r>
        <w:t xml:space="preserve"> pour obtenir l’image à l’écran de l’ordi.  La pastille rouge sur la tête du câble </w:t>
      </w:r>
      <w:r w:rsidR="007451AF">
        <w:t xml:space="preserve">doit être orientée vers le plafond.  Il faut </w:t>
      </w:r>
      <w:r w:rsidR="007451AF" w:rsidRPr="007451AF">
        <w:rPr>
          <w:u w:val="single"/>
        </w:rPr>
        <w:t>toujours</w:t>
      </w:r>
      <w:r w:rsidR="007451AF">
        <w:t xml:space="preserve"> connecter les câbles avant de lancer le logiciel </w:t>
      </w:r>
      <w:proofErr w:type="spellStart"/>
      <w:r w:rsidR="007451AF">
        <w:t>ImageJ</w:t>
      </w:r>
      <w:proofErr w:type="spellEnd"/>
      <w:r w:rsidR="007451AF">
        <w:t>.</w:t>
      </w:r>
    </w:p>
    <w:p w:rsidR="007451AF" w:rsidRDefault="007451AF" w:rsidP="00433438">
      <w:pPr>
        <w:pStyle w:val="NoSpacing"/>
        <w:jc w:val="both"/>
      </w:pPr>
      <w:r>
        <w:t xml:space="preserve">Ce microscope comprend des </w:t>
      </w:r>
      <w:r w:rsidRPr="007658B0">
        <w:rPr>
          <w:b/>
        </w:rPr>
        <w:t>lentilles</w:t>
      </w:r>
      <w:r>
        <w:t xml:space="preserve">, une </w:t>
      </w:r>
      <w:r w:rsidRPr="007658B0">
        <w:rPr>
          <w:b/>
        </w:rPr>
        <w:t>source lumineuse</w:t>
      </w:r>
      <w:r>
        <w:t xml:space="preserve"> et des </w:t>
      </w:r>
      <w:r w:rsidRPr="007658B0">
        <w:rPr>
          <w:b/>
        </w:rPr>
        <w:t>dispositifs de réglage</w:t>
      </w:r>
      <w:r>
        <w:t xml:space="preserve"> de la distance entre les lentilles et l’objet observé.  Il y a aussi beaucoup d’autres parties importantes au microscope composé.</w:t>
      </w:r>
    </w:p>
    <w:p w:rsidR="007451AF" w:rsidRDefault="007451AF" w:rsidP="00433438">
      <w:pPr>
        <w:pStyle w:val="NoSpacing"/>
        <w:numPr>
          <w:ilvl w:val="0"/>
          <w:numId w:val="4"/>
        </w:numPr>
        <w:jc w:val="both"/>
      </w:pPr>
      <w:r w:rsidRPr="007451AF">
        <w:rPr>
          <w:b/>
        </w:rPr>
        <w:t>Tournelle porte objectif</w:t>
      </w:r>
      <w:r>
        <w:t> : porte les objectifs- permet de changer de grossissement</w:t>
      </w:r>
    </w:p>
    <w:p w:rsidR="007451AF" w:rsidRDefault="007451AF" w:rsidP="00433438">
      <w:pPr>
        <w:pStyle w:val="NoSpacing"/>
        <w:numPr>
          <w:ilvl w:val="0"/>
          <w:numId w:val="4"/>
        </w:numPr>
        <w:jc w:val="both"/>
      </w:pPr>
      <w:r w:rsidRPr="007451AF">
        <w:rPr>
          <w:b/>
        </w:rPr>
        <w:t>Platine </w:t>
      </w:r>
      <w:r>
        <w:t>: supporte et dirige le spécimen observé – système de molettes permet de bouger la platine</w:t>
      </w:r>
    </w:p>
    <w:p w:rsidR="007451AF" w:rsidRDefault="007451AF" w:rsidP="00433438">
      <w:pPr>
        <w:pStyle w:val="NoSpacing"/>
        <w:numPr>
          <w:ilvl w:val="0"/>
          <w:numId w:val="4"/>
        </w:numPr>
        <w:jc w:val="both"/>
      </w:pPr>
      <w:r w:rsidRPr="007451AF">
        <w:rPr>
          <w:b/>
        </w:rPr>
        <w:t xml:space="preserve">Vis </w:t>
      </w:r>
      <w:proofErr w:type="spellStart"/>
      <w:r w:rsidRPr="007451AF">
        <w:rPr>
          <w:b/>
        </w:rPr>
        <w:t>macrométrique</w:t>
      </w:r>
      <w:proofErr w:type="spellEnd"/>
      <w:r>
        <w:t> : modifie rapidement la distance entre le spécimen et l’objectif – c’est une mise au point approximative</w:t>
      </w:r>
    </w:p>
    <w:p w:rsidR="007451AF" w:rsidRDefault="007451AF" w:rsidP="00433438">
      <w:pPr>
        <w:pStyle w:val="NoSpacing"/>
        <w:numPr>
          <w:ilvl w:val="0"/>
          <w:numId w:val="4"/>
        </w:numPr>
        <w:jc w:val="both"/>
      </w:pPr>
      <w:r w:rsidRPr="007451AF">
        <w:rPr>
          <w:b/>
        </w:rPr>
        <w:t>Vis micrométrique</w:t>
      </w:r>
      <w:r>
        <w:t> : mise au point finale – modifie légèrement la distance entre le spécimen et l’objectif</w:t>
      </w:r>
    </w:p>
    <w:p w:rsidR="007451AF" w:rsidRDefault="007451AF" w:rsidP="00433438">
      <w:pPr>
        <w:pStyle w:val="NoSpacing"/>
        <w:numPr>
          <w:ilvl w:val="0"/>
          <w:numId w:val="4"/>
        </w:numPr>
        <w:jc w:val="both"/>
      </w:pPr>
      <w:r w:rsidRPr="007451AF">
        <w:rPr>
          <w:b/>
        </w:rPr>
        <w:t>Oculaire</w:t>
      </w:r>
      <w:r>
        <w:t xml:space="preserve"> : lentille grossissante par laquelle on regarde le spécimen – son facteur de grossissement est habituellement x10 – microscopes </w:t>
      </w:r>
      <w:proofErr w:type="spellStart"/>
      <w:r>
        <w:t>parafocaux</w:t>
      </w:r>
      <w:proofErr w:type="spellEnd"/>
    </w:p>
    <w:p w:rsidR="007451AF" w:rsidRDefault="007451AF" w:rsidP="00433438">
      <w:pPr>
        <w:pStyle w:val="NoSpacing"/>
        <w:numPr>
          <w:ilvl w:val="0"/>
          <w:numId w:val="4"/>
        </w:numPr>
        <w:jc w:val="both"/>
      </w:pPr>
      <w:r w:rsidRPr="007451AF">
        <w:rPr>
          <w:b/>
        </w:rPr>
        <w:t>Objectif</w:t>
      </w:r>
      <w:r>
        <w:t> : lentille grossissante située du coté du spécimen</w:t>
      </w:r>
    </w:p>
    <w:p w:rsidR="007451AF" w:rsidRDefault="007451AF" w:rsidP="00433438">
      <w:pPr>
        <w:pStyle w:val="NoSpacing"/>
        <w:numPr>
          <w:ilvl w:val="0"/>
          <w:numId w:val="4"/>
        </w:numPr>
        <w:jc w:val="both"/>
      </w:pPr>
      <w:r w:rsidRPr="007451AF">
        <w:rPr>
          <w:b/>
        </w:rPr>
        <w:t>Condenseur</w:t>
      </w:r>
      <w:r>
        <w:t> : dispositif optique qui concentre la lumière venant de la source lumineuse</w:t>
      </w:r>
    </w:p>
    <w:p w:rsidR="007451AF" w:rsidRDefault="007451AF" w:rsidP="00433438">
      <w:pPr>
        <w:pStyle w:val="NoSpacing"/>
        <w:numPr>
          <w:ilvl w:val="0"/>
          <w:numId w:val="4"/>
        </w:numPr>
        <w:jc w:val="both"/>
      </w:pPr>
      <w:r w:rsidRPr="007451AF">
        <w:rPr>
          <w:b/>
        </w:rPr>
        <w:t>Molette de réglage du condenseur</w:t>
      </w:r>
      <w:r>
        <w:t xml:space="preserve"> : permet de focaliser sur le spécimen la lumière concentrée </w:t>
      </w:r>
    </w:p>
    <w:p w:rsidR="007451AF" w:rsidRDefault="007451AF" w:rsidP="00433438">
      <w:pPr>
        <w:pStyle w:val="NoSpacing"/>
        <w:numPr>
          <w:ilvl w:val="0"/>
          <w:numId w:val="4"/>
        </w:numPr>
        <w:jc w:val="both"/>
      </w:pPr>
      <w:r w:rsidRPr="007451AF">
        <w:rPr>
          <w:b/>
        </w:rPr>
        <w:t>Diaphragme d’ouverture</w:t>
      </w:r>
      <w:r>
        <w:t> : élimine les reflets de lumière indésirables en agissant sur l’angle du cône de lumière en provenance au condenseur</w:t>
      </w:r>
    </w:p>
    <w:p w:rsidR="00C343F8" w:rsidRDefault="00C343F8" w:rsidP="00433438">
      <w:pPr>
        <w:pStyle w:val="NoSpacing"/>
        <w:jc w:val="both"/>
      </w:pPr>
      <w:r>
        <w:t xml:space="preserve">Le </w:t>
      </w:r>
      <w:r w:rsidRPr="00C343F8">
        <w:rPr>
          <w:b/>
        </w:rPr>
        <w:t>pouvoir séparateur</w:t>
      </w:r>
      <w:r>
        <w:t xml:space="preserve"> d’un dispositif optique est sa </w:t>
      </w:r>
      <w:r w:rsidRPr="00C343F8">
        <w:rPr>
          <w:b/>
        </w:rPr>
        <w:t>capacité à distinguer</w:t>
      </w:r>
      <w:r>
        <w:t xml:space="preserve"> deux objets proches l’un de l’autre.  </w:t>
      </w:r>
    </w:p>
    <w:p w:rsidR="00C343F8" w:rsidRDefault="00B35737" w:rsidP="00433438">
      <w:pPr>
        <w:pStyle w:val="NoSpacing"/>
        <w:jc w:val="both"/>
      </w:pPr>
      <w:r>
        <w:t xml:space="preserve">Le microscope doit être supporté à </w:t>
      </w:r>
      <w:r w:rsidRPr="00C343F8">
        <w:rPr>
          <w:b/>
        </w:rPr>
        <w:t>deux mains</w:t>
      </w:r>
      <w:r>
        <w:t xml:space="preserve">, soit une prenant le </w:t>
      </w:r>
      <w:r w:rsidRPr="00C343F8">
        <w:rPr>
          <w:b/>
        </w:rPr>
        <w:t>bras</w:t>
      </w:r>
      <w:r>
        <w:t xml:space="preserve"> et l’autre sous le </w:t>
      </w:r>
      <w:r w:rsidRPr="00C343F8">
        <w:rPr>
          <w:b/>
        </w:rPr>
        <w:t>pied</w:t>
      </w:r>
      <w:r w:rsidR="00C343F8">
        <w:t>.</w:t>
      </w:r>
    </w:p>
    <w:p w:rsidR="00C343F8" w:rsidRDefault="00C343F8" w:rsidP="00B35737">
      <w:pPr>
        <w:pStyle w:val="NoSpacing"/>
      </w:pPr>
    </w:p>
    <w:p w:rsidR="00B35737" w:rsidRDefault="00C343F8" w:rsidP="00433438">
      <w:pPr>
        <w:pStyle w:val="NoSpacing"/>
        <w:jc w:val="both"/>
      </w:pPr>
      <w:r>
        <w:t xml:space="preserve">Quand tu regardes dans le microscope composé, l’image est </w:t>
      </w:r>
      <w:r w:rsidRPr="00C343F8">
        <w:rPr>
          <w:b/>
        </w:rPr>
        <w:t>inversée</w:t>
      </w:r>
      <w:r>
        <w:t xml:space="preserve"> de haut en bas et de gauche à droite aussi.  C’est comme si l’image avait fait une </w:t>
      </w:r>
      <w:r w:rsidRPr="00C343F8">
        <w:rPr>
          <w:b/>
        </w:rPr>
        <w:t>réflexion</w:t>
      </w:r>
      <w:r>
        <w:t xml:space="preserve"> au travers l’axe des X et l’axe des Y.</w:t>
      </w:r>
      <w:r w:rsidR="00B35737">
        <w:t xml:space="preserve">  </w:t>
      </w:r>
    </w:p>
    <w:p w:rsidR="004003CA" w:rsidRDefault="007658B0" w:rsidP="00433438">
      <w:pPr>
        <w:pStyle w:val="NoSpacing"/>
        <w:jc w:val="both"/>
      </w:pPr>
      <w:r>
        <w:t>Quand tu déplaces la lamelle vers la droite, l’image dans le microscope se déplace vers la gauche et vis versa.  Quand tu déplaces la lamelle en l’éloignant de toi, l’image dans le microscope fait le contraire; elle se rapproche de toi et vis versa.</w:t>
      </w:r>
    </w:p>
    <w:p w:rsidR="004003CA" w:rsidRDefault="004003CA" w:rsidP="00433438">
      <w:pPr>
        <w:pStyle w:val="NoSpacing"/>
        <w:jc w:val="both"/>
      </w:pPr>
    </w:p>
    <w:p w:rsidR="00287FA5" w:rsidRDefault="00287FA5" w:rsidP="00433438">
      <w:pPr>
        <w:pStyle w:val="NoSpacing"/>
        <w:jc w:val="both"/>
      </w:pPr>
    </w:p>
    <w:tbl>
      <w:tblPr>
        <w:tblStyle w:val="LightShading"/>
        <w:tblW w:w="0" w:type="auto"/>
        <w:tblLook w:val="06A0" w:firstRow="1" w:lastRow="0" w:firstColumn="1" w:lastColumn="0" w:noHBand="1" w:noVBand="1"/>
      </w:tblPr>
      <w:tblGrid>
        <w:gridCol w:w="2547"/>
        <w:gridCol w:w="2547"/>
        <w:gridCol w:w="2547"/>
        <w:gridCol w:w="2547"/>
      </w:tblGrid>
      <w:tr w:rsidR="004003CA" w:rsidTr="004003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rsidR="004003CA" w:rsidRPr="004003CA" w:rsidRDefault="004003CA" w:rsidP="001712F9">
            <w:pPr>
              <w:pStyle w:val="NoSpacing"/>
              <w:rPr>
                <w:sz w:val="20"/>
                <w:szCs w:val="20"/>
              </w:rPr>
            </w:pPr>
            <w:r w:rsidRPr="004003CA">
              <w:rPr>
                <w:sz w:val="20"/>
                <w:szCs w:val="20"/>
              </w:rPr>
              <w:t>Grossissement de l’objectif</w:t>
            </w:r>
          </w:p>
        </w:tc>
        <w:tc>
          <w:tcPr>
            <w:tcW w:w="2547" w:type="dxa"/>
          </w:tcPr>
          <w:p w:rsidR="004003CA" w:rsidRPr="004003CA" w:rsidRDefault="004003CA" w:rsidP="004003CA">
            <w:pPr>
              <w:pStyle w:val="NoSpacing"/>
              <w:jc w:val="cente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4x</w:t>
            </w:r>
          </w:p>
        </w:tc>
        <w:tc>
          <w:tcPr>
            <w:tcW w:w="2547" w:type="dxa"/>
          </w:tcPr>
          <w:p w:rsidR="004003CA" w:rsidRPr="004003CA" w:rsidRDefault="004003CA" w:rsidP="004003CA">
            <w:pPr>
              <w:pStyle w:val="NoSpacing"/>
              <w:jc w:val="cente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10x</w:t>
            </w:r>
          </w:p>
        </w:tc>
        <w:tc>
          <w:tcPr>
            <w:tcW w:w="2547" w:type="dxa"/>
          </w:tcPr>
          <w:p w:rsidR="004003CA" w:rsidRPr="004003CA" w:rsidRDefault="004003CA" w:rsidP="004003CA">
            <w:pPr>
              <w:pStyle w:val="NoSpacing"/>
              <w:jc w:val="cente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40x</w:t>
            </w:r>
          </w:p>
        </w:tc>
      </w:tr>
      <w:tr w:rsidR="004003CA" w:rsidTr="004003CA">
        <w:tc>
          <w:tcPr>
            <w:cnfStyle w:val="001000000000" w:firstRow="0" w:lastRow="0" w:firstColumn="1" w:lastColumn="0" w:oddVBand="0" w:evenVBand="0" w:oddHBand="0" w:evenHBand="0" w:firstRowFirstColumn="0" w:firstRowLastColumn="0" w:lastRowFirstColumn="0" w:lastRowLastColumn="0"/>
            <w:tcW w:w="2547" w:type="dxa"/>
          </w:tcPr>
          <w:p w:rsidR="004003CA" w:rsidRPr="004003CA" w:rsidRDefault="004003CA" w:rsidP="001712F9">
            <w:pPr>
              <w:pStyle w:val="NoSpacing"/>
              <w:rPr>
                <w:b w:val="0"/>
                <w:sz w:val="20"/>
                <w:szCs w:val="20"/>
              </w:rPr>
            </w:pPr>
            <w:r w:rsidRPr="004003CA">
              <w:rPr>
                <w:b w:val="0"/>
                <w:sz w:val="20"/>
                <w:szCs w:val="20"/>
              </w:rPr>
              <w:t>Grossissement de l’oculaire</w:t>
            </w:r>
          </w:p>
        </w:tc>
        <w:tc>
          <w:tcPr>
            <w:tcW w:w="2547" w:type="dxa"/>
          </w:tcPr>
          <w:p w:rsidR="004003CA" w:rsidRPr="004003CA" w:rsidRDefault="004003CA" w:rsidP="004003CA">
            <w:pPr>
              <w:pStyle w:val="NoSpacing"/>
              <w:jc w:val="center"/>
              <w:cnfStyle w:val="000000000000" w:firstRow="0" w:lastRow="0" w:firstColumn="0" w:lastColumn="0" w:oddVBand="0" w:evenVBand="0" w:oddHBand="0" w:evenHBand="0" w:firstRowFirstColumn="0" w:firstRowLastColumn="0" w:lastRowFirstColumn="0" w:lastRowLastColumn="0"/>
              <w:rPr>
                <w:sz w:val="20"/>
                <w:szCs w:val="20"/>
              </w:rPr>
            </w:pPr>
            <w:r w:rsidRPr="004003CA">
              <w:rPr>
                <w:sz w:val="20"/>
                <w:szCs w:val="20"/>
              </w:rPr>
              <w:t>10x</w:t>
            </w:r>
          </w:p>
        </w:tc>
        <w:tc>
          <w:tcPr>
            <w:tcW w:w="2547" w:type="dxa"/>
          </w:tcPr>
          <w:p w:rsidR="004003CA" w:rsidRPr="004003CA" w:rsidRDefault="004003CA" w:rsidP="004003CA">
            <w:pPr>
              <w:pStyle w:val="NoSpacing"/>
              <w:jc w:val="center"/>
              <w:cnfStyle w:val="000000000000" w:firstRow="0" w:lastRow="0" w:firstColumn="0" w:lastColumn="0" w:oddVBand="0" w:evenVBand="0" w:oddHBand="0" w:evenHBand="0" w:firstRowFirstColumn="0" w:firstRowLastColumn="0" w:lastRowFirstColumn="0" w:lastRowLastColumn="0"/>
              <w:rPr>
                <w:sz w:val="20"/>
                <w:szCs w:val="20"/>
              </w:rPr>
            </w:pPr>
            <w:r w:rsidRPr="004003CA">
              <w:rPr>
                <w:sz w:val="20"/>
                <w:szCs w:val="20"/>
              </w:rPr>
              <w:t>10x</w:t>
            </w:r>
          </w:p>
        </w:tc>
        <w:tc>
          <w:tcPr>
            <w:tcW w:w="2547" w:type="dxa"/>
          </w:tcPr>
          <w:p w:rsidR="004003CA" w:rsidRPr="004003CA" w:rsidRDefault="004003CA" w:rsidP="004003CA">
            <w:pPr>
              <w:pStyle w:val="NoSpacing"/>
              <w:jc w:val="center"/>
              <w:cnfStyle w:val="000000000000" w:firstRow="0" w:lastRow="0" w:firstColumn="0" w:lastColumn="0" w:oddVBand="0" w:evenVBand="0" w:oddHBand="0" w:evenHBand="0" w:firstRowFirstColumn="0" w:firstRowLastColumn="0" w:lastRowFirstColumn="0" w:lastRowLastColumn="0"/>
              <w:rPr>
                <w:sz w:val="20"/>
                <w:szCs w:val="20"/>
              </w:rPr>
            </w:pPr>
            <w:r w:rsidRPr="004003CA">
              <w:rPr>
                <w:sz w:val="20"/>
                <w:szCs w:val="20"/>
              </w:rPr>
              <w:t>10x</w:t>
            </w:r>
          </w:p>
        </w:tc>
      </w:tr>
      <w:tr w:rsidR="004003CA" w:rsidTr="004003CA">
        <w:tc>
          <w:tcPr>
            <w:cnfStyle w:val="001000000000" w:firstRow="0" w:lastRow="0" w:firstColumn="1" w:lastColumn="0" w:oddVBand="0" w:evenVBand="0" w:oddHBand="0" w:evenHBand="0" w:firstRowFirstColumn="0" w:firstRowLastColumn="0" w:lastRowFirstColumn="0" w:lastRowLastColumn="0"/>
            <w:tcW w:w="2547" w:type="dxa"/>
          </w:tcPr>
          <w:p w:rsidR="004003CA" w:rsidRPr="004003CA" w:rsidRDefault="004003CA" w:rsidP="001712F9">
            <w:pPr>
              <w:pStyle w:val="NoSpacing"/>
              <w:rPr>
                <w:b w:val="0"/>
                <w:sz w:val="20"/>
                <w:szCs w:val="20"/>
              </w:rPr>
            </w:pPr>
            <w:r w:rsidRPr="004003CA">
              <w:rPr>
                <w:b w:val="0"/>
                <w:sz w:val="20"/>
                <w:szCs w:val="20"/>
              </w:rPr>
              <w:t>Grossissement total</w:t>
            </w:r>
          </w:p>
        </w:tc>
        <w:tc>
          <w:tcPr>
            <w:tcW w:w="2547" w:type="dxa"/>
          </w:tcPr>
          <w:p w:rsidR="004003CA" w:rsidRPr="004003CA" w:rsidRDefault="004003CA" w:rsidP="004003CA">
            <w:pPr>
              <w:pStyle w:val="NoSpacing"/>
              <w:jc w:val="center"/>
              <w:cnfStyle w:val="000000000000" w:firstRow="0" w:lastRow="0" w:firstColumn="0" w:lastColumn="0" w:oddVBand="0" w:evenVBand="0" w:oddHBand="0" w:evenHBand="0" w:firstRowFirstColumn="0" w:firstRowLastColumn="0" w:lastRowFirstColumn="0" w:lastRowLastColumn="0"/>
              <w:rPr>
                <w:sz w:val="20"/>
                <w:szCs w:val="20"/>
              </w:rPr>
            </w:pPr>
            <w:r w:rsidRPr="004003CA">
              <w:rPr>
                <w:sz w:val="20"/>
                <w:szCs w:val="20"/>
              </w:rPr>
              <w:t>40x</w:t>
            </w:r>
          </w:p>
        </w:tc>
        <w:tc>
          <w:tcPr>
            <w:tcW w:w="2547" w:type="dxa"/>
          </w:tcPr>
          <w:p w:rsidR="004003CA" w:rsidRPr="004003CA" w:rsidRDefault="004003CA" w:rsidP="004003CA">
            <w:pPr>
              <w:pStyle w:val="NoSpacing"/>
              <w:jc w:val="center"/>
              <w:cnfStyle w:val="000000000000" w:firstRow="0" w:lastRow="0" w:firstColumn="0" w:lastColumn="0" w:oddVBand="0" w:evenVBand="0" w:oddHBand="0" w:evenHBand="0" w:firstRowFirstColumn="0" w:firstRowLastColumn="0" w:lastRowFirstColumn="0" w:lastRowLastColumn="0"/>
              <w:rPr>
                <w:sz w:val="20"/>
                <w:szCs w:val="20"/>
              </w:rPr>
            </w:pPr>
            <w:r w:rsidRPr="004003CA">
              <w:rPr>
                <w:sz w:val="20"/>
                <w:szCs w:val="20"/>
              </w:rPr>
              <w:t>100x</w:t>
            </w:r>
          </w:p>
        </w:tc>
        <w:tc>
          <w:tcPr>
            <w:tcW w:w="2547" w:type="dxa"/>
          </w:tcPr>
          <w:p w:rsidR="004003CA" w:rsidRPr="004003CA" w:rsidRDefault="004003CA" w:rsidP="004003CA">
            <w:pPr>
              <w:pStyle w:val="NoSpacing"/>
              <w:jc w:val="center"/>
              <w:cnfStyle w:val="000000000000" w:firstRow="0" w:lastRow="0" w:firstColumn="0" w:lastColumn="0" w:oddVBand="0" w:evenVBand="0" w:oddHBand="0" w:evenHBand="0" w:firstRowFirstColumn="0" w:firstRowLastColumn="0" w:lastRowFirstColumn="0" w:lastRowLastColumn="0"/>
              <w:rPr>
                <w:sz w:val="20"/>
                <w:szCs w:val="20"/>
              </w:rPr>
            </w:pPr>
            <w:r w:rsidRPr="004003CA">
              <w:rPr>
                <w:sz w:val="20"/>
                <w:szCs w:val="20"/>
              </w:rPr>
              <w:t>400x</w:t>
            </w:r>
          </w:p>
        </w:tc>
      </w:tr>
      <w:tr w:rsidR="004003CA" w:rsidTr="004003CA">
        <w:tc>
          <w:tcPr>
            <w:cnfStyle w:val="001000000000" w:firstRow="0" w:lastRow="0" w:firstColumn="1" w:lastColumn="0" w:oddVBand="0" w:evenVBand="0" w:oddHBand="0" w:evenHBand="0" w:firstRowFirstColumn="0" w:firstRowLastColumn="0" w:lastRowFirstColumn="0" w:lastRowLastColumn="0"/>
            <w:tcW w:w="2547" w:type="dxa"/>
          </w:tcPr>
          <w:p w:rsidR="004003CA" w:rsidRPr="004003CA" w:rsidRDefault="004003CA" w:rsidP="001712F9">
            <w:pPr>
              <w:pStyle w:val="NoSpacing"/>
              <w:rPr>
                <w:b w:val="0"/>
                <w:sz w:val="20"/>
                <w:szCs w:val="20"/>
              </w:rPr>
            </w:pPr>
            <w:r w:rsidRPr="004003CA">
              <w:rPr>
                <w:b w:val="0"/>
                <w:sz w:val="20"/>
                <w:szCs w:val="20"/>
              </w:rPr>
              <w:t>Intensité lumineuse</w:t>
            </w:r>
          </w:p>
        </w:tc>
        <w:tc>
          <w:tcPr>
            <w:tcW w:w="2547" w:type="dxa"/>
          </w:tcPr>
          <w:p w:rsidR="004003CA" w:rsidRPr="004003CA" w:rsidRDefault="004003CA" w:rsidP="004003CA">
            <w:pPr>
              <w:pStyle w:val="NoSpacing"/>
              <w:jc w:val="center"/>
              <w:cnfStyle w:val="000000000000" w:firstRow="0" w:lastRow="0" w:firstColumn="0" w:lastColumn="0" w:oddVBand="0" w:evenVBand="0" w:oddHBand="0" w:evenHBand="0" w:firstRowFirstColumn="0" w:firstRowLastColumn="0" w:lastRowFirstColumn="0" w:lastRowLastColumn="0"/>
              <w:rPr>
                <w:sz w:val="20"/>
                <w:szCs w:val="20"/>
              </w:rPr>
            </w:pPr>
            <w:r w:rsidRPr="004003CA">
              <w:rPr>
                <w:sz w:val="20"/>
                <w:szCs w:val="20"/>
              </w:rPr>
              <w:t>Forte</w:t>
            </w:r>
          </w:p>
        </w:tc>
        <w:tc>
          <w:tcPr>
            <w:tcW w:w="2547" w:type="dxa"/>
          </w:tcPr>
          <w:p w:rsidR="004003CA" w:rsidRPr="004003CA" w:rsidRDefault="004003CA" w:rsidP="004003CA">
            <w:pPr>
              <w:pStyle w:val="NoSpacing"/>
              <w:jc w:val="center"/>
              <w:cnfStyle w:val="000000000000" w:firstRow="0" w:lastRow="0" w:firstColumn="0" w:lastColumn="0" w:oddVBand="0" w:evenVBand="0" w:oddHBand="0" w:evenHBand="0" w:firstRowFirstColumn="0" w:firstRowLastColumn="0" w:lastRowFirstColumn="0" w:lastRowLastColumn="0"/>
              <w:rPr>
                <w:sz w:val="20"/>
                <w:szCs w:val="20"/>
              </w:rPr>
            </w:pPr>
            <w:r w:rsidRPr="004003CA">
              <w:rPr>
                <w:sz w:val="20"/>
                <w:szCs w:val="20"/>
              </w:rPr>
              <w:t>Moyenne</w:t>
            </w:r>
          </w:p>
        </w:tc>
        <w:tc>
          <w:tcPr>
            <w:tcW w:w="2547" w:type="dxa"/>
          </w:tcPr>
          <w:p w:rsidR="004003CA" w:rsidRPr="004003CA" w:rsidRDefault="004003CA" w:rsidP="004003CA">
            <w:pPr>
              <w:pStyle w:val="NoSpacing"/>
              <w:jc w:val="center"/>
              <w:cnfStyle w:val="000000000000" w:firstRow="0" w:lastRow="0" w:firstColumn="0" w:lastColumn="0" w:oddVBand="0" w:evenVBand="0" w:oddHBand="0" w:evenHBand="0" w:firstRowFirstColumn="0" w:firstRowLastColumn="0" w:lastRowFirstColumn="0" w:lastRowLastColumn="0"/>
              <w:rPr>
                <w:sz w:val="20"/>
                <w:szCs w:val="20"/>
              </w:rPr>
            </w:pPr>
            <w:r w:rsidRPr="004003CA">
              <w:rPr>
                <w:sz w:val="20"/>
                <w:szCs w:val="20"/>
              </w:rPr>
              <w:t>Basse</w:t>
            </w:r>
          </w:p>
        </w:tc>
      </w:tr>
      <w:tr w:rsidR="004003CA" w:rsidTr="004003CA">
        <w:tc>
          <w:tcPr>
            <w:cnfStyle w:val="001000000000" w:firstRow="0" w:lastRow="0" w:firstColumn="1" w:lastColumn="0" w:oddVBand="0" w:evenVBand="0" w:oddHBand="0" w:evenHBand="0" w:firstRowFirstColumn="0" w:firstRowLastColumn="0" w:lastRowFirstColumn="0" w:lastRowLastColumn="0"/>
            <w:tcW w:w="2547" w:type="dxa"/>
          </w:tcPr>
          <w:p w:rsidR="004003CA" w:rsidRPr="004003CA" w:rsidRDefault="004003CA" w:rsidP="001712F9">
            <w:pPr>
              <w:pStyle w:val="NoSpacing"/>
              <w:rPr>
                <w:b w:val="0"/>
                <w:sz w:val="20"/>
                <w:szCs w:val="20"/>
              </w:rPr>
            </w:pPr>
            <w:r w:rsidRPr="004003CA">
              <w:rPr>
                <w:b w:val="0"/>
                <w:sz w:val="20"/>
                <w:szCs w:val="20"/>
              </w:rPr>
              <w:t xml:space="preserve">Distance de travail </w:t>
            </w:r>
          </w:p>
        </w:tc>
        <w:tc>
          <w:tcPr>
            <w:tcW w:w="2547" w:type="dxa"/>
          </w:tcPr>
          <w:p w:rsidR="004003CA" w:rsidRPr="004003CA" w:rsidRDefault="004003CA" w:rsidP="004003CA">
            <w:pPr>
              <w:pStyle w:val="NoSpacing"/>
              <w:jc w:val="center"/>
              <w:cnfStyle w:val="000000000000" w:firstRow="0" w:lastRow="0" w:firstColumn="0" w:lastColumn="0" w:oddVBand="0" w:evenVBand="0" w:oddHBand="0" w:evenHBand="0" w:firstRowFirstColumn="0" w:firstRowLastColumn="0" w:lastRowFirstColumn="0" w:lastRowLastColumn="0"/>
              <w:rPr>
                <w:sz w:val="20"/>
                <w:szCs w:val="20"/>
              </w:rPr>
            </w:pPr>
            <w:r w:rsidRPr="004003CA">
              <w:rPr>
                <w:sz w:val="20"/>
                <w:szCs w:val="20"/>
              </w:rPr>
              <w:t>22mm</w:t>
            </w:r>
          </w:p>
        </w:tc>
        <w:tc>
          <w:tcPr>
            <w:tcW w:w="2547" w:type="dxa"/>
          </w:tcPr>
          <w:p w:rsidR="004003CA" w:rsidRPr="004003CA" w:rsidRDefault="004003CA" w:rsidP="004003CA">
            <w:pPr>
              <w:pStyle w:val="NoSpacing"/>
              <w:jc w:val="center"/>
              <w:cnfStyle w:val="000000000000" w:firstRow="0" w:lastRow="0" w:firstColumn="0" w:lastColumn="0" w:oddVBand="0" w:evenVBand="0" w:oddHBand="0" w:evenHBand="0" w:firstRowFirstColumn="0" w:firstRowLastColumn="0" w:lastRowFirstColumn="0" w:lastRowLastColumn="0"/>
              <w:rPr>
                <w:sz w:val="20"/>
                <w:szCs w:val="20"/>
              </w:rPr>
            </w:pPr>
            <w:r w:rsidRPr="004003CA">
              <w:rPr>
                <w:sz w:val="20"/>
                <w:szCs w:val="20"/>
              </w:rPr>
              <w:t>10.5mm</w:t>
            </w:r>
          </w:p>
        </w:tc>
        <w:tc>
          <w:tcPr>
            <w:tcW w:w="2547" w:type="dxa"/>
          </w:tcPr>
          <w:p w:rsidR="004003CA" w:rsidRPr="004003CA" w:rsidRDefault="004003CA" w:rsidP="004003CA">
            <w:pPr>
              <w:pStyle w:val="NoSpacing"/>
              <w:jc w:val="center"/>
              <w:cnfStyle w:val="000000000000" w:firstRow="0" w:lastRow="0" w:firstColumn="0" w:lastColumn="0" w:oddVBand="0" w:evenVBand="0" w:oddHBand="0" w:evenHBand="0" w:firstRowFirstColumn="0" w:firstRowLastColumn="0" w:lastRowFirstColumn="0" w:lastRowLastColumn="0"/>
              <w:rPr>
                <w:sz w:val="20"/>
                <w:szCs w:val="20"/>
              </w:rPr>
            </w:pPr>
            <w:r w:rsidRPr="004003CA">
              <w:rPr>
                <w:sz w:val="20"/>
                <w:szCs w:val="20"/>
              </w:rPr>
              <w:t>0.56mm</w:t>
            </w:r>
          </w:p>
        </w:tc>
      </w:tr>
    </w:tbl>
    <w:p w:rsidR="00DC6349" w:rsidRDefault="00DC6349" w:rsidP="00433438">
      <w:pPr>
        <w:pStyle w:val="NoSpacing"/>
        <w:jc w:val="both"/>
      </w:pPr>
      <w:r>
        <w:lastRenderedPageBreak/>
        <w:t xml:space="preserve">Pour calculer </w:t>
      </w:r>
      <w:r w:rsidRPr="00DC6349">
        <w:rPr>
          <w:b/>
        </w:rPr>
        <w:t>le grossissement</w:t>
      </w:r>
      <w:r>
        <w:t xml:space="preserve"> de l’image, on peut utiliser cette formule : </w:t>
      </w:r>
    </w:p>
    <w:p w:rsidR="00572E29" w:rsidRDefault="00572E29" w:rsidP="00433438">
      <w:pPr>
        <w:pStyle w:val="NoSpacing"/>
        <w:jc w:val="both"/>
      </w:pPr>
    </w:p>
    <w:p w:rsidR="00DC6349" w:rsidRDefault="00DC6349" w:rsidP="00433438">
      <w:pPr>
        <w:pStyle w:val="NoSpacing"/>
        <w:ind w:firstLine="720"/>
        <w:jc w:val="both"/>
      </w:pPr>
      <w:r w:rsidRPr="00DC6349">
        <w:rPr>
          <w:b/>
        </w:rPr>
        <w:t>Facteur de grossissement</w:t>
      </w:r>
      <w:r>
        <w:t xml:space="preserve"> = </w:t>
      </w:r>
      <w:r w:rsidRPr="00DC6349">
        <w:rPr>
          <w:u w:val="single"/>
        </w:rPr>
        <w:t>taille mesurée de l’objet</w:t>
      </w:r>
      <w:r>
        <w:t xml:space="preserve"> = _____x</w:t>
      </w:r>
    </w:p>
    <w:p w:rsidR="00DC6349" w:rsidRDefault="00DC6349" w:rsidP="00433438">
      <w:pPr>
        <w:pStyle w:val="NoSpacing"/>
        <w:jc w:val="both"/>
      </w:pPr>
      <w:r>
        <w:tab/>
      </w:r>
      <w:r>
        <w:tab/>
      </w:r>
      <w:r>
        <w:tab/>
        <w:t xml:space="preserve">         </w:t>
      </w:r>
      <w:r w:rsidR="00572E29">
        <w:tab/>
        <w:t xml:space="preserve">          </w:t>
      </w:r>
      <w:proofErr w:type="gramStart"/>
      <w:r>
        <w:t>taille</w:t>
      </w:r>
      <w:proofErr w:type="gramEnd"/>
      <w:r>
        <w:t xml:space="preserve"> réelle de l’objet</w:t>
      </w:r>
    </w:p>
    <w:p w:rsidR="00572E29" w:rsidRDefault="00572E29" w:rsidP="00433438">
      <w:pPr>
        <w:pStyle w:val="NoSpacing"/>
        <w:jc w:val="both"/>
      </w:pPr>
    </w:p>
    <w:p w:rsidR="00572E29" w:rsidRDefault="00572E29" w:rsidP="00433438">
      <w:pPr>
        <w:pStyle w:val="NoSpacing"/>
        <w:jc w:val="both"/>
      </w:pPr>
      <w:r>
        <w:t xml:space="preserve">Principe pour déterminer </w:t>
      </w:r>
      <w:r w:rsidRPr="00572E29">
        <w:rPr>
          <w:b/>
        </w:rPr>
        <w:t>la taille</w:t>
      </w:r>
      <w:r>
        <w:t xml:space="preserve"> de divers objets observée est très simple.  La </w:t>
      </w:r>
      <w:r w:rsidRPr="00572E29">
        <w:rPr>
          <w:b/>
        </w:rPr>
        <w:t>proportion</w:t>
      </w:r>
      <w:r>
        <w:t xml:space="preserve"> entre deux objets ne varie pas entre l’écran et le monde réel.  On utilise donc l’équation suivant : </w:t>
      </w:r>
    </w:p>
    <w:p w:rsidR="00572E29" w:rsidRDefault="00572E29" w:rsidP="00433438">
      <w:pPr>
        <w:pStyle w:val="NoSpacing"/>
        <w:jc w:val="both"/>
      </w:pPr>
    </w:p>
    <w:p w:rsidR="00572E29" w:rsidRPr="00572E29" w:rsidRDefault="00572E29" w:rsidP="00433438">
      <w:pPr>
        <w:pStyle w:val="NoSpacing"/>
        <w:jc w:val="both"/>
        <w:rPr>
          <w:b/>
        </w:rPr>
      </w:pPr>
      <w:r>
        <w:tab/>
      </w:r>
      <w:r w:rsidRPr="00572E29">
        <w:rPr>
          <w:u w:val="single"/>
        </w:rPr>
        <w:t>Taille réelle de l’objet A</w:t>
      </w:r>
      <w:r>
        <w:t xml:space="preserve"> = </w:t>
      </w:r>
      <w:r>
        <w:rPr>
          <w:u w:val="single"/>
        </w:rPr>
        <w:t>T</w:t>
      </w:r>
      <w:r w:rsidRPr="00572E29">
        <w:rPr>
          <w:u w:val="single"/>
        </w:rPr>
        <w:t>aille à l’écran de l’objet A</w:t>
      </w:r>
      <w:r>
        <w:tab/>
      </w:r>
      <w:r w:rsidRPr="00572E29">
        <w:rPr>
          <w:b/>
          <w:u w:val="single"/>
        </w:rPr>
        <w:t>A</w:t>
      </w:r>
      <w:r w:rsidRPr="00572E29">
        <w:rPr>
          <w:b/>
          <w:u w:val="single"/>
          <w:vertAlign w:val="subscript"/>
        </w:rPr>
        <w:t>1</w:t>
      </w:r>
      <w:r w:rsidRPr="00572E29">
        <w:rPr>
          <w:b/>
        </w:rPr>
        <w:t xml:space="preserve"> = </w:t>
      </w:r>
      <w:r w:rsidRPr="00572E29">
        <w:rPr>
          <w:b/>
          <w:u w:val="single"/>
        </w:rPr>
        <w:t>A</w:t>
      </w:r>
      <w:r w:rsidRPr="00572E29">
        <w:rPr>
          <w:b/>
          <w:u w:val="single"/>
          <w:vertAlign w:val="subscript"/>
        </w:rPr>
        <w:t>2</w:t>
      </w:r>
    </w:p>
    <w:p w:rsidR="00572E29" w:rsidRDefault="00572E29" w:rsidP="00433438">
      <w:pPr>
        <w:pStyle w:val="NoSpacing"/>
        <w:jc w:val="both"/>
        <w:rPr>
          <w:b/>
          <w:vertAlign w:val="subscript"/>
        </w:rPr>
      </w:pPr>
      <w:r>
        <w:tab/>
        <w:t>Taille réelle de l’objet B     Taille à l’écran de l’objet B</w:t>
      </w:r>
      <w:r>
        <w:tab/>
      </w:r>
      <w:r w:rsidRPr="00572E29">
        <w:rPr>
          <w:b/>
        </w:rPr>
        <w:t>B</w:t>
      </w:r>
      <w:r w:rsidRPr="00572E29">
        <w:rPr>
          <w:b/>
          <w:vertAlign w:val="subscript"/>
        </w:rPr>
        <w:t>1</w:t>
      </w:r>
      <w:r>
        <w:rPr>
          <w:b/>
        </w:rPr>
        <w:t xml:space="preserve">    </w:t>
      </w:r>
      <w:r w:rsidRPr="00572E29">
        <w:rPr>
          <w:b/>
        </w:rPr>
        <w:t xml:space="preserve"> B</w:t>
      </w:r>
      <w:r w:rsidRPr="00572E29">
        <w:rPr>
          <w:b/>
          <w:vertAlign w:val="subscript"/>
        </w:rPr>
        <w:t>2</w:t>
      </w:r>
    </w:p>
    <w:p w:rsidR="00572E29" w:rsidRDefault="00572E29" w:rsidP="00433438">
      <w:pPr>
        <w:pStyle w:val="NoSpacing"/>
        <w:jc w:val="both"/>
        <w:rPr>
          <w:b/>
        </w:rPr>
      </w:pPr>
    </w:p>
    <w:p w:rsidR="00572E29" w:rsidRDefault="00572E29" w:rsidP="00433438">
      <w:pPr>
        <w:pStyle w:val="NoSpacing"/>
        <w:jc w:val="both"/>
      </w:pPr>
      <w:r>
        <w:t xml:space="preserve">Pour déterminer </w:t>
      </w:r>
      <w:r w:rsidRPr="00572E29">
        <w:rPr>
          <w:b/>
        </w:rPr>
        <w:t>la taille d’un objet</w:t>
      </w:r>
      <w:r>
        <w:t xml:space="preserve"> en utilisant la taille du champ de vison, on utilise la même formule sauf qu’on fait le </w:t>
      </w:r>
      <w:r w:rsidRPr="00572E29">
        <w:rPr>
          <w:b/>
        </w:rPr>
        <w:t>produit croisé</w:t>
      </w:r>
      <w:r>
        <w:t>.  (</w:t>
      </w:r>
      <w:r w:rsidRPr="00572E29">
        <w:rPr>
          <w:b/>
        </w:rPr>
        <w:t>CDV</w:t>
      </w:r>
      <w:r>
        <w:t xml:space="preserve"> = champ de vision)</w:t>
      </w:r>
    </w:p>
    <w:p w:rsidR="00572E29" w:rsidRDefault="00572E29" w:rsidP="00433438">
      <w:pPr>
        <w:pStyle w:val="NoSpacing"/>
        <w:jc w:val="both"/>
      </w:pPr>
      <w:r>
        <w:tab/>
      </w:r>
    </w:p>
    <w:p w:rsidR="00572E29" w:rsidRDefault="00572E29" w:rsidP="00433438">
      <w:pPr>
        <w:pStyle w:val="NoSpacing"/>
        <w:jc w:val="both"/>
      </w:pPr>
      <w:r>
        <w:tab/>
      </w:r>
      <w:r w:rsidRPr="00B5315A">
        <w:rPr>
          <w:b/>
        </w:rPr>
        <w:t>Taille réelle de l’objet (A</w:t>
      </w:r>
      <w:r w:rsidRPr="00B5315A">
        <w:rPr>
          <w:b/>
          <w:vertAlign w:val="subscript"/>
        </w:rPr>
        <w:t>1</w:t>
      </w:r>
      <w:r w:rsidRPr="00B5315A">
        <w:rPr>
          <w:b/>
        </w:rPr>
        <w:t>)</w:t>
      </w:r>
      <w:r>
        <w:t xml:space="preserve"> = </w:t>
      </w:r>
      <w:r w:rsidRPr="00B5315A">
        <w:rPr>
          <w:u w:val="single"/>
        </w:rPr>
        <w:t xml:space="preserve">Taille </w:t>
      </w:r>
      <w:r w:rsidRPr="00572E29">
        <w:rPr>
          <w:u w:val="single"/>
        </w:rPr>
        <w:t>réelle du CDV (B</w:t>
      </w:r>
      <w:r w:rsidRPr="00572E29">
        <w:rPr>
          <w:u w:val="single"/>
          <w:vertAlign w:val="subscript"/>
        </w:rPr>
        <w:t>1</w:t>
      </w:r>
      <w:r w:rsidRPr="00572E29">
        <w:rPr>
          <w:u w:val="single"/>
        </w:rPr>
        <w:t>)</w:t>
      </w:r>
      <w:r>
        <w:t xml:space="preserve"> x Taille de l’objet à l’écran (A</w:t>
      </w:r>
      <w:r>
        <w:rPr>
          <w:vertAlign w:val="subscript"/>
        </w:rPr>
        <w:t>2</w:t>
      </w:r>
      <w:r>
        <w:t xml:space="preserve">)  </w:t>
      </w:r>
      <w:r>
        <w:tab/>
      </w:r>
      <w:r w:rsidRPr="00B5315A">
        <w:rPr>
          <w:b/>
        </w:rPr>
        <w:t>A</w:t>
      </w:r>
      <w:r w:rsidRPr="00B5315A">
        <w:rPr>
          <w:b/>
          <w:vertAlign w:val="subscript"/>
        </w:rPr>
        <w:t>1</w:t>
      </w:r>
      <w:r w:rsidRPr="00B5315A">
        <w:rPr>
          <w:b/>
        </w:rPr>
        <w:t xml:space="preserve"> = </w:t>
      </w:r>
      <w:r w:rsidRPr="00B5315A">
        <w:rPr>
          <w:b/>
          <w:u w:val="single"/>
        </w:rPr>
        <w:t>B</w:t>
      </w:r>
      <w:r w:rsidRPr="00B5315A">
        <w:rPr>
          <w:b/>
          <w:u w:val="single"/>
          <w:vertAlign w:val="subscript"/>
        </w:rPr>
        <w:t>1</w:t>
      </w:r>
      <w:r w:rsidRPr="00B5315A">
        <w:rPr>
          <w:b/>
          <w:u w:val="single"/>
        </w:rPr>
        <w:t>A</w:t>
      </w:r>
      <w:r w:rsidRPr="00B5315A">
        <w:rPr>
          <w:b/>
          <w:u w:val="single"/>
          <w:vertAlign w:val="subscript"/>
        </w:rPr>
        <w:t>2</w:t>
      </w:r>
    </w:p>
    <w:p w:rsidR="00572E29" w:rsidRDefault="00572E29" w:rsidP="00433438">
      <w:pPr>
        <w:pStyle w:val="NoSpacing"/>
        <w:jc w:val="both"/>
        <w:rPr>
          <w:b/>
          <w:vertAlign w:val="subscript"/>
        </w:rPr>
      </w:pPr>
      <w:r>
        <w:t xml:space="preserve">                                                               Taille du CDV à l’écran (B</w:t>
      </w:r>
      <w:r>
        <w:rPr>
          <w:vertAlign w:val="subscript"/>
        </w:rPr>
        <w:t>2</w:t>
      </w:r>
      <w:r>
        <w:t>)</w:t>
      </w:r>
      <w:r w:rsidR="00B5315A">
        <w:tab/>
      </w:r>
      <w:r w:rsidR="00B5315A">
        <w:tab/>
      </w:r>
      <w:r w:rsidR="00B5315A">
        <w:tab/>
      </w:r>
      <w:r w:rsidR="00B5315A">
        <w:tab/>
      </w:r>
      <w:r w:rsidR="00B5315A">
        <w:tab/>
      </w:r>
      <w:r w:rsidR="00B5315A" w:rsidRPr="00B5315A">
        <w:rPr>
          <w:b/>
        </w:rPr>
        <w:t xml:space="preserve">          B</w:t>
      </w:r>
      <w:r w:rsidR="00B5315A" w:rsidRPr="00B5315A">
        <w:rPr>
          <w:b/>
          <w:vertAlign w:val="subscript"/>
        </w:rPr>
        <w:t>2</w:t>
      </w:r>
    </w:p>
    <w:p w:rsidR="005967D0" w:rsidRDefault="005967D0" w:rsidP="001712F9">
      <w:pPr>
        <w:pStyle w:val="NoSpacing"/>
        <w:rPr>
          <w:b/>
        </w:rPr>
      </w:pPr>
    </w:p>
    <w:p w:rsidR="005967D0" w:rsidRDefault="005967D0" w:rsidP="001712F9">
      <w:pPr>
        <w:pStyle w:val="NoSpacing"/>
      </w:pPr>
      <w:r>
        <w:rPr>
          <w:b/>
        </w:rPr>
        <w:t>A</w:t>
      </w:r>
      <w:r>
        <w:rPr>
          <w:b/>
          <w:vertAlign w:val="subscript"/>
        </w:rPr>
        <w:t>2 </w:t>
      </w:r>
      <w:r>
        <w:t>: tu la mesures à l’écran avec une règle</w:t>
      </w:r>
      <w:r>
        <w:tab/>
      </w:r>
    </w:p>
    <w:p w:rsidR="005967D0" w:rsidRPr="005967D0" w:rsidRDefault="005967D0" w:rsidP="001712F9">
      <w:pPr>
        <w:pStyle w:val="NoSpacing"/>
      </w:pPr>
      <w:r w:rsidRPr="005967D0">
        <w:rPr>
          <w:b/>
        </w:rPr>
        <w:t>B</w:t>
      </w:r>
      <w:r>
        <w:rPr>
          <w:b/>
          <w:vertAlign w:val="subscript"/>
        </w:rPr>
        <w:t>2 </w:t>
      </w:r>
      <w:r>
        <w:rPr>
          <w:b/>
        </w:rPr>
        <w:t xml:space="preserve">: </w:t>
      </w:r>
      <w:r>
        <w:t xml:space="preserve">la largeur totale de la photo à l’écran </w:t>
      </w:r>
    </w:p>
    <w:p w:rsidR="005967D0" w:rsidRDefault="005967D0" w:rsidP="001712F9">
      <w:pPr>
        <w:pStyle w:val="NoSpacing"/>
      </w:pPr>
      <w:r w:rsidRPr="005967D0">
        <w:rPr>
          <w:b/>
        </w:rPr>
        <w:t>B</w:t>
      </w:r>
      <w:r>
        <w:rPr>
          <w:b/>
          <w:vertAlign w:val="subscript"/>
        </w:rPr>
        <w:t>1 </w:t>
      </w:r>
      <w:r>
        <w:rPr>
          <w:b/>
        </w:rPr>
        <w:t xml:space="preserve">: </w:t>
      </w:r>
      <w:r>
        <w:t xml:space="preserve">taille réelle du CDV dans le tableau </w:t>
      </w:r>
    </w:p>
    <w:p w:rsidR="005967D0" w:rsidRDefault="005967D0" w:rsidP="001712F9">
      <w:pPr>
        <w:pStyle w:val="NoSpacing"/>
      </w:pPr>
    </w:p>
    <w:tbl>
      <w:tblPr>
        <w:tblStyle w:val="LightShading"/>
        <w:tblW w:w="0" w:type="auto"/>
        <w:tblLook w:val="06A0" w:firstRow="1" w:lastRow="0" w:firstColumn="1" w:lastColumn="0" w:noHBand="1" w:noVBand="1"/>
      </w:tblPr>
      <w:tblGrid>
        <w:gridCol w:w="1951"/>
        <w:gridCol w:w="2126"/>
      </w:tblGrid>
      <w:tr w:rsidR="005967D0" w:rsidTr="005967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rsidR="005967D0" w:rsidRDefault="005967D0" w:rsidP="001712F9">
            <w:pPr>
              <w:pStyle w:val="NoSpacing"/>
            </w:pPr>
            <w:r>
              <w:t xml:space="preserve">Objectif </w:t>
            </w:r>
          </w:p>
        </w:tc>
        <w:tc>
          <w:tcPr>
            <w:tcW w:w="2126" w:type="dxa"/>
          </w:tcPr>
          <w:p w:rsidR="005967D0" w:rsidRDefault="005967D0" w:rsidP="001712F9">
            <w:pPr>
              <w:pStyle w:val="NoSpacing"/>
              <w:cnfStyle w:val="100000000000" w:firstRow="1" w:lastRow="0" w:firstColumn="0" w:lastColumn="0" w:oddVBand="0" w:evenVBand="0" w:oddHBand="0" w:evenHBand="0" w:firstRowFirstColumn="0" w:firstRowLastColumn="0" w:lastRowFirstColumn="0" w:lastRowLastColumn="0"/>
            </w:pPr>
            <w:r>
              <w:t xml:space="preserve">Champ de vision de la caméra </w:t>
            </w:r>
          </w:p>
        </w:tc>
      </w:tr>
      <w:tr w:rsidR="005967D0" w:rsidTr="005967D0">
        <w:tc>
          <w:tcPr>
            <w:cnfStyle w:val="001000000000" w:firstRow="0" w:lastRow="0" w:firstColumn="1" w:lastColumn="0" w:oddVBand="0" w:evenVBand="0" w:oddHBand="0" w:evenHBand="0" w:firstRowFirstColumn="0" w:firstRowLastColumn="0" w:lastRowFirstColumn="0" w:lastRowLastColumn="0"/>
            <w:tcW w:w="1951" w:type="dxa"/>
          </w:tcPr>
          <w:p w:rsidR="005967D0" w:rsidRPr="005967D0" w:rsidRDefault="005967D0" w:rsidP="001712F9">
            <w:pPr>
              <w:pStyle w:val="NoSpacing"/>
              <w:rPr>
                <w:b w:val="0"/>
              </w:rPr>
            </w:pPr>
            <w:r w:rsidRPr="005967D0">
              <w:rPr>
                <w:b w:val="0"/>
              </w:rPr>
              <w:t>4x</w:t>
            </w:r>
          </w:p>
        </w:tc>
        <w:tc>
          <w:tcPr>
            <w:tcW w:w="2126" w:type="dxa"/>
          </w:tcPr>
          <w:p w:rsidR="005967D0" w:rsidRDefault="005967D0" w:rsidP="001712F9">
            <w:pPr>
              <w:pStyle w:val="NoSpacing"/>
              <w:cnfStyle w:val="000000000000" w:firstRow="0" w:lastRow="0" w:firstColumn="0" w:lastColumn="0" w:oddVBand="0" w:evenVBand="0" w:oddHBand="0" w:evenHBand="0" w:firstRowFirstColumn="0" w:firstRowLastColumn="0" w:lastRowFirstColumn="0" w:lastRowLastColumn="0"/>
            </w:pPr>
            <w:r>
              <w:t>1.75mm</w:t>
            </w:r>
          </w:p>
        </w:tc>
      </w:tr>
      <w:tr w:rsidR="005967D0" w:rsidTr="005967D0">
        <w:tc>
          <w:tcPr>
            <w:cnfStyle w:val="001000000000" w:firstRow="0" w:lastRow="0" w:firstColumn="1" w:lastColumn="0" w:oddVBand="0" w:evenVBand="0" w:oddHBand="0" w:evenHBand="0" w:firstRowFirstColumn="0" w:firstRowLastColumn="0" w:lastRowFirstColumn="0" w:lastRowLastColumn="0"/>
            <w:tcW w:w="1951" w:type="dxa"/>
          </w:tcPr>
          <w:p w:rsidR="005967D0" w:rsidRPr="005967D0" w:rsidRDefault="005967D0" w:rsidP="001712F9">
            <w:pPr>
              <w:pStyle w:val="NoSpacing"/>
              <w:rPr>
                <w:b w:val="0"/>
              </w:rPr>
            </w:pPr>
            <w:r w:rsidRPr="005967D0">
              <w:rPr>
                <w:b w:val="0"/>
              </w:rPr>
              <w:t>10x</w:t>
            </w:r>
          </w:p>
        </w:tc>
        <w:tc>
          <w:tcPr>
            <w:tcW w:w="2126" w:type="dxa"/>
          </w:tcPr>
          <w:p w:rsidR="005967D0" w:rsidRDefault="005967D0" w:rsidP="001712F9">
            <w:pPr>
              <w:pStyle w:val="NoSpacing"/>
              <w:cnfStyle w:val="000000000000" w:firstRow="0" w:lastRow="0" w:firstColumn="0" w:lastColumn="0" w:oddVBand="0" w:evenVBand="0" w:oddHBand="0" w:evenHBand="0" w:firstRowFirstColumn="0" w:firstRowLastColumn="0" w:lastRowFirstColumn="0" w:lastRowLastColumn="0"/>
            </w:pPr>
            <w:r>
              <w:t>0.70mm</w:t>
            </w:r>
          </w:p>
        </w:tc>
      </w:tr>
      <w:tr w:rsidR="005967D0" w:rsidTr="005967D0">
        <w:tc>
          <w:tcPr>
            <w:cnfStyle w:val="001000000000" w:firstRow="0" w:lastRow="0" w:firstColumn="1" w:lastColumn="0" w:oddVBand="0" w:evenVBand="0" w:oddHBand="0" w:evenHBand="0" w:firstRowFirstColumn="0" w:firstRowLastColumn="0" w:lastRowFirstColumn="0" w:lastRowLastColumn="0"/>
            <w:tcW w:w="1951" w:type="dxa"/>
          </w:tcPr>
          <w:p w:rsidR="005967D0" w:rsidRPr="005967D0" w:rsidRDefault="005967D0" w:rsidP="001712F9">
            <w:pPr>
              <w:pStyle w:val="NoSpacing"/>
              <w:rPr>
                <w:b w:val="0"/>
              </w:rPr>
            </w:pPr>
            <w:r w:rsidRPr="005967D0">
              <w:rPr>
                <w:b w:val="0"/>
              </w:rPr>
              <w:t>40x</w:t>
            </w:r>
          </w:p>
        </w:tc>
        <w:tc>
          <w:tcPr>
            <w:tcW w:w="2126" w:type="dxa"/>
          </w:tcPr>
          <w:p w:rsidR="005967D0" w:rsidRDefault="005967D0" w:rsidP="001712F9">
            <w:pPr>
              <w:pStyle w:val="NoSpacing"/>
              <w:cnfStyle w:val="000000000000" w:firstRow="0" w:lastRow="0" w:firstColumn="0" w:lastColumn="0" w:oddVBand="0" w:evenVBand="0" w:oddHBand="0" w:evenHBand="0" w:firstRowFirstColumn="0" w:firstRowLastColumn="0" w:lastRowFirstColumn="0" w:lastRowLastColumn="0"/>
            </w:pPr>
            <w:r>
              <w:t>0.175mm</w:t>
            </w:r>
          </w:p>
        </w:tc>
      </w:tr>
      <w:tr w:rsidR="005967D0" w:rsidTr="005967D0">
        <w:tc>
          <w:tcPr>
            <w:cnfStyle w:val="001000000000" w:firstRow="0" w:lastRow="0" w:firstColumn="1" w:lastColumn="0" w:oddVBand="0" w:evenVBand="0" w:oddHBand="0" w:evenHBand="0" w:firstRowFirstColumn="0" w:firstRowLastColumn="0" w:lastRowFirstColumn="0" w:lastRowLastColumn="0"/>
            <w:tcW w:w="1951" w:type="dxa"/>
          </w:tcPr>
          <w:p w:rsidR="005967D0" w:rsidRPr="005967D0" w:rsidRDefault="005967D0" w:rsidP="001712F9">
            <w:pPr>
              <w:pStyle w:val="NoSpacing"/>
              <w:rPr>
                <w:b w:val="0"/>
              </w:rPr>
            </w:pPr>
            <w:r w:rsidRPr="005967D0">
              <w:rPr>
                <w:b w:val="0"/>
              </w:rPr>
              <w:t>100x</w:t>
            </w:r>
          </w:p>
        </w:tc>
        <w:tc>
          <w:tcPr>
            <w:tcW w:w="2126" w:type="dxa"/>
          </w:tcPr>
          <w:p w:rsidR="005967D0" w:rsidRDefault="005967D0" w:rsidP="001712F9">
            <w:pPr>
              <w:pStyle w:val="NoSpacing"/>
              <w:cnfStyle w:val="000000000000" w:firstRow="0" w:lastRow="0" w:firstColumn="0" w:lastColumn="0" w:oddVBand="0" w:evenVBand="0" w:oddHBand="0" w:evenHBand="0" w:firstRowFirstColumn="0" w:firstRowLastColumn="0" w:lastRowFirstColumn="0" w:lastRowLastColumn="0"/>
            </w:pPr>
            <w:r>
              <w:t>0.070mm</w:t>
            </w:r>
          </w:p>
        </w:tc>
      </w:tr>
      <w:tr w:rsidR="007A6859" w:rsidTr="005967D0">
        <w:tc>
          <w:tcPr>
            <w:cnfStyle w:val="001000000000" w:firstRow="0" w:lastRow="0" w:firstColumn="1" w:lastColumn="0" w:oddVBand="0" w:evenVBand="0" w:oddHBand="0" w:evenHBand="0" w:firstRowFirstColumn="0" w:firstRowLastColumn="0" w:lastRowFirstColumn="0" w:lastRowLastColumn="0"/>
            <w:tcW w:w="1951" w:type="dxa"/>
          </w:tcPr>
          <w:p w:rsidR="007A6859" w:rsidRPr="005967D0" w:rsidRDefault="007A6859" w:rsidP="001712F9">
            <w:pPr>
              <w:pStyle w:val="NoSpacing"/>
              <w:rPr>
                <w:b w:val="0"/>
              </w:rPr>
            </w:pPr>
          </w:p>
        </w:tc>
        <w:tc>
          <w:tcPr>
            <w:tcW w:w="2126" w:type="dxa"/>
          </w:tcPr>
          <w:p w:rsidR="007A6859" w:rsidRDefault="007A6859" w:rsidP="001712F9">
            <w:pPr>
              <w:pStyle w:val="NoSpacing"/>
              <w:cnfStyle w:val="000000000000" w:firstRow="0" w:lastRow="0" w:firstColumn="0" w:lastColumn="0" w:oddVBand="0" w:evenVBand="0" w:oddHBand="0" w:evenHBand="0" w:firstRowFirstColumn="0" w:firstRowLastColumn="0" w:lastRowFirstColumn="0" w:lastRowLastColumn="0"/>
            </w:pPr>
          </w:p>
        </w:tc>
      </w:tr>
    </w:tbl>
    <w:p w:rsidR="005967D0" w:rsidRDefault="005967D0" w:rsidP="001712F9">
      <w:pPr>
        <w:pStyle w:val="NoSpacing"/>
      </w:pPr>
    </w:p>
    <w:p w:rsidR="007A6859" w:rsidRDefault="007A6859" w:rsidP="00433438">
      <w:pPr>
        <w:pStyle w:val="NoSpacing"/>
        <w:jc w:val="both"/>
      </w:pPr>
      <w:r>
        <w:t xml:space="preserve">Pour déterminer la taille d’un objet en utilisant les </w:t>
      </w:r>
      <w:r w:rsidRPr="007A6859">
        <w:rPr>
          <w:b/>
        </w:rPr>
        <w:t>fichiers de barre d’échelle</w:t>
      </w:r>
      <w:r>
        <w:t>, on utilise la même équation que la précédente sauf que les variables sont différentes.</w:t>
      </w:r>
    </w:p>
    <w:p w:rsidR="007A6859" w:rsidRDefault="007A6859" w:rsidP="00433438">
      <w:pPr>
        <w:pStyle w:val="NoSpacing"/>
        <w:jc w:val="both"/>
      </w:pPr>
      <w:r>
        <w:tab/>
      </w:r>
      <w:r w:rsidRPr="007A6859">
        <w:rPr>
          <w:b/>
        </w:rPr>
        <w:t>A</w:t>
      </w:r>
      <w:r w:rsidRPr="007A6859">
        <w:rPr>
          <w:b/>
          <w:vertAlign w:val="subscript"/>
        </w:rPr>
        <w:t>2</w:t>
      </w:r>
      <w:r>
        <w:rPr>
          <w:vertAlign w:val="subscript"/>
        </w:rPr>
        <w:t> </w:t>
      </w:r>
      <w:r>
        <w:t>: la longueur ou largeur à l’écran de l’objet dont vous voulez connaitre la dimension</w:t>
      </w:r>
    </w:p>
    <w:p w:rsidR="007A6859" w:rsidRDefault="007A6859" w:rsidP="00433438">
      <w:pPr>
        <w:pStyle w:val="NoSpacing"/>
        <w:jc w:val="both"/>
      </w:pPr>
      <w:r>
        <w:tab/>
      </w:r>
      <w:r w:rsidRPr="007A6859">
        <w:rPr>
          <w:b/>
        </w:rPr>
        <w:t>B</w:t>
      </w:r>
      <w:r w:rsidRPr="007A6859">
        <w:rPr>
          <w:b/>
          <w:vertAlign w:val="subscript"/>
        </w:rPr>
        <w:t>1 </w:t>
      </w:r>
      <w:r>
        <w:t>: taille réelle de la barre d’échelle qui est indiquée sur le fichier</w:t>
      </w:r>
    </w:p>
    <w:p w:rsidR="007A6859" w:rsidRDefault="007A6859" w:rsidP="00433438">
      <w:pPr>
        <w:pStyle w:val="NoSpacing"/>
        <w:ind w:left="720"/>
        <w:jc w:val="both"/>
      </w:pPr>
      <w:r w:rsidRPr="007A6859">
        <w:rPr>
          <w:b/>
        </w:rPr>
        <w:t>B</w:t>
      </w:r>
      <w:r w:rsidRPr="007A6859">
        <w:rPr>
          <w:b/>
          <w:vertAlign w:val="subscript"/>
        </w:rPr>
        <w:t>2 </w:t>
      </w:r>
      <w:r>
        <w:t>: la longueur de la barre d’échelle à l’écran – la barre qui apparait sur l’écran – et on la mesure avec une règle</w:t>
      </w:r>
    </w:p>
    <w:p w:rsidR="007A6859" w:rsidRDefault="007A6859" w:rsidP="00433438">
      <w:pPr>
        <w:pStyle w:val="NoSpacing"/>
        <w:jc w:val="both"/>
      </w:pPr>
    </w:p>
    <w:p w:rsidR="007A6859" w:rsidRPr="00287FA5" w:rsidRDefault="00287FA5" w:rsidP="00433438">
      <w:pPr>
        <w:pStyle w:val="NoSpacing"/>
        <w:jc w:val="both"/>
        <w:rPr>
          <w:b/>
        </w:rPr>
      </w:pPr>
      <w:r w:rsidRPr="00287FA5">
        <w:rPr>
          <w:b/>
        </w:rPr>
        <w:t>À se souvenir :</w:t>
      </w:r>
    </w:p>
    <w:p w:rsidR="005967D0" w:rsidRDefault="00287FA5" w:rsidP="00433438">
      <w:pPr>
        <w:pStyle w:val="NoSpacing"/>
        <w:jc w:val="both"/>
      </w:pPr>
      <w:r>
        <w:t xml:space="preserve">Travaillez toujours avec microscope propre.  Nettoyez-le avec le papier à lentille fourni. </w:t>
      </w:r>
    </w:p>
    <w:p w:rsidR="00287FA5" w:rsidRDefault="00287FA5" w:rsidP="00433438">
      <w:pPr>
        <w:pStyle w:val="NoSpacing"/>
        <w:jc w:val="both"/>
      </w:pPr>
      <w:r>
        <w:t>Commencez toujours par localiser le spécimen avec un faible grossissement, puis augmentez petite à petit.</w:t>
      </w:r>
    </w:p>
    <w:p w:rsidR="00287FA5" w:rsidRDefault="00287FA5" w:rsidP="00433438">
      <w:pPr>
        <w:pStyle w:val="NoSpacing"/>
        <w:jc w:val="both"/>
      </w:pPr>
      <w:r>
        <w:t xml:space="preserve">N’utilisez jamais la vis </w:t>
      </w:r>
      <w:proofErr w:type="spellStart"/>
      <w:r w:rsidRPr="00287FA5">
        <w:rPr>
          <w:b/>
        </w:rPr>
        <w:t>macro</w:t>
      </w:r>
      <w:r>
        <w:t>métrique</w:t>
      </w:r>
      <w:proofErr w:type="spellEnd"/>
      <w:r>
        <w:t xml:space="preserve"> avec l’objectif 40x.  N’utilisez que la commande du mouvement lent.</w:t>
      </w:r>
    </w:p>
    <w:p w:rsidR="00287FA5" w:rsidRDefault="00287FA5" w:rsidP="00433438">
      <w:pPr>
        <w:pStyle w:val="NoSpacing"/>
        <w:jc w:val="both"/>
      </w:pPr>
      <w:r>
        <w:t>Réglez toujours l’éclairage lorsque vous changez d’objectif.  S’il y a trop de lumière, l’image est floue et la mise au point est impossible.</w:t>
      </w:r>
    </w:p>
    <w:p w:rsidR="00B5315A" w:rsidRPr="00287FA5" w:rsidRDefault="00B5315A" w:rsidP="001712F9">
      <w:pPr>
        <w:pStyle w:val="NoSpacing"/>
        <w:rPr>
          <w:b/>
          <w:sz w:val="28"/>
          <w:szCs w:val="28"/>
          <w:u w:val="single"/>
        </w:rPr>
      </w:pPr>
    </w:p>
    <w:p w:rsidR="00287FA5" w:rsidRDefault="00287FA5" w:rsidP="001712F9">
      <w:pPr>
        <w:pStyle w:val="NoSpacing"/>
        <w:rPr>
          <w:b/>
          <w:sz w:val="36"/>
          <w:szCs w:val="36"/>
          <w:u w:val="single"/>
        </w:rPr>
      </w:pPr>
      <w:r w:rsidRPr="00287FA5">
        <w:rPr>
          <w:b/>
          <w:sz w:val="36"/>
          <w:szCs w:val="36"/>
          <w:u w:val="single"/>
        </w:rPr>
        <w:t>Microscope stéréoscopique (à dissection)</w:t>
      </w:r>
    </w:p>
    <w:p w:rsidR="00287FA5" w:rsidRDefault="00287FA5" w:rsidP="00433438">
      <w:pPr>
        <w:pStyle w:val="NoSpacing"/>
        <w:jc w:val="both"/>
      </w:pPr>
      <w:r>
        <w:t xml:space="preserve">Sert à observer des </w:t>
      </w:r>
      <w:r w:rsidRPr="00A52603">
        <w:rPr>
          <w:b/>
        </w:rPr>
        <w:t>objets trop gros ou trop épais</w:t>
      </w:r>
      <w:r>
        <w:t xml:space="preserve"> pour être observés à l’aide d’un microscope composé.</w:t>
      </w:r>
      <w:r w:rsidR="00A52603">
        <w:t xml:space="preserve">  Ce microscope a deux oculaires, produisant ainsi une </w:t>
      </w:r>
      <w:r w:rsidR="00A52603" w:rsidRPr="00A52603">
        <w:rPr>
          <w:b/>
        </w:rPr>
        <w:t>image en 3D</w:t>
      </w:r>
      <w:r w:rsidR="00A52603">
        <w:t>.  Ces microscopes donnent des grossissements allant de 6.7x à 45x.  On peu</w:t>
      </w:r>
      <w:r w:rsidR="00B62352">
        <w:t>t obtenir un changement continu</w:t>
      </w:r>
      <w:r w:rsidR="00A52603">
        <w:t xml:space="preserve"> du grossissement.</w:t>
      </w:r>
    </w:p>
    <w:p w:rsidR="00B62352" w:rsidRDefault="00B62352" w:rsidP="00433438">
      <w:pPr>
        <w:pStyle w:val="NoSpacing"/>
        <w:jc w:val="both"/>
      </w:pPr>
    </w:p>
    <w:p w:rsidR="00B62352" w:rsidRDefault="00B62352" w:rsidP="00433438">
      <w:pPr>
        <w:pStyle w:val="NoSpacing"/>
        <w:jc w:val="both"/>
      </w:pPr>
      <w:r>
        <w:t>Il y a deux sources de lumières sur les microscopes stéréoscopiques</w:t>
      </w:r>
    </w:p>
    <w:p w:rsidR="00B62352" w:rsidRDefault="00B62352" w:rsidP="00433438">
      <w:pPr>
        <w:pStyle w:val="NoSpacing"/>
        <w:numPr>
          <w:ilvl w:val="0"/>
          <w:numId w:val="6"/>
        </w:numPr>
        <w:jc w:val="both"/>
      </w:pPr>
      <w:r w:rsidRPr="008D03FA">
        <w:rPr>
          <w:b/>
        </w:rPr>
        <w:t>Lumière réfléchie</w:t>
      </w:r>
      <w:r>
        <w:t> : provient du dessus du spécimen opaque et est réfléchie vers l’observateur</w:t>
      </w:r>
    </w:p>
    <w:p w:rsidR="00B62352" w:rsidRDefault="00B62352" w:rsidP="00433438">
      <w:pPr>
        <w:pStyle w:val="NoSpacing"/>
        <w:numPr>
          <w:ilvl w:val="0"/>
          <w:numId w:val="6"/>
        </w:numPr>
        <w:jc w:val="both"/>
      </w:pPr>
      <w:r w:rsidRPr="008D03FA">
        <w:rPr>
          <w:b/>
        </w:rPr>
        <w:t>Lumière transmise</w:t>
      </w:r>
      <w:r>
        <w:t> : arrive du dessous et travers un spécimen translucide</w:t>
      </w:r>
    </w:p>
    <w:p w:rsidR="008D03FA" w:rsidRDefault="008D03FA" w:rsidP="00433438">
      <w:pPr>
        <w:pStyle w:val="NoSpacing"/>
        <w:jc w:val="both"/>
        <w:rPr>
          <w:b/>
          <w:sz w:val="28"/>
          <w:szCs w:val="28"/>
        </w:rPr>
      </w:pPr>
      <w:r w:rsidRPr="008D03FA">
        <w:rPr>
          <w:b/>
          <w:sz w:val="28"/>
          <w:szCs w:val="28"/>
        </w:rPr>
        <w:lastRenderedPageBreak/>
        <w:t>Cellules procaryotes et eucaryotes</w:t>
      </w:r>
    </w:p>
    <w:p w:rsidR="008D03FA" w:rsidRDefault="008D03FA" w:rsidP="00433438">
      <w:pPr>
        <w:pStyle w:val="NoSpacing"/>
        <w:jc w:val="both"/>
      </w:pPr>
      <w:r>
        <w:t xml:space="preserve">Ce sont les deux catégories de cellules.  </w:t>
      </w:r>
    </w:p>
    <w:p w:rsidR="008D03FA" w:rsidRDefault="008D03FA" w:rsidP="00433438">
      <w:pPr>
        <w:pStyle w:val="NoSpacing"/>
        <w:jc w:val="both"/>
      </w:pPr>
      <w:r w:rsidRPr="008D03FA">
        <w:rPr>
          <w:b/>
        </w:rPr>
        <w:t>Cellules procaryotes</w:t>
      </w:r>
      <w:r>
        <w:t xml:space="preserve"> : comprennent les archées et les eubactéries.  Sont généralement plus petites (1-5um) que les eucaryotes, mais elles représentent les organismes les plus abondants de la planète et environ la moitié de la biosphère.  Ces cellules n’ont pas de membrane nucléaire ni d’organites délimités par une membrane.  </w:t>
      </w:r>
      <w:r w:rsidR="008013A2">
        <w:t>Des exemples de cellules procaryotes sont les cyanobactéries et des bactéries photosynthétiques.</w:t>
      </w:r>
    </w:p>
    <w:p w:rsidR="008013A2" w:rsidRDefault="008013A2" w:rsidP="00433438">
      <w:pPr>
        <w:pStyle w:val="NoSpacing"/>
        <w:jc w:val="both"/>
      </w:pPr>
      <w:r w:rsidRPr="008013A2">
        <w:rPr>
          <w:b/>
        </w:rPr>
        <w:t>Cellules eucaryotes</w:t>
      </w:r>
      <w:r>
        <w:t xml:space="preserve"> : généralement de plus grande taille.  Possèdent un noyau entouré d’une membrane, leurs organites sont plus nombreux et plus complexes et leur génome est de plus grande taille.  Les organismes eucaryotes peuvent être unicellulaires ou pluricellulaires.  </w:t>
      </w:r>
    </w:p>
    <w:p w:rsidR="00484D0C" w:rsidRDefault="00484D0C" w:rsidP="00433438">
      <w:pPr>
        <w:pStyle w:val="NoSpacing"/>
        <w:jc w:val="both"/>
      </w:pPr>
    </w:p>
    <w:p w:rsidR="00BD1371" w:rsidRDefault="00BD1371" w:rsidP="00433438">
      <w:pPr>
        <w:pStyle w:val="NoSpacing"/>
        <w:jc w:val="both"/>
      </w:pPr>
    </w:p>
    <w:p w:rsidR="00BD1371" w:rsidRPr="00484D0C" w:rsidRDefault="00BD1371" w:rsidP="00433438">
      <w:pPr>
        <w:pStyle w:val="NoSpacing"/>
        <w:jc w:val="both"/>
        <w:rPr>
          <w:b/>
          <w:sz w:val="28"/>
          <w:szCs w:val="28"/>
          <w:u w:val="single"/>
        </w:rPr>
      </w:pPr>
      <w:r w:rsidRPr="00484D0C">
        <w:rPr>
          <w:b/>
          <w:sz w:val="28"/>
          <w:szCs w:val="28"/>
          <w:u w:val="single"/>
        </w:rPr>
        <w:t>Observations au microscope</w:t>
      </w:r>
    </w:p>
    <w:p w:rsidR="00BD1371" w:rsidRDefault="00BD1371" w:rsidP="00433438">
      <w:pPr>
        <w:pStyle w:val="NoSpacing"/>
        <w:jc w:val="both"/>
      </w:pPr>
      <w:r w:rsidRPr="00FE1088">
        <w:rPr>
          <w:b/>
        </w:rPr>
        <w:t>Cellules eucaryotes</w:t>
      </w:r>
      <w:r>
        <w:t xml:space="preserve"> : </w:t>
      </w:r>
      <w:proofErr w:type="spellStart"/>
      <w:r>
        <w:t>Elodée</w:t>
      </w:r>
      <w:proofErr w:type="spellEnd"/>
      <w:r>
        <w:t xml:space="preserve"> (plante) </w:t>
      </w:r>
    </w:p>
    <w:p w:rsidR="00BD1371" w:rsidRDefault="00BD1371" w:rsidP="00433438">
      <w:pPr>
        <w:pStyle w:val="NoSpacing"/>
        <w:numPr>
          <w:ilvl w:val="0"/>
          <w:numId w:val="7"/>
        </w:numPr>
        <w:jc w:val="both"/>
      </w:pPr>
      <w:r>
        <w:t xml:space="preserve">On peut voir les </w:t>
      </w:r>
      <w:r w:rsidRPr="00FE1088">
        <w:rPr>
          <w:b/>
        </w:rPr>
        <w:t>différentes couches cellulaires</w:t>
      </w:r>
      <w:r>
        <w:t xml:space="preserve"> constituant l’épaisseur de la feuille</w:t>
      </w:r>
    </w:p>
    <w:p w:rsidR="00BD1371" w:rsidRDefault="00BD1371" w:rsidP="00433438">
      <w:pPr>
        <w:pStyle w:val="NoSpacing"/>
        <w:numPr>
          <w:ilvl w:val="0"/>
          <w:numId w:val="7"/>
        </w:numPr>
        <w:jc w:val="both"/>
      </w:pPr>
      <w:r>
        <w:t xml:space="preserve">Quel </w:t>
      </w:r>
      <w:r w:rsidRPr="00FE1088">
        <w:rPr>
          <w:b/>
        </w:rPr>
        <w:t>processus biologique</w:t>
      </w:r>
      <w:r>
        <w:t xml:space="preserve"> important se déroule dans les chloroplastes?  La </w:t>
      </w:r>
      <w:r w:rsidRPr="00FE1088">
        <w:rPr>
          <w:b/>
        </w:rPr>
        <w:t>photosynthèse</w:t>
      </w:r>
    </w:p>
    <w:p w:rsidR="00BD1371" w:rsidRDefault="00BD1371" w:rsidP="00433438">
      <w:pPr>
        <w:pStyle w:val="NoSpacing"/>
        <w:numPr>
          <w:ilvl w:val="0"/>
          <w:numId w:val="7"/>
        </w:numPr>
        <w:jc w:val="both"/>
      </w:pPr>
      <w:r>
        <w:t xml:space="preserve">Quel </w:t>
      </w:r>
      <w:r w:rsidRPr="00FE1088">
        <w:rPr>
          <w:b/>
        </w:rPr>
        <w:t>pigment</w:t>
      </w:r>
      <w:r>
        <w:t xml:space="preserve"> est à l’origine de la couleur verte?  La </w:t>
      </w:r>
      <w:r w:rsidRPr="00FE1088">
        <w:rPr>
          <w:b/>
        </w:rPr>
        <w:t>chlorophylle</w:t>
      </w:r>
    </w:p>
    <w:p w:rsidR="00BD1371" w:rsidRDefault="00BD1371" w:rsidP="00433438">
      <w:pPr>
        <w:pStyle w:val="NoSpacing"/>
        <w:numPr>
          <w:ilvl w:val="0"/>
          <w:numId w:val="7"/>
        </w:numPr>
        <w:jc w:val="both"/>
      </w:pPr>
      <w:r>
        <w:t xml:space="preserve">Les </w:t>
      </w:r>
      <w:r w:rsidRPr="00FE1088">
        <w:rPr>
          <w:b/>
        </w:rPr>
        <w:t xml:space="preserve">chloroplastes </w:t>
      </w:r>
      <w:r>
        <w:t xml:space="preserve">ont-ils tous la même forme?  Oui.  Ils ont </w:t>
      </w:r>
      <w:r w:rsidRPr="00FE1088">
        <w:rPr>
          <w:b/>
        </w:rPr>
        <w:t>tous une forme circulaire</w:t>
      </w:r>
    </w:p>
    <w:p w:rsidR="00BD1371" w:rsidRDefault="00BD1371" w:rsidP="00433438">
      <w:pPr>
        <w:pStyle w:val="NoSpacing"/>
        <w:numPr>
          <w:ilvl w:val="0"/>
          <w:numId w:val="7"/>
        </w:numPr>
        <w:jc w:val="both"/>
      </w:pPr>
      <w:r>
        <w:t xml:space="preserve">Les chloroplastes </w:t>
      </w:r>
      <w:r w:rsidRPr="00FE1088">
        <w:rPr>
          <w:b/>
        </w:rPr>
        <w:t>bougent</w:t>
      </w:r>
      <w:r>
        <w:t xml:space="preserve">-ils?  Oui.  Ils se déplacent en rond le </w:t>
      </w:r>
      <w:r w:rsidRPr="00FE1088">
        <w:rPr>
          <w:b/>
        </w:rPr>
        <w:t>long de la paroi</w:t>
      </w:r>
    </w:p>
    <w:p w:rsidR="00BD1371" w:rsidRDefault="00BD1371" w:rsidP="00433438">
      <w:pPr>
        <w:pStyle w:val="NoSpacing"/>
        <w:numPr>
          <w:ilvl w:val="0"/>
          <w:numId w:val="7"/>
        </w:numPr>
        <w:jc w:val="both"/>
      </w:pPr>
      <w:r>
        <w:t xml:space="preserve">Le phénomène observé s’appelle </w:t>
      </w:r>
      <w:r w:rsidRPr="00BD1371">
        <w:rPr>
          <w:b/>
        </w:rPr>
        <w:t>courants cytoplasmiques</w:t>
      </w:r>
      <w:r>
        <w:t xml:space="preserve"> ou </w:t>
      </w:r>
      <w:proofErr w:type="spellStart"/>
      <w:r w:rsidRPr="00BD1371">
        <w:rPr>
          <w:b/>
        </w:rPr>
        <w:t>cyclose</w:t>
      </w:r>
      <w:proofErr w:type="spellEnd"/>
      <w:r>
        <w:t xml:space="preserve">.  Ceci serait le rôle de la </w:t>
      </w:r>
      <w:r w:rsidRPr="00FE1088">
        <w:rPr>
          <w:b/>
        </w:rPr>
        <w:t>photosynthèse</w:t>
      </w:r>
      <w:r>
        <w:t>.</w:t>
      </w:r>
    </w:p>
    <w:p w:rsidR="00572E29" w:rsidRDefault="00130BCB" w:rsidP="00433438">
      <w:pPr>
        <w:pStyle w:val="NoSpacing"/>
        <w:jc w:val="both"/>
      </w:pPr>
      <w:r>
        <w:t xml:space="preserve">La </w:t>
      </w:r>
      <w:r w:rsidRPr="00FE1088">
        <w:rPr>
          <w:b/>
        </w:rPr>
        <w:t>membrane cytoplasmique</w:t>
      </w:r>
      <w:r>
        <w:t xml:space="preserve"> des cellules végétales est trop mince pour être observée au microscope optique</w:t>
      </w:r>
      <w:r w:rsidR="00137F7A">
        <w:t xml:space="preserve">.  Pour voir les limites réelles du cytoplasme, il faut traiter les cellules de manière à ce que la membrane cytoplasmique se décolle de la paroi cellulaire rigide.  Pour cela, on place la cellule dans une solution fortement saline, qui provoque une diminution du volume de la cellule en faisant sortir l’eau par osmose.  Comme la paroi cellulaire reste dans son état original, il se forme un espace entre la paroi cellulaire et les limites du </w:t>
      </w:r>
      <w:proofErr w:type="spellStart"/>
      <w:r w:rsidR="00137F7A">
        <w:t>protoplaste</w:t>
      </w:r>
      <w:proofErr w:type="spellEnd"/>
      <w:r w:rsidR="00137F7A">
        <w:t>, qui devient alors visible.</w:t>
      </w:r>
    </w:p>
    <w:p w:rsidR="00FE1088" w:rsidRDefault="00FE1088" w:rsidP="00433438">
      <w:pPr>
        <w:pStyle w:val="NoSpacing"/>
        <w:jc w:val="both"/>
      </w:pPr>
      <w:r>
        <w:t xml:space="preserve">Au cours de la </w:t>
      </w:r>
      <w:r w:rsidRPr="00FE1088">
        <w:rPr>
          <w:b/>
        </w:rPr>
        <w:t>plasmolyse</w:t>
      </w:r>
      <w:r>
        <w:t xml:space="preserve">, la grande </w:t>
      </w:r>
      <w:r w:rsidRPr="00FE1088">
        <w:rPr>
          <w:b/>
        </w:rPr>
        <w:t>vacuole centrale disparait</w:t>
      </w:r>
      <w:r>
        <w:t xml:space="preserve">.  </w:t>
      </w:r>
    </w:p>
    <w:p w:rsidR="00484D0C" w:rsidRDefault="00484D0C" w:rsidP="00433438">
      <w:pPr>
        <w:pStyle w:val="NoSpacing"/>
        <w:jc w:val="both"/>
      </w:pPr>
    </w:p>
    <w:p w:rsidR="00484D0C" w:rsidRDefault="00484D0C" w:rsidP="00484D0C">
      <w:pPr>
        <w:pStyle w:val="NoSpacing"/>
        <w:jc w:val="both"/>
      </w:pPr>
      <w:r w:rsidRPr="00484D0C">
        <w:rPr>
          <w:b/>
        </w:rPr>
        <w:t>Cellules procaryotes</w:t>
      </w:r>
      <w:r>
        <w:t xml:space="preserve"> : </w:t>
      </w:r>
      <w:proofErr w:type="spellStart"/>
      <w:r>
        <w:t>oscillatoria</w:t>
      </w:r>
      <w:proofErr w:type="spellEnd"/>
      <w:r>
        <w:t xml:space="preserve"> (cyanobactérie)</w:t>
      </w:r>
    </w:p>
    <w:p w:rsidR="00484D0C" w:rsidRDefault="00484D0C" w:rsidP="00484D0C">
      <w:pPr>
        <w:pStyle w:val="NoSpacing"/>
        <w:numPr>
          <w:ilvl w:val="0"/>
          <w:numId w:val="7"/>
        </w:numPr>
        <w:jc w:val="both"/>
      </w:pPr>
      <w:r>
        <w:t xml:space="preserve">Dans son pot, et non sous le microscope, sa couleur est </w:t>
      </w:r>
      <w:r w:rsidRPr="00484D0C">
        <w:rPr>
          <w:b/>
        </w:rPr>
        <w:t>vert</w:t>
      </w:r>
      <w:r>
        <w:rPr>
          <w:b/>
        </w:rPr>
        <w:t>e</w:t>
      </w:r>
      <w:r>
        <w:t>.</w:t>
      </w:r>
    </w:p>
    <w:p w:rsidR="00484D0C" w:rsidRDefault="00484D0C" w:rsidP="00484D0C">
      <w:pPr>
        <w:pStyle w:val="NoSpacing"/>
        <w:numPr>
          <w:ilvl w:val="0"/>
          <w:numId w:val="7"/>
        </w:numPr>
        <w:jc w:val="both"/>
      </w:pPr>
      <w:r>
        <w:t xml:space="preserve">Au </w:t>
      </w:r>
      <w:r w:rsidR="00E96DD9">
        <w:t xml:space="preserve">microscope, on peut voir de nombreux filaments verts. </w:t>
      </w:r>
    </w:p>
    <w:p w:rsidR="00E96DD9" w:rsidRDefault="00E96DD9" w:rsidP="00484D0C">
      <w:pPr>
        <w:pStyle w:val="NoSpacing"/>
        <w:numPr>
          <w:ilvl w:val="0"/>
          <w:numId w:val="7"/>
        </w:numPr>
        <w:jc w:val="both"/>
      </w:pPr>
      <w:r>
        <w:t>Ces filaments se déplacent.</w:t>
      </w:r>
    </w:p>
    <w:p w:rsidR="00891728" w:rsidRDefault="00E96DD9" w:rsidP="00CF087C">
      <w:pPr>
        <w:pStyle w:val="NoSpacing"/>
        <w:numPr>
          <w:ilvl w:val="0"/>
          <w:numId w:val="7"/>
        </w:numPr>
        <w:jc w:val="both"/>
      </w:pPr>
      <w:r>
        <w:t>Par contre, on ne peut pas distinguer les cellules qui forment chaque filament</w:t>
      </w:r>
    </w:p>
    <w:p w:rsidR="00E96DD9" w:rsidRDefault="00E96DD9" w:rsidP="00E96DD9">
      <w:pPr>
        <w:pStyle w:val="NoSpacing"/>
        <w:jc w:val="both"/>
      </w:pPr>
    </w:p>
    <w:tbl>
      <w:tblPr>
        <w:tblStyle w:val="LightShading"/>
        <w:tblW w:w="0" w:type="auto"/>
        <w:tblLook w:val="06A0" w:firstRow="1" w:lastRow="0" w:firstColumn="1" w:lastColumn="0" w:noHBand="1" w:noVBand="1"/>
      </w:tblPr>
      <w:tblGrid>
        <w:gridCol w:w="2660"/>
        <w:gridCol w:w="2693"/>
      </w:tblGrid>
      <w:tr w:rsidR="00E96DD9" w:rsidTr="00E96D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3" w:type="dxa"/>
            <w:gridSpan w:val="2"/>
          </w:tcPr>
          <w:p w:rsidR="00E96DD9" w:rsidRPr="00E96DD9" w:rsidRDefault="00E96DD9" w:rsidP="00CF087C">
            <w:pPr>
              <w:pStyle w:val="NoSpacing"/>
              <w:spacing w:line="276" w:lineRule="auto"/>
              <w:rPr>
                <w:sz w:val="28"/>
                <w:szCs w:val="28"/>
              </w:rPr>
            </w:pPr>
            <w:r w:rsidRPr="00E96DD9">
              <w:rPr>
                <w:sz w:val="28"/>
                <w:szCs w:val="28"/>
              </w:rPr>
              <w:t>Le système métrique</w:t>
            </w:r>
          </w:p>
        </w:tc>
      </w:tr>
      <w:tr w:rsidR="00E96DD9" w:rsidTr="00E96DD9">
        <w:tc>
          <w:tcPr>
            <w:cnfStyle w:val="001000000000" w:firstRow="0" w:lastRow="0" w:firstColumn="1" w:lastColumn="0" w:oddVBand="0" w:evenVBand="0" w:oddHBand="0" w:evenHBand="0" w:firstRowFirstColumn="0" w:firstRowLastColumn="0" w:lastRowFirstColumn="0" w:lastRowLastColumn="0"/>
            <w:tcW w:w="2660" w:type="dxa"/>
          </w:tcPr>
          <w:p w:rsidR="00E96DD9" w:rsidRPr="00E96DD9" w:rsidRDefault="00E96DD9" w:rsidP="00CF087C">
            <w:pPr>
              <w:pStyle w:val="NoSpacing"/>
              <w:spacing w:line="276" w:lineRule="auto"/>
              <w:rPr>
                <w:b w:val="0"/>
              </w:rPr>
            </w:pPr>
            <w:r w:rsidRPr="00E96DD9">
              <w:rPr>
                <w:b w:val="0"/>
              </w:rPr>
              <w:t xml:space="preserve">1 cm </w:t>
            </w:r>
            <w:r w:rsidRPr="00E96DD9">
              <w:rPr>
                <w:b w:val="0"/>
                <w:sz w:val="18"/>
                <w:szCs w:val="18"/>
              </w:rPr>
              <w:t>(centimètre)</w:t>
            </w:r>
          </w:p>
        </w:tc>
        <w:tc>
          <w:tcPr>
            <w:tcW w:w="2693" w:type="dxa"/>
          </w:tcPr>
          <w:p w:rsidR="00E96DD9" w:rsidRPr="00E96DD9" w:rsidRDefault="00E96DD9" w:rsidP="00CF087C">
            <w:pPr>
              <w:pStyle w:val="NoSpacing"/>
              <w:spacing w:line="276" w:lineRule="auto"/>
              <w:cnfStyle w:val="000000000000" w:firstRow="0" w:lastRow="0" w:firstColumn="0" w:lastColumn="0" w:oddVBand="0" w:evenVBand="0" w:oddHBand="0" w:evenHBand="0" w:firstRowFirstColumn="0" w:firstRowLastColumn="0" w:lastRowFirstColumn="0" w:lastRowLastColumn="0"/>
            </w:pPr>
            <w:r>
              <w:t>= 10</w:t>
            </w:r>
            <w:r>
              <w:rPr>
                <w:vertAlign w:val="superscript"/>
              </w:rPr>
              <w:t>-2</w:t>
            </w:r>
            <w:r>
              <w:t xml:space="preserve"> m </w:t>
            </w:r>
            <w:r w:rsidRPr="00E96DD9">
              <w:rPr>
                <w:sz w:val="18"/>
                <w:szCs w:val="18"/>
              </w:rPr>
              <w:t>(mètre)</w:t>
            </w:r>
          </w:p>
        </w:tc>
      </w:tr>
      <w:tr w:rsidR="00E96DD9" w:rsidTr="00E96DD9">
        <w:tc>
          <w:tcPr>
            <w:cnfStyle w:val="001000000000" w:firstRow="0" w:lastRow="0" w:firstColumn="1" w:lastColumn="0" w:oddVBand="0" w:evenVBand="0" w:oddHBand="0" w:evenHBand="0" w:firstRowFirstColumn="0" w:firstRowLastColumn="0" w:lastRowFirstColumn="0" w:lastRowLastColumn="0"/>
            <w:tcW w:w="2660" w:type="dxa"/>
          </w:tcPr>
          <w:p w:rsidR="00E96DD9" w:rsidRPr="00E96DD9" w:rsidRDefault="00E96DD9" w:rsidP="00CF087C">
            <w:pPr>
              <w:pStyle w:val="NoSpacing"/>
              <w:spacing w:line="276" w:lineRule="auto"/>
              <w:rPr>
                <w:b w:val="0"/>
              </w:rPr>
            </w:pPr>
            <w:r w:rsidRPr="00E96DD9">
              <w:rPr>
                <w:b w:val="0"/>
              </w:rPr>
              <w:t xml:space="preserve">1 mm </w:t>
            </w:r>
            <w:r w:rsidRPr="00E96DD9">
              <w:rPr>
                <w:b w:val="0"/>
                <w:sz w:val="18"/>
                <w:szCs w:val="18"/>
              </w:rPr>
              <w:t>(millimètre)</w:t>
            </w:r>
          </w:p>
        </w:tc>
        <w:tc>
          <w:tcPr>
            <w:tcW w:w="2693" w:type="dxa"/>
          </w:tcPr>
          <w:p w:rsidR="00E96DD9" w:rsidRPr="00E96DD9" w:rsidRDefault="00E96DD9" w:rsidP="00CF087C">
            <w:pPr>
              <w:pStyle w:val="NoSpacing"/>
              <w:spacing w:line="276" w:lineRule="auto"/>
              <w:cnfStyle w:val="000000000000" w:firstRow="0" w:lastRow="0" w:firstColumn="0" w:lastColumn="0" w:oddVBand="0" w:evenVBand="0" w:oddHBand="0" w:evenHBand="0" w:firstRowFirstColumn="0" w:firstRowLastColumn="0" w:lastRowFirstColumn="0" w:lastRowLastColumn="0"/>
            </w:pPr>
            <w:r>
              <w:t>= 10</w:t>
            </w:r>
            <w:r>
              <w:rPr>
                <w:vertAlign w:val="superscript"/>
              </w:rPr>
              <w:t xml:space="preserve">-3 </w:t>
            </w:r>
            <w:r>
              <w:t xml:space="preserve">m </w:t>
            </w:r>
            <w:r w:rsidRPr="00E96DD9">
              <w:rPr>
                <w:sz w:val="18"/>
                <w:szCs w:val="18"/>
              </w:rPr>
              <w:t>(1/1000 mètre)</w:t>
            </w:r>
          </w:p>
        </w:tc>
      </w:tr>
      <w:tr w:rsidR="00E96DD9" w:rsidTr="00E96DD9">
        <w:tc>
          <w:tcPr>
            <w:cnfStyle w:val="001000000000" w:firstRow="0" w:lastRow="0" w:firstColumn="1" w:lastColumn="0" w:oddVBand="0" w:evenVBand="0" w:oddHBand="0" w:evenHBand="0" w:firstRowFirstColumn="0" w:firstRowLastColumn="0" w:lastRowFirstColumn="0" w:lastRowLastColumn="0"/>
            <w:tcW w:w="2660" w:type="dxa"/>
          </w:tcPr>
          <w:p w:rsidR="00E96DD9" w:rsidRPr="00E96DD9" w:rsidRDefault="00E96DD9" w:rsidP="00CF087C">
            <w:pPr>
              <w:pStyle w:val="NoSpacing"/>
              <w:spacing w:line="276" w:lineRule="auto"/>
              <w:rPr>
                <w:b w:val="0"/>
              </w:rPr>
            </w:pPr>
            <w:r w:rsidRPr="00E96DD9">
              <w:rPr>
                <w:b w:val="0"/>
              </w:rPr>
              <w:t xml:space="preserve">1 </w:t>
            </w:r>
            <w:proofErr w:type="spellStart"/>
            <w:r w:rsidRPr="00E96DD9">
              <w:rPr>
                <w:b w:val="0"/>
              </w:rPr>
              <w:t>um</w:t>
            </w:r>
            <w:proofErr w:type="spellEnd"/>
            <w:r w:rsidRPr="00E96DD9">
              <w:rPr>
                <w:b w:val="0"/>
              </w:rPr>
              <w:t xml:space="preserve"> </w:t>
            </w:r>
            <w:r w:rsidRPr="00E96DD9">
              <w:rPr>
                <w:b w:val="0"/>
                <w:sz w:val="18"/>
                <w:szCs w:val="18"/>
              </w:rPr>
              <w:t>(micromètre)</w:t>
            </w:r>
          </w:p>
          <w:p w:rsidR="00E96DD9" w:rsidRPr="00E96DD9" w:rsidRDefault="00E96DD9" w:rsidP="00CF087C">
            <w:pPr>
              <w:pStyle w:val="NoSpacing"/>
              <w:spacing w:line="276" w:lineRule="auto"/>
              <w:rPr>
                <w:b w:val="0"/>
              </w:rPr>
            </w:pPr>
            <w:r w:rsidRPr="00E96DD9">
              <w:rPr>
                <w:b w:val="0"/>
              </w:rPr>
              <w:t xml:space="preserve">1 nm </w:t>
            </w:r>
            <w:r w:rsidRPr="00E96DD9">
              <w:rPr>
                <w:b w:val="0"/>
                <w:sz w:val="18"/>
                <w:szCs w:val="18"/>
              </w:rPr>
              <w:t>(nanomètre)</w:t>
            </w:r>
          </w:p>
        </w:tc>
        <w:tc>
          <w:tcPr>
            <w:tcW w:w="2693" w:type="dxa"/>
          </w:tcPr>
          <w:p w:rsidR="00E96DD9" w:rsidRDefault="00E96DD9" w:rsidP="00CF087C">
            <w:pPr>
              <w:pStyle w:val="NoSpacing"/>
              <w:spacing w:line="276" w:lineRule="auto"/>
              <w:cnfStyle w:val="000000000000" w:firstRow="0" w:lastRow="0" w:firstColumn="0" w:lastColumn="0" w:oddVBand="0" w:evenVBand="0" w:oddHBand="0" w:evenHBand="0" w:firstRowFirstColumn="0" w:firstRowLastColumn="0" w:lastRowFirstColumn="0" w:lastRowLastColumn="0"/>
              <w:rPr>
                <w:sz w:val="18"/>
                <w:szCs w:val="18"/>
              </w:rPr>
            </w:pPr>
            <w:r>
              <w:t>= 10</w:t>
            </w:r>
            <w:r>
              <w:rPr>
                <w:vertAlign w:val="superscript"/>
              </w:rPr>
              <w:t>-6</w:t>
            </w:r>
            <w:r>
              <w:t xml:space="preserve"> m </w:t>
            </w:r>
            <w:r w:rsidRPr="00E96DD9">
              <w:rPr>
                <w:sz w:val="18"/>
                <w:szCs w:val="18"/>
              </w:rPr>
              <w:t>(1/1</w:t>
            </w:r>
            <w:proofErr w:type="gramStart"/>
            <w:r w:rsidRPr="00E96DD9">
              <w:rPr>
                <w:sz w:val="18"/>
                <w:szCs w:val="18"/>
              </w:rPr>
              <w:t>,000,000</w:t>
            </w:r>
            <w:proofErr w:type="gramEnd"/>
            <w:r w:rsidRPr="00E96DD9">
              <w:rPr>
                <w:sz w:val="18"/>
                <w:szCs w:val="18"/>
              </w:rPr>
              <w:t xml:space="preserve"> mètre)</w:t>
            </w:r>
          </w:p>
          <w:p w:rsidR="00E96DD9" w:rsidRPr="00E96DD9" w:rsidRDefault="00E96DD9" w:rsidP="00CF087C">
            <w:pPr>
              <w:pStyle w:val="NoSpacing"/>
              <w:spacing w:line="276" w:lineRule="auto"/>
              <w:cnfStyle w:val="000000000000" w:firstRow="0" w:lastRow="0" w:firstColumn="0" w:lastColumn="0" w:oddVBand="0" w:evenVBand="0" w:oddHBand="0" w:evenHBand="0" w:firstRowFirstColumn="0" w:firstRowLastColumn="0" w:lastRowFirstColumn="0" w:lastRowLastColumn="0"/>
            </w:pPr>
            <w:r>
              <w:t>= 10</w:t>
            </w:r>
            <w:r>
              <w:rPr>
                <w:vertAlign w:val="superscript"/>
              </w:rPr>
              <w:t>-9</w:t>
            </w:r>
            <w:r>
              <w:t xml:space="preserve"> m </w:t>
            </w:r>
          </w:p>
        </w:tc>
      </w:tr>
      <w:tr w:rsidR="00E96DD9" w:rsidTr="00E96DD9">
        <w:tc>
          <w:tcPr>
            <w:cnfStyle w:val="001000000000" w:firstRow="0" w:lastRow="0" w:firstColumn="1" w:lastColumn="0" w:oddVBand="0" w:evenVBand="0" w:oddHBand="0" w:evenHBand="0" w:firstRowFirstColumn="0" w:firstRowLastColumn="0" w:lastRowFirstColumn="0" w:lastRowLastColumn="0"/>
            <w:tcW w:w="5353" w:type="dxa"/>
            <w:gridSpan w:val="2"/>
          </w:tcPr>
          <w:p w:rsidR="00E96DD9" w:rsidRDefault="008F6894" w:rsidP="00CF087C">
            <w:pPr>
              <w:pStyle w:val="NoSpacing"/>
              <w:spacing w:line="276" w:lineRule="auto"/>
            </w:pPr>
            <w:r>
              <w:t>1 mm = 10</w:t>
            </w:r>
            <w:r>
              <w:rPr>
                <w:vertAlign w:val="superscript"/>
              </w:rPr>
              <w:t xml:space="preserve">-3 </w:t>
            </w:r>
            <w:r>
              <w:t>m = 10</w:t>
            </w:r>
            <w:r>
              <w:rPr>
                <w:vertAlign w:val="superscript"/>
              </w:rPr>
              <w:t>-1</w:t>
            </w:r>
            <w:r>
              <w:t xml:space="preserve"> cm = 10</w:t>
            </w:r>
            <w:r>
              <w:rPr>
                <w:vertAlign w:val="superscript"/>
              </w:rPr>
              <w:t xml:space="preserve">3 </w:t>
            </w:r>
            <w:proofErr w:type="spellStart"/>
            <w:r>
              <w:t>um</w:t>
            </w:r>
            <w:proofErr w:type="spellEnd"/>
          </w:p>
        </w:tc>
      </w:tr>
    </w:tbl>
    <w:p w:rsidR="00DC6349" w:rsidRDefault="00DC6349" w:rsidP="001712F9">
      <w:pPr>
        <w:pStyle w:val="NoSpacing"/>
      </w:pPr>
    </w:p>
    <w:p w:rsidR="00DC6349" w:rsidRDefault="00CF087C" w:rsidP="0074133B">
      <w:pPr>
        <w:pStyle w:val="NoSpacing"/>
        <w:jc w:val="both"/>
      </w:pPr>
      <w:r w:rsidRPr="00CF087C">
        <w:rPr>
          <w:b/>
          <w:sz w:val="32"/>
          <w:szCs w:val="32"/>
        </w:rPr>
        <w:t>LAB 2</w:t>
      </w:r>
      <w:r>
        <w:t> : Perméabilité du globule rouge</w:t>
      </w:r>
    </w:p>
    <w:p w:rsidR="00CF087C" w:rsidRDefault="00CF087C" w:rsidP="0074133B">
      <w:pPr>
        <w:pStyle w:val="NoSpacing"/>
        <w:jc w:val="both"/>
      </w:pPr>
      <w:r w:rsidRPr="0074133B">
        <w:rPr>
          <w:b/>
        </w:rPr>
        <w:t>Osmose</w:t>
      </w:r>
      <w:r>
        <w:t xml:space="preserve"> : mouvement spontané des molécules d’eau à travers une membrane semi-perméable.  </w:t>
      </w:r>
      <w:r w:rsidR="0074133B">
        <w:t xml:space="preserve">L’eau va migrer du milieu où la concentration totale en soluté est inférieure vers le milieu où la concentration en soluté des supérieure.  Une solution hypotonique ‘’pogne’’ de l’eau et peut éclater.  Une solution hypertonique ‘’perd’’ de l’eau et peut déshydrater et sécher.  </w:t>
      </w:r>
    </w:p>
    <w:p w:rsidR="00762BFE" w:rsidRDefault="00762BFE" w:rsidP="0074133B">
      <w:pPr>
        <w:pStyle w:val="NoSpacing"/>
        <w:jc w:val="both"/>
      </w:pPr>
    </w:p>
    <w:p w:rsidR="0074133B" w:rsidRDefault="0074133B" w:rsidP="0074133B">
      <w:pPr>
        <w:pStyle w:val="NoSpacing"/>
        <w:jc w:val="both"/>
      </w:pPr>
      <w:r w:rsidRPr="0074133B">
        <w:rPr>
          <w:b/>
        </w:rPr>
        <w:t>Diffusion</w:t>
      </w:r>
      <w:r>
        <w:t xml:space="preserve"> : les molécules en solution dans un milieu extracellulaire peuvent également traverser la membrane de façon spontanée contre leur propre gradient de concentration.  </w:t>
      </w:r>
    </w:p>
    <w:p w:rsidR="0074133B" w:rsidRDefault="0074133B" w:rsidP="0074133B">
      <w:pPr>
        <w:pStyle w:val="NoSpacing"/>
        <w:jc w:val="both"/>
      </w:pPr>
      <w:r w:rsidRPr="00CF087C">
        <w:rPr>
          <w:b/>
        </w:rPr>
        <w:lastRenderedPageBreak/>
        <w:t>Hémolyse</w:t>
      </w:r>
      <w:r>
        <w:t xml:space="preserve"> : lorsque le volume d’une cellule dépasse un volume critique, la cellule se déchire et libère ses pigments dans le milieu qui la contient.  L’hémolyse c’est </w:t>
      </w:r>
      <w:r w:rsidR="00B44739">
        <w:t xml:space="preserve">la destruction des globules rouges qui est obtenue lorsqu’un grand volume d’eau entre dans la cellule et provoque la rupture de la membrane plasmique.  </w:t>
      </w:r>
    </w:p>
    <w:p w:rsidR="00762BFE" w:rsidRDefault="00762BFE" w:rsidP="0074133B">
      <w:pPr>
        <w:pStyle w:val="NoSpacing"/>
        <w:jc w:val="both"/>
      </w:pPr>
    </w:p>
    <w:p w:rsidR="00B44739" w:rsidRDefault="00B44739" w:rsidP="0074133B">
      <w:pPr>
        <w:pStyle w:val="NoSpacing"/>
        <w:jc w:val="both"/>
      </w:pPr>
      <w:r w:rsidRPr="00B44739">
        <w:rPr>
          <w:b/>
        </w:rPr>
        <w:t xml:space="preserve">Solution </w:t>
      </w:r>
      <w:proofErr w:type="spellStart"/>
      <w:r w:rsidRPr="00B44739">
        <w:rPr>
          <w:b/>
        </w:rPr>
        <w:t>isosmotique</w:t>
      </w:r>
      <w:proofErr w:type="spellEnd"/>
      <w:r>
        <w:t> : si la même concentration de molécules est présente à l’intérieur et l’</w:t>
      </w:r>
      <w:r w:rsidR="000A3608">
        <w:t>extérieur de la cellule.  Lorsqu’on place les globules rouges dans une telle solution, la pression osmotique est initialement la même de part et d’autre de la membrane plasmique, mais cela ne dure pas.  Au fur et à mesure que les solutés diffusent à travers la membrane et entrent dans la cellule, la pression osmotique à l’intérieur de la cellule augmente et l’environnement extérieur devient hypotonique.  Pour tenter de rétablir l’équilibre l’eau va entrer dans la cellule.  L’eau va s’accumuler pour finalement provoquer l’hémolyse.  Le temps qu’il faut à une substance pour provoquer l’hémolyse est un indicateur de la perméabilité de la membrane des érythrocytes à cette substance.</w:t>
      </w:r>
    </w:p>
    <w:p w:rsidR="0074133B" w:rsidRDefault="0074133B" w:rsidP="0074133B">
      <w:pPr>
        <w:pStyle w:val="NoSpacing"/>
        <w:jc w:val="both"/>
      </w:pPr>
    </w:p>
    <w:p w:rsidR="00695096" w:rsidRDefault="00695096" w:rsidP="0074133B">
      <w:pPr>
        <w:pStyle w:val="NoSpacing"/>
        <w:jc w:val="both"/>
      </w:pPr>
    </w:p>
    <w:p w:rsidR="00695096" w:rsidRDefault="00695096" w:rsidP="0074133B">
      <w:pPr>
        <w:pStyle w:val="NoSpacing"/>
        <w:jc w:val="both"/>
        <w:rPr>
          <w:i/>
        </w:rPr>
      </w:pPr>
      <w:r w:rsidRPr="00695096">
        <w:rPr>
          <w:b/>
          <w:sz w:val="32"/>
          <w:szCs w:val="32"/>
        </w:rPr>
        <w:t>LAB 3</w:t>
      </w:r>
      <w:r>
        <w:t xml:space="preserve"> : Processus cellulaires chez </w:t>
      </w:r>
      <w:proofErr w:type="spellStart"/>
      <w:r w:rsidRPr="00695096">
        <w:rPr>
          <w:i/>
        </w:rPr>
        <w:t>Amoeba</w:t>
      </w:r>
      <w:proofErr w:type="spellEnd"/>
      <w:r w:rsidRPr="00695096">
        <w:rPr>
          <w:i/>
        </w:rPr>
        <w:t xml:space="preserve"> </w:t>
      </w:r>
      <w:proofErr w:type="spellStart"/>
      <w:r w:rsidRPr="00695096">
        <w:rPr>
          <w:i/>
        </w:rPr>
        <w:t>proteus</w:t>
      </w:r>
      <w:proofErr w:type="spellEnd"/>
    </w:p>
    <w:p w:rsidR="00695096" w:rsidRDefault="00695096" w:rsidP="0074133B">
      <w:pPr>
        <w:pStyle w:val="NoSpacing"/>
        <w:jc w:val="both"/>
      </w:pPr>
      <w:r>
        <w:t xml:space="preserve">Cet organisme est courant dans le fond des étangs et des lacs d’eau douce.  L’amibe se déplace en formant des </w:t>
      </w:r>
      <w:r w:rsidRPr="00B63E73">
        <w:rPr>
          <w:b/>
        </w:rPr>
        <w:t>pseudopodes</w:t>
      </w:r>
      <w:r>
        <w:t xml:space="preserve">, et se nourrit en absorbant de la nourriture </w:t>
      </w:r>
      <w:r w:rsidR="00B63E73">
        <w:t xml:space="preserve">dans des </w:t>
      </w:r>
      <w:r w:rsidR="00B63E73" w:rsidRPr="00B63E73">
        <w:rPr>
          <w:b/>
        </w:rPr>
        <w:t>vacuoles digestives</w:t>
      </w:r>
      <w:r w:rsidR="00B63E73">
        <w:t xml:space="preserve"> qui sont formées par </w:t>
      </w:r>
      <w:r w:rsidR="00B63E73" w:rsidRPr="00B63E73">
        <w:rPr>
          <w:b/>
        </w:rPr>
        <w:t>invagination</w:t>
      </w:r>
      <w:r w:rsidR="00B63E73">
        <w:t xml:space="preserve"> de la membrane plasmique.  </w:t>
      </w:r>
      <w:proofErr w:type="spellStart"/>
      <w:r w:rsidR="00B63E73" w:rsidRPr="00695096">
        <w:rPr>
          <w:i/>
        </w:rPr>
        <w:t>Amoeba</w:t>
      </w:r>
      <w:proofErr w:type="spellEnd"/>
      <w:r w:rsidR="00B63E73" w:rsidRPr="00695096">
        <w:rPr>
          <w:i/>
        </w:rPr>
        <w:t xml:space="preserve"> </w:t>
      </w:r>
      <w:proofErr w:type="spellStart"/>
      <w:r w:rsidR="00B63E73" w:rsidRPr="00695096">
        <w:rPr>
          <w:i/>
        </w:rPr>
        <w:t>proteus</w:t>
      </w:r>
      <w:proofErr w:type="spellEnd"/>
      <w:r w:rsidR="00B63E73">
        <w:rPr>
          <w:i/>
        </w:rPr>
        <w:t xml:space="preserve"> </w:t>
      </w:r>
      <w:r w:rsidR="00B63E73">
        <w:t>peut atteindre une 600um de long.</w:t>
      </w:r>
    </w:p>
    <w:p w:rsidR="00B63E73" w:rsidRDefault="00B63E73" w:rsidP="0074133B">
      <w:pPr>
        <w:pStyle w:val="NoSpacing"/>
        <w:jc w:val="both"/>
      </w:pPr>
    </w:p>
    <w:p w:rsidR="00B63E73" w:rsidRDefault="00B63E73" w:rsidP="0074133B">
      <w:pPr>
        <w:pStyle w:val="NoSpacing"/>
        <w:jc w:val="both"/>
      </w:pPr>
      <w:r>
        <w:t xml:space="preserve">Pour observer les amibes, on utilise les </w:t>
      </w:r>
      <w:r w:rsidRPr="00B63E73">
        <w:rPr>
          <w:b/>
        </w:rPr>
        <w:t>lames munies d’une petite cavité</w:t>
      </w:r>
      <w:r>
        <w:t xml:space="preserve"> afin de pouvoir les observer de façon prolongée et sans les écraser.  </w:t>
      </w:r>
    </w:p>
    <w:p w:rsidR="00B571C7" w:rsidRDefault="00B571C7" w:rsidP="0074133B">
      <w:pPr>
        <w:pStyle w:val="NoSpacing"/>
        <w:jc w:val="both"/>
      </w:pPr>
    </w:p>
    <w:p w:rsidR="00B571C7" w:rsidRDefault="00B571C7" w:rsidP="0074133B">
      <w:pPr>
        <w:pStyle w:val="NoSpacing"/>
        <w:jc w:val="both"/>
      </w:pPr>
      <w:r>
        <w:t xml:space="preserve">Les amibes sont </w:t>
      </w:r>
      <w:r w:rsidRPr="00B571C7">
        <w:rPr>
          <w:b/>
        </w:rPr>
        <w:t>très sensibles</w:t>
      </w:r>
      <w:r>
        <w:t xml:space="preserve"> à la chaleur et aux rayons lumineux de courte longueur d’onde.  Il faut donc travailler en gardant l’</w:t>
      </w:r>
      <w:r w:rsidRPr="00B571C7">
        <w:rPr>
          <w:b/>
        </w:rPr>
        <w:t>intensité</w:t>
      </w:r>
      <w:r>
        <w:t xml:space="preserve"> du microscope relativement </w:t>
      </w:r>
      <w:r w:rsidRPr="00B571C7">
        <w:rPr>
          <w:b/>
        </w:rPr>
        <w:t>faible</w:t>
      </w:r>
      <w:r>
        <w:t xml:space="preserve">.  </w:t>
      </w:r>
    </w:p>
    <w:p w:rsidR="00B571C7" w:rsidRDefault="00B571C7" w:rsidP="0074133B">
      <w:pPr>
        <w:pStyle w:val="NoSpacing"/>
        <w:jc w:val="both"/>
      </w:pPr>
    </w:p>
    <w:p w:rsidR="00B571C7" w:rsidRDefault="00B571C7" w:rsidP="0074133B">
      <w:pPr>
        <w:pStyle w:val="NoSpacing"/>
        <w:jc w:val="both"/>
      </w:pPr>
      <w:r>
        <w:t xml:space="preserve">Il ne faut pas que l’eau s’évapore de la lame puisque s’il n’y a plus d’eau ca tuerait l’amibe.  Elle doit toujours être dans un </w:t>
      </w:r>
      <w:r w:rsidRPr="00B571C7">
        <w:rPr>
          <w:b/>
        </w:rPr>
        <w:t>environnement humide</w:t>
      </w:r>
      <w:r>
        <w:t xml:space="preserve"> afin de survivre.</w:t>
      </w:r>
    </w:p>
    <w:p w:rsidR="00B571C7" w:rsidRDefault="00B571C7" w:rsidP="0074133B">
      <w:pPr>
        <w:pStyle w:val="NoSpacing"/>
        <w:jc w:val="both"/>
      </w:pPr>
    </w:p>
    <w:p w:rsidR="00B571C7" w:rsidRDefault="00B571C7" w:rsidP="0074133B">
      <w:pPr>
        <w:pStyle w:val="NoSpacing"/>
        <w:jc w:val="both"/>
      </w:pPr>
      <w:r>
        <w:t xml:space="preserve">Dans l’amibe, on retrouve </w:t>
      </w:r>
      <w:r w:rsidRPr="00B571C7">
        <w:rPr>
          <w:b/>
        </w:rPr>
        <w:t>plusieurs organites</w:t>
      </w:r>
      <w:r>
        <w:t xml:space="preserve"> tels que : </w:t>
      </w:r>
    </w:p>
    <w:p w:rsidR="00B571C7" w:rsidRDefault="00B571C7" w:rsidP="00B571C7">
      <w:pPr>
        <w:pStyle w:val="NoSpacing"/>
        <w:numPr>
          <w:ilvl w:val="0"/>
          <w:numId w:val="7"/>
        </w:numPr>
        <w:jc w:val="both"/>
      </w:pPr>
      <w:r>
        <w:t xml:space="preserve">L’ectoplasme hyalin </w:t>
      </w:r>
    </w:p>
    <w:p w:rsidR="00B571C7" w:rsidRDefault="00B571C7" w:rsidP="00B571C7">
      <w:pPr>
        <w:pStyle w:val="NoSpacing"/>
        <w:numPr>
          <w:ilvl w:val="0"/>
          <w:numId w:val="7"/>
        </w:numPr>
        <w:jc w:val="both"/>
      </w:pPr>
      <w:r>
        <w:t>L’endoplasme granuleux (phase fluide ou gélatineuse)</w:t>
      </w:r>
    </w:p>
    <w:p w:rsidR="00B571C7" w:rsidRDefault="00B571C7" w:rsidP="00B571C7">
      <w:pPr>
        <w:pStyle w:val="NoSpacing"/>
        <w:numPr>
          <w:ilvl w:val="0"/>
          <w:numId w:val="7"/>
        </w:numPr>
        <w:jc w:val="both"/>
      </w:pPr>
      <w:r>
        <w:t>L’</w:t>
      </w:r>
      <w:proofErr w:type="spellStart"/>
      <w:r>
        <w:t>uroïde</w:t>
      </w:r>
      <w:proofErr w:type="spellEnd"/>
      <w:r>
        <w:t xml:space="preserve"> et le capuchon hyalin (cytoplasme)</w:t>
      </w:r>
    </w:p>
    <w:p w:rsidR="00B571C7" w:rsidRDefault="00B571C7" w:rsidP="00B571C7">
      <w:pPr>
        <w:pStyle w:val="NoSpacing"/>
        <w:numPr>
          <w:ilvl w:val="0"/>
          <w:numId w:val="7"/>
        </w:numPr>
        <w:jc w:val="both"/>
      </w:pPr>
      <w:r>
        <w:t xml:space="preserve">Noyau </w:t>
      </w:r>
    </w:p>
    <w:p w:rsidR="00B571C7" w:rsidRDefault="00B571C7" w:rsidP="00B571C7">
      <w:pPr>
        <w:pStyle w:val="NoSpacing"/>
        <w:numPr>
          <w:ilvl w:val="0"/>
          <w:numId w:val="7"/>
        </w:numPr>
        <w:jc w:val="both"/>
      </w:pPr>
      <w:r>
        <w:t xml:space="preserve">Vacuole contractile </w:t>
      </w:r>
    </w:p>
    <w:p w:rsidR="00B571C7" w:rsidRDefault="00B571C7" w:rsidP="00B571C7">
      <w:pPr>
        <w:pStyle w:val="NoSpacing"/>
        <w:numPr>
          <w:ilvl w:val="0"/>
          <w:numId w:val="7"/>
        </w:numPr>
        <w:jc w:val="both"/>
      </w:pPr>
      <w:r>
        <w:t xml:space="preserve">Vacuoles digestives </w:t>
      </w:r>
    </w:p>
    <w:p w:rsidR="00B571C7" w:rsidRDefault="00B571C7" w:rsidP="00B571C7">
      <w:pPr>
        <w:pStyle w:val="NoSpacing"/>
        <w:numPr>
          <w:ilvl w:val="0"/>
          <w:numId w:val="7"/>
        </w:numPr>
        <w:jc w:val="both"/>
      </w:pPr>
      <w:r>
        <w:t xml:space="preserve">Cristaux de </w:t>
      </w:r>
      <w:proofErr w:type="spellStart"/>
      <w:r>
        <w:t>triuret</w:t>
      </w:r>
      <w:proofErr w:type="spellEnd"/>
      <w:r>
        <w:t xml:space="preserve"> </w:t>
      </w:r>
    </w:p>
    <w:p w:rsidR="00B571C7" w:rsidRDefault="00B571C7" w:rsidP="00B571C7">
      <w:pPr>
        <w:pStyle w:val="NoSpacing"/>
        <w:numPr>
          <w:ilvl w:val="0"/>
          <w:numId w:val="7"/>
        </w:numPr>
        <w:jc w:val="both"/>
      </w:pPr>
      <w:r>
        <w:t xml:space="preserve">Lysosomes entourant les </w:t>
      </w:r>
      <w:proofErr w:type="spellStart"/>
      <w:r>
        <w:t>vesicules</w:t>
      </w:r>
      <w:proofErr w:type="spellEnd"/>
      <w:r>
        <w:t xml:space="preserve"> digestives</w:t>
      </w:r>
    </w:p>
    <w:p w:rsidR="00B571C7" w:rsidRDefault="00B571C7" w:rsidP="00B571C7">
      <w:pPr>
        <w:pStyle w:val="NoSpacing"/>
        <w:jc w:val="both"/>
      </w:pPr>
    </w:p>
    <w:p w:rsidR="00B571C7" w:rsidRDefault="00550FBE" w:rsidP="00B571C7">
      <w:pPr>
        <w:pStyle w:val="NoSpacing"/>
        <w:jc w:val="both"/>
        <w:rPr>
          <w:b/>
          <w:sz w:val="28"/>
          <w:szCs w:val="28"/>
        </w:rPr>
      </w:pPr>
      <w:r w:rsidRPr="00550FBE">
        <w:rPr>
          <w:b/>
          <w:sz w:val="28"/>
          <w:szCs w:val="28"/>
        </w:rPr>
        <w:t>La vacuole contractile</w:t>
      </w:r>
    </w:p>
    <w:p w:rsidR="00550FBE" w:rsidRDefault="00550FBE" w:rsidP="00B571C7">
      <w:pPr>
        <w:pStyle w:val="NoSpacing"/>
        <w:jc w:val="both"/>
      </w:pPr>
      <w:r>
        <w:t xml:space="preserve">Organite dans l’amibe qui évacue le </w:t>
      </w:r>
      <w:r w:rsidRPr="00550FBE">
        <w:rPr>
          <w:b/>
        </w:rPr>
        <w:t>surplus</w:t>
      </w:r>
      <w:r>
        <w:t xml:space="preserve"> d’eau.  Cet organite possède un cycle au cours duquel elle se rempli de liquide provenant du cytosol et le relâche dans le milieu extérieur.  Une vacuole typique existe pendant environ 4-8 minutes, mais parfois reste plus longtemps.</w:t>
      </w:r>
    </w:p>
    <w:p w:rsidR="00550FBE" w:rsidRDefault="00550FBE" w:rsidP="00B571C7">
      <w:pPr>
        <w:pStyle w:val="NoSpacing"/>
        <w:jc w:val="both"/>
      </w:pPr>
    </w:p>
    <w:p w:rsidR="00550FBE" w:rsidRDefault="00550FBE" w:rsidP="00B571C7">
      <w:pPr>
        <w:pStyle w:val="NoSpacing"/>
        <w:jc w:val="both"/>
      </w:pPr>
      <w:r w:rsidRPr="00550FBE">
        <w:rPr>
          <w:b/>
        </w:rPr>
        <w:t>L’endocytose </w:t>
      </w:r>
      <w:r>
        <w:t xml:space="preserve">: c’est chez l’amibe qu’on la décrit pour la première fois.  L’endocytose en vrac peut être provoquée par de nombreuses substances; protéines, acides aminés, sels, teintures basiques, etc.  Une fois en contact avec l’agent inducteur, l’amibe va stopper ses mouvements et adopter une forme généralement plus ronde.  Le flux d’endoplasme va également s’arrêter et celui-ci va se concentrer dans la partie centrale de la cellule.  De l’endoplasme va s’accumuler </w:t>
      </w:r>
      <w:r w:rsidR="005455F2">
        <w:t xml:space="preserve">à la périphérie et de petites protubérances vont apparaître.  Ce sont dans ces substances qu’on a le plus de chance à apercevoir des canaux d’endocytose.  </w:t>
      </w:r>
    </w:p>
    <w:p w:rsidR="005455F2" w:rsidRDefault="005455F2" w:rsidP="00B571C7">
      <w:pPr>
        <w:pStyle w:val="NoSpacing"/>
        <w:jc w:val="both"/>
      </w:pPr>
    </w:p>
    <w:p w:rsidR="005455F2" w:rsidRDefault="005455F2" w:rsidP="00B571C7">
      <w:pPr>
        <w:pStyle w:val="NoSpacing"/>
        <w:jc w:val="both"/>
      </w:pPr>
    </w:p>
    <w:p w:rsidR="005455F2" w:rsidRDefault="005455F2" w:rsidP="00B571C7">
      <w:pPr>
        <w:pStyle w:val="NoSpacing"/>
        <w:jc w:val="both"/>
      </w:pPr>
      <w:r w:rsidRPr="005455F2">
        <w:rPr>
          <w:b/>
          <w:sz w:val="32"/>
          <w:szCs w:val="32"/>
        </w:rPr>
        <w:lastRenderedPageBreak/>
        <w:t>LAB 4</w:t>
      </w:r>
      <w:r>
        <w:t> : La mitose</w:t>
      </w:r>
    </w:p>
    <w:p w:rsidR="00B571C7" w:rsidRDefault="005455F2" w:rsidP="0074133B">
      <w:pPr>
        <w:pStyle w:val="NoSpacing"/>
        <w:jc w:val="both"/>
      </w:pPr>
      <w:r w:rsidRPr="004C5971">
        <w:rPr>
          <w:b/>
        </w:rPr>
        <w:t>Division cellulaire</w:t>
      </w:r>
      <w:r>
        <w:t xml:space="preserve"> : processus qui permet à une cellule de se </w:t>
      </w:r>
      <w:r w:rsidRPr="004C5971">
        <w:rPr>
          <w:b/>
        </w:rPr>
        <w:t>produire deux copies</w:t>
      </w:r>
      <w:r>
        <w:t xml:space="preserve">.  Les procaryotes et eucaryotes </w:t>
      </w:r>
      <w:r w:rsidRPr="004C5971">
        <w:rPr>
          <w:b/>
        </w:rPr>
        <w:t>unicellulaires</w:t>
      </w:r>
      <w:r>
        <w:t xml:space="preserve"> utilisent la division cellulaire pour produire de </w:t>
      </w:r>
      <w:r w:rsidRPr="004C5971">
        <w:rPr>
          <w:b/>
        </w:rPr>
        <w:t>nouveaux individus</w:t>
      </w:r>
      <w:r>
        <w:t xml:space="preserve">.  </w:t>
      </w:r>
      <w:r w:rsidR="004C5971">
        <w:t xml:space="preserve">Chez les organismes </w:t>
      </w:r>
      <w:r w:rsidR="004C5971" w:rsidRPr="004C5971">
        <w:rPr>
          <w:b/>
        </w:rPr>
        <w:t>multicellulaires</w:t>
      </w:r>
      <w:r w:rsidR="004C5971">
        <w:t xml:space="preserve">, la division cellulaire permet le </w:t>
      </w:r>
      <w:r w:rsidR="004C5971" w:rsidRPr="00164727">
        <w:rPr>
          <w:b/>
        </w:rPr>
        <w:t>développement</w:t>
      </w:r>
      <w:r w:rsidR="004C5971">
        <w:t xml:space="preserve"> d’un embryon, la </w:t>
      </w:r>
      <w:r w:rsidR="004C5971" w:rsidRPr="00164727">
        <w:rPr>
          <w:b/>
        </w:rPr>
        <w:t>croissance</w:t>
      </w:r>
      <w:r w:rsidR="004C5971">
        <w:t xml:space="preserve">, et le </w:t>
      </w:r>
      <w:r w:rsidR="004C5971" w:rsidRPr="00164727">
        <w:rPr>
          <w:b/>
        </w:rPr>
        <w:t>remplacement</w:t>
      </w:r>
      <w:r w:rsidR="004C5971">
        <w:t xml:space="preserve"> des cellules en réponse à l’usure et le vieillissement.  </w:t>
      </w:r>
    </w:p>
    <w:p w:rsidR="00BF3038" w:rsidRDefault="00BF3038" w:rsidP="0074133B">
      <w:pPr>
        <w:pStyle w:val="NoSpacing"/>
        <w:jc w:val="both"/>
      </w:pPr>
    </w:p>
    <w:p w:rsidR="00BF3038" w:rsidRDefault="00BF3038" w:rsidP="00BF3038">
      <w:pPr>
        <w:pStyle w:val="NoSpacing"/>
        <w:jc w:val="both"/>
      </w:pPr>
      <w:r>
        <w:t xml:space="preserve">Chez les </w:t>
      </w:r>
      <w:r w:rsidRPr="00BF3038">
        <w:rPr>
          <w:b/>
        </w:rPr>
        <w:t>eucaryotes</w:t>
      </w:r>
      <w:r>
        <w:t>, il existe deux types de division cellulaire.</w:t>
      </w:r>
    </w:p>
    <w:p w:rsidR="00BF3038" w:rsidRDefault="00BF3038" w:rsidP="00BF3038">
      <w:pPr>
        <w:pStyle w:val="NoSpacing"/>
        <w:numPr>
          <w:ilvl w:val="0"/>
          <w:numId w:val="8"/>
        </w:numPr>
        <w:jc w:val="both"/>
      </w:pPr>
      <w:r w:rsidRPr="00BF3038">
        <w:rPr>
          <w:b/>
        </w:rPr>
        <w:t>Division conservative</w:t>
      </w:r>
      <w:r>
        <w:t> : division qui donnera naissance à deux cellules identiques à la cellule mère.  La mitose fait partir de ce type de division et désigne le processus ou matériel génétique est séparé de façon égale en deux.</w:t>
      </w:r>
    </w:p>
    <w:p w:rsidR="00BF3038" w:rsidRDefault="00BF3038" w:rsidP="00BF3038">
      <w:pPr>
        <w:pStyle w:val="NoSpacing"/>
        <w:numPr>
          <w:ilvl w:val="0"/>
          <w:numId w:val="8"/>
        </w:numPr>
        <w:jc w:val="both"/>
      </w:pPr>
      <w:r w:rsidRPr="00BF3038">
        <w:rPr>
          <w:b/>
        </w:rPr>
        <w:t>Division cellulaire réductrice</w:t>
      </w:r>
      <w:r>
        <w:t xml:space="preserve"> : va produire les gamètes (méiose).  Les cellules produites possèdent un matériel génétique différent de la cellule mère et génère ainsi la diversité génétique.   </w:t>
      </w:r>
    </w:p>
    <w:p w:rsidR="00236381" w:rsidRDefault="00236381" w:rsidP="00236381">
      <w:pPr>
        <w:pStyle w:val="NoSpacing"/>
        <w:jc w:val="both"/>
      </w:pPr>
    </w:p>
    <w:p w:rsidR="00236381" w:rsidRDefault="00236381" w:rsidP="00236381">
      <w:pPr>
        <w:pStyle w:val="NoSpacing"/>
        <w:jc w:val="both"/>
      </w:pPr>
      <w:r>
        <w:t xml:space="preserve">Cycle cellulaire : série d’événements qu’une cellule passe au travers au courant de sa vie.  Le cycle peut durer quelques heures chez les cellules en phase de division active, à plusieurs années comme dans les cellules osseuses d’un adulte.  </w:t>
      </w:r>
    </w:p>
    <w:p w:rsidR="00236381" w:rsidRPr="00236381" w:rsidRDefault="00236381" w:rsidP="00236381">
      <w:pPr>
        <w:pStyle w:val="NoSpacing"/>
        <w:jc w:val="both"/>
        <w:rPr>
          <w:b/>
        </w:rPr>
      </w:pPr>
      <w:r>
        <w:tab/>
      </w:r>
      <w:r>
        <w:rPr>
          <w:b/>
        </w:rPr>
        <w:t xml:space="preserve">Cycle cellulaire = </w:t>
      </w:r>
      <w:r>
        <w:rPr>
          <w:b/>
        </w:rPr>
        <w:tab/>
        <w:t>Division</w:t>
      </w:r>
      <w:r w:rsidRPr="00236381">
        <w:rPr>
          <w:b/>
        </w:rPr>
        <w:tab/>
        <w:t xml:space="preserve">+ </w:t>
      </w:r>
      <w:r w:rsidRPr="00236381">
        <w:rPr>
          <w:b/>
        </w:rPr>
        <w:tab/>
        <w:t>Interphase</w:t>
      </w:r>
    </w:p>
    <w:p w:rsidR="00236381" w:rsidRDefault="00236381" w:rsidP="00236381">
      <w:pPr>
        <w:pStyle w:val="NoSpacing"/>
        <w:jc w:val="both"/>
        <w:rPr>
          <w:sz w:val="18"/>
          <w:szCs w:val="18"/>
          <w:vertAlign w:val="subscript"/>
          <w:lang w:val="en-CA"/>
        </w:rPr>
      </w:pPr>
      <w:r>
        <w:tab/>
      </w:r>
      <w:r>
        <w:tab/>
      </w:r>
      <w:r>
        <w:tab/>
      </w:r>
      <w:r w:rsidRPr="00236381">
        <w:rPr>
          <w:lang w:val="en-CA"/>
        </w:rPr>
        <w:t xml:space="preserve">     </w:t>
      </w:r>
      <w:proofErr w:type="spellStart"/>
      <w:proofErr w:type="gramStart"/>
      <w:r w:rsidRPr="00236381">
        <w:rPr>
          <w:sz w:val="18"/>
          <w:szCs w:val="18"/>
          <w:lang w:val="en-CA"/>
        </w:rPr>
        <w:t>mitose</w:t>
      </w:r>
      <w:proofErr w:type="spellEnd"/>
      <w:proofErr w:type="gramEnd"/>
      <w:r w:rsidRPr="00236381">
        <w:rPr>
          <w:sz w:val="18"/>
          <w:szCs w:val="18"/>
          <w:lang w:val="en-CA"/>
        </w:rPr>
        <w:t xml:space="preserve"> + </w:t>
      </w:r>
      <w:proofErr w:type="spellStart"/>
      <w:r w:rsidRPr="00236381">
        <w:rPr>
          <w:sz w:val="18"/>
          <w:szCs w:val="18"/>
          <w:lang w:val="en-CA"/>
        </w:rPr>
        <w:t>cytodiérèse</w:t>
      </w:r>
      <w:proofErr w:type="spellEnd"/>
      <w:r w:rsidRPr="00236381">
        <w:rPr>
          <w:sz w:val="18"/>
          <w:szCs w:val="18"/>
          <w:lang w:val="en-CA"/>
        </w:rPr>
        <w:t xml:space="preserve">                      </w:t>
      </w:r>
      <w:r>
        <w:rPr>
          <w:sz w:val="18"/>
          <w:szCs w:val="18"/>
          <w:lang w:val="en-CA"/>
        </w:rPr>
        <w:t xml:space="preserve">  </w:t>
      </w:r>
      <w:r w:rsidRPr="00236381">
        <w:rPr>
          <w:sz w:val="18"/>
          <w:szCs w:val="18"/>
          <w:lang w:val="en-CA"/>
        </w:rPr>
        <w:t>G</w:t>
      </w:r>
      <w:r w:rsidRPr="00236381">
        <w:rPr>
          <w:sz w:val="18"/>
          <w:szCs w:val="18"/>
          <w:vertAlign w:val="subscript"/>
          <w:lang w:val="en-CA"/>
        </w:rPr>
        <w:t>1</w:t>
      </w:r>
      <w:r w:rsidRPr="00236381">
        <w:rPr>
          <w:sz w:val="18"/>
          <w:szCs w:val="18"/>
          <w:lang w:val="en-CA"/>
        </w:rPr>
        <w:t xml:space="preserve"> (±G</w:t>
      </w:r>
      <w:r w:rsidRPr="00236381">
        <w:rPr>
          <w:sz w:val="18"/>
          <w:szCs w:val="18"/>
          <w:vertAlign w:val="subscript"/>
          <w:lang w:val="en-CA"/>
        </w:rPr>
        <w:t>0</w:t>
      </w:r>
      <w:r w:rsidRPr="00236381">
        <w:rPr>
          <w:sz w:val="18"/>
          <w:szCs w:val="18"/>
          <w:lang w:val="en-CA"/>
        </w:rPr>
        <w:t>) + S + G</w:t>
      </w:r>
      <w:r>
        <w:rPr>
          <w:sz w:val="18"/>
          <w:szCs w:val="18"/>
          <w:vertAlign w:val="subscript"/>
          <w:lang w:val="en-CA"/>
        </w:rPr>
        <w:t>2</w:t>
      </w:r>
    </w:p>
    <w:p w:rsidR="001F3CE6" w:rsidRDefault="001F3CE6" w:rsidP="00236381">
      <w:pPr>
        <w:pStyle w:val="NoSpacing"/>
        <w:jc w:val="both"/>
        <w:rPr>
          <w:sz w:val="18"/>
          <w:szCs w:val="18"/>
          <w:vertAlign w:val="subscript"/>
          <w:lang w:val="en-CA"/>
        </w:rPr>
      </w:pPr>
    </w:p>
    <w:p w:rsidR="001F3CE6" w:rsidRDefault="001F3CE6" w:rsidP="00236381">
      <w:pPr>
        <w:pStyle w:val="NoSpacing"/>
        <w:jc w:val="both"/>
      </w:pPr>
      <w:r w:rsidRPr="00F74239">
        <w:rPr>
          <w:b/>
        </w:rPr>
        <w:t>Division cellulaire</w:t>
      </w:r>
      <w:r w:rsidR="00F74239" w:rsidRPr="00F74239">
        <w:t> </w:t>
      </w:r>
      <w:r w:rsidR="00F74239">
        <w:t>: comprend la division du noyau et du cytoplasme</w:t>
      </w:r>
    </w:p>
    <w:p w:rsidR="00F74239" w:rsidRDefault="00F74239" w:rsidP="00236381">
      <w:pPr>
        <w:pStyle w:val="NoSpacing"/>
        <w:jc w:val="both"/>
      </w:pPr>
      <w:r w:rsidRPr="00F74239">
        <w:rPr>
          <w:b/>
        </w:rPr>
        <w:t>Fission binaire</w:t>
      </w:r>
      <w:r>
        <w:t> : combinaison de réplication d’ADN et de division du cytoplasme</w:t>
      </w:r>
    </w:p>
    <w:p w:rsidR="00F74239" w:rsidRDefault="00F74239" w:rsidP="00236381">
      <w:pPr>
        <w:pStyle w:val="NoSpacing"/>
        <w:jc w:val="both"/>
      </w:pPr>
      <w:r w:rsidRPr="00F74239">
        <w:rPr>
          <w:b/>
        </w:rPr>
        <w:t>Interphase</w:t>
      </w:r>
      <w:r>
        <w:t> : commence lorsqu’une cellule résultant d’une division antérieure entre en période de croissance.  Constitue la plus grande partie du cycle cellulaire.  C’est au cours de l’interphase que se déroule la plupart des processus cellulaires.  L’interphase de subdivise elle-même en stades</w:t>
      </w:r>
    </w:p>
    <w:p w:rsidR="00F74239" w:rsidRDefault="00F74239" w:rsidP="00F74239">
      <w:pPr>
        <w:pStyle w:val="NoSpacing"/>
        <w:ind w:left="720"/>
        <w:jc w:val="both"/>
      </w:pPr>
      <w:r w:rsidRPr="00F74239">
        <w:rPr>
          <w:b/>
        </w:rPr>
        <w:t>Phase G</w:t>
      </w:r>
      <w:r w:rsidRPr="00F74239">
        <w:rPr>
          <w:b/>
          <w:vertAlign w:val="subscript"/>
        </w:rPr>
        <w:t>1</w:t>
      </w:r>
      <w:r>
        <w:rPr>
          <w:vertAlign w:val="subscript"/>
        </w:rPr>
        <w:t> </w:t>
      </w:r>
      <w:r>
        <w:t>: période de croissance et de synthèse active de tous les groupes de macromolécules et aussi de reproduction des organites du cytoplasme (mitochondries et ribosomes)</w:t>
      </w:r>
    </w:p>
    <w:p w:rsidR="00F74239" w:rsidRDefault="00F74239" w:rsidP="00F74239">
      <w:pPr>
        <w:pStyle w:val="NoSpacing"/>
        <w:ind w:left="720"/>
        <w:jc w:val="both"/>
      </w:pPr>
      <w:r w:rsidRPr="00F74239">
        <w:rPr>
          <w:b/>
        </w:rPr>
        <w:t>Phase S</w:t>
      </w:r>
      <w:r>
        <w:t> : réplication précise de l’ADN et la synthèse des protéines liées à l’ADN et les centrioles.  À la fin de cette phase, chaque chromosome se compose</w:t>
      </w:r>
      <w:r w:rsidR="00435E90">
        <w:t xml:space="preserve"> de deux chromatides dupliquées et qui sont jointes entre elles par des complexes protéiques appelés </w:t>
      </w:r>
      <w:proofErr w:type="spellStart"/>
      <w:r w:rsidR="00435E90">
        <w:t>cohésines</w:t>
      </w:r>
      <w:proofErr w:type="spellEnd"/>
      <w:r w:rsidR="00435E90">
        <w:t xml:space="preserve">.  </w:t>
      </w:r>
    </w:p>
    <w:p w:rsidR="00435E90" w:rsidRDefault="00435E90" w:rsidP="00F74239">
      <w:pPr>
        <w:pStyle w:val="NoSpacing"/>
        <w:ind w:left="720"/>
        <w:jc w:val="both"/>
      </w:pPr>
      <w:r>
        <w:rPr>
          <w:b/>
        </w:rPr>
        <w:t>Phase G</w:t>
      </w:r>
      <w:r>
        <w:rPr>
          <w:b/>
          <w:vertAlign w:val="subscript"/>
        </w:rPr>
        <w:t>2 </w:t>
      </w:r>
      <w:r>
        <w:rPr>
          <w:b/>
        </w:rPr>
        <w:t xml:space="preserve">: </w:t>
      </w:r>
      <w:r>
        <w:t>synthèse des protéines et la production de structures nécessaires à la mitose.</w:t>
      </w:r>
    </w:p>
    <w:p w:rsidR="0044006C" w:rsidRDefault="0044006C" w:rsidP="0044006C">
      <w:pPr>
        <w:pStyle w:val="NoSpacing"/>
        <w:jc w:val="both"/>
      </w:pPr>
    </w:p>
    <w:p w:rsidR="0044006C" w:rsidRPr="00F1628F" w:rsidRDefault="0044006C" w:rsidP="0044006C">
      <w:pPr>
        <w:pStyle w:val="NoSpacing"/>
        <w:jc w:val="both"/>
        <w:rPr>
          <w:b/>
          <w:sz w:val="28"/>
          <w:szCs w:val="28"/>
        </w:rPr>
      </w:pPr>
      <w:r w:rsidRPr="00F1628F">
        <w:rPr>
          <w:b/>
        </w:rPr>
        <w:t>La mitose</w:t>
      </w:r>
      <w:r w:rsidR="00F1628F" w:rsidRPr="00F1628F">
        <w:rPr>
          <w:b/>
        </w:rPr>
        <w:t> :</w:t>
      </w:r>
      <w:r w:rsidR="00F1628F">
        <w:rPr>
          <w:b/>
          <w:sz w:val="28"/>
          <w:szCs w:val="28"/>
        </w:rPr>
        <w:t xml:space="preserve"> </w:t>
      </w:r>
      <w:r>
        <w:t>Partie de la division cellulaire qui comprend le p</w:t>
      </w:r>
      <w:r w:rsidR="00F1628F">
        <w:t xml:space="preserve">rocessus de </w:t>
      </w:r>
      <w:r w:rsidR="00F1628F" w:rsidRPr="00F1628F">
        <w:rPr>
          <w:b/>
        </w:rPr>
        <w:t>division du noyau</w:t>
      </w:r>
      <w:r w:rsidR="00F1628F">
        <w:t xml:space="preserve">, où les chromosomes sont distribués de façon égale entre les deux noyaux résultants.  </w:t>
      </w:r>
    </w:p>
    <w:p w:rsidR="00F1628F" w:rsidRDefault="00F1628F" w:rsidP="0044006C">
      <w:pPr>
        <w:pStyle w:val="NoSpacing"/>
        <w:jc w:val="both"/>
      </w:pPr>
      <w:r w:rsidRPr="00F1628F">
        <w:rPr>
          <w:b/>
        </w:rPr>
        <w:t>Cytodiérèse</w:t>
      </w:r>
      <w:r>
        <w:t xml:space="preserve"> : division du cytoplasme – est en général étroitement associé à la division du noyau.  Elle commence à la fin de l’anaphase et se poursuit pendant la télophase.  Elle se fait par un </w:t>
      </w:r>
      <w:r w:rsidRPr="00F1628F">
        <w:rPr>
          <w:b/>
        </w:rPr>
        <w:t>sillon de division</w:t>
      </w:r>
      <w:r>
        <w:t xml:space="preserve"> qui se forme au milieu des cellules animales ou par </w:t>
      </w:r>
      <w:r w:rsidRPr="00F1628F">
        <w:rPr>
          <w:b/>
        </w:rPr>
        <w:t>une plaque cellulaire</w:t>
      </w:r>
      <w:r>
        <w:t xml:space="preserve"> qui se forme à l’équateur des cellules végétales.  </w:t>
      </w:r>
    </w:p>
    <w:p w:rsidR="00F1628F" w:rsidRPr="00F1628F" w:rsidRDefault="00F1628F" w:rsidP="0044006C">
      <w:pPr>
        <w:pStyle w:val="NoSpacing"/>
        <w:jc w:val="both"/>
        <w:rPr>
          <w:b/>
          <w:sz w:val="28"/>
          <w:szCs w:val="28"/>
        </w:rPr>
      </w:pPr>
    </w:p>
    <w:p w:rsidR="00F1628F" w:rsidRDefault="00F1628F" w:rsidP="0044006C">
      <w:pPr>
        <w:pStyle w:val="NoSpacing"/>
        <w:jc w:val="both"/>
        <w:rPr>
          <w:b/>
          <w:sz w:val="28"/>
          <w:szCs w:val="28"/>
        </w:rPr>
      </w:pPr>
      <w:r w:rsidRPr="00F1628F">
        <w:rPr>
          <w:b/>
          <w:sz w:val="28"/>
          <w:szCs w:val="28"/>
        </w:rPr>
        <w:t>Phases du cycle cellulaire chez les végétaux</w:t>
      </w:r>
    </w:p>
    <w:p w:rsidR="00F1628F" w:rsidRDefault="00F1628F" w:rsidP="0044006C">
      <w:pPr>
        <w:pStyle w:val="NoSpacing"/>
        <w:jc w:val="both"/>
        <w:rPr>
          <w:b/>
        </w:rPr>
      </w:pPr>
    </w:p>
    <w:p w:rsidR="00F1628F" w:rsidRDefault="00F1628F" w:rsidP="0044006C">
      <w:pPr>
        <w:pStyle w:val="NoSpacing"/>
        <w:jc w:val="both"/>
      </w:pPr>
      <w:r>
        <w:rPr>
          <w:b/>
        </w:rPr>
        <w:t xml:space="preserve">Interphase : </w:t>
      </w:r>
      <w:r>
        <w:t xml:space="preserve">phase entre deux divisions </w:t>
      </w:r>
      <w:proofErr w:type="spellStart"/>
      <w:r>
        <w:t>miotiques</w:t>
      </w:r>
      <w:proofErr w:type="spellEnd"/>
      <w:r>
        <w:t xml:space="preserve">.  Phase de croissance et pendant laquelle la synthèse des macromolécules et l’assemblage des organites de même que la réplication d’ADN se déroulent.  Le noyau est bien délimité, contenant des nucléoles foncés et des masses de chromatine.  </w:t>
      </w:r>
    </w:p>
    <w:p w:rsidR="00F1628F" w:rsidRDefault="00F1628F" w:rsidP="0044006C">
      <w:pPr>
        <w:pStyle w:val="NoSpacing"/>
        <w:jc w:val="both"/>
      </w:pPr>
    </w:p>
    <w:p w:rsidR="00F1628F" w:rsidRDefault="00F1628F" w:rsidP="0044006C">
      <w:pPr>
        <w:pStyle w:val="NoSpacing"/>
        <w:jc w:val="both"/>
      </w:pPr>
      <w:r w:rsidRPr="00795545">
        <w:rPr>
          <w:b/>
        </w:rPr>
        <w:t>Prophase</w:t>
      </w:r>
      <w:r>
        <w:t xml:space="preserve"> : </w:t>
      </w:r>
      <w:r w:rsidR="00795545">
        <w:t>fin du stage G</w:t>
      </w:r>
      <w:r w:rsidR="00795545">
        <w:rPr>
          <w:vertAlign w:val="subscript"/>
        </w:rPr>
        <w:t>2</w:t>
      </w:r>
      <w:r>
        <w:t xml:space="preserve"> </w:t>
      </w:r>
      <w:r w:rsidR="00622B42">
        <w:t xml:space="preserve">chromosomes raccourcissent et s’épaississent – chacun est formé de deux chromatides sœurs reliées dans la même région des centromères.  Chaque chromatide est formé d’ADN dupliqué au cours de l’interphase.  Pendant la prophase – microtubules du cytosquelette se dissocient en sous-unités de tubuline qui se rassembleront afin de former le fuseau </w:t>
      </w:r>
      <w:proofErr w:type="spellStart"/>
      <w:r w:rsidR="00622B42">
        <w:t>miotique</w:t>
      </w:r>
      <w:proofErr w:type="spellEnd"/>
      <w:r w:rsidR="00622B42">
        <w:t xml:space="preserve">.  Nucléoles disparaissent graduellement.  Centrosome se réplique juste avant la phase S de l’interphase.  Pendant la prophase, les deux centrosomes se séparent et voyagent vers les pôles de la cellule.  Les centrosomes sont aussi à l’origine </w:t>
      </w:r>
      <w:r w:rsidR="00487A4B">
        <w:t xml:space="preserve">de la formation des microtubules du fuseau </w:t>
      </w:r>
      <w:proofErr w:type="spellStart"/>
      <w:r w:rsidR="00487A4B">
        <w:t>miotique</w:t>
      </w:r>
      <w:proofErr w:type="spellEnd"/>
      <w:r w:rsidR="00487A4B">
        <w:t xml:space="preserve">.  </w:t>
      </w:r>
    </w:p>
    <w:p w:rsidR="00487A4B" w:rsidRDefault="00487A4B" w:rsidP="0044006C">
      <w:pPr>
        <w:pStyle w:val="NoSpacing"/>
        <w:jc w:val="both"/>
      </w:pPr>
    </w:p>
    <w:p w:rsidR="00487A4B" w:rsidRDefault="00487A4B" w:rsidP="0044006C">
      <w:pPr>
        <w:pStyle w:val="NoSpacing"/>
        <w:jc w:val="both"/>
      </w:pPr>
      <w:proofErr w:type="spellStart"/>
      <w:r w:rsidRPr="00487A4B">
        <w:rPr>
          <w:b/>
        </w:rPr>
        <w:lastRenderedPageBreak/>
        <w:t>Prométaphase</w:t>
      </w:r>
      <w:proofErr w:type="spellEnd"/>
      <w:r w:rsidRPr="00487A4B">
        <w:rPr>
          <w:b/>
        </w:rPr>
        <w:t> </w:t>
      </w:r>
      <w:r>
        <w:t xml:space="preserve">: désintégration de l’enveloppe nucléaire marque le début de cette phase.  Centrosomes se retrouvent éventuellement aux pôles opposés.  Sur le centromère de chaque chromatide, un complexe de protéine se forme.  Il y a deux </w:t>
      </w:r>
      <w:proofErr w:type="spellStart"/>
      <w:r>
        <w:t>kinétochores</w:t>
      </w:r>
      <w:proofErr w:type="spellEnd"/>
      <w:r>
        <w:t xml:space="preserve"> par chromosome, une par chromatide.  Le </w:t>
      </w:r>
      <w:proofErr w:type="spellStart"/>
      <w:r>
        <w:t>kinétochore</w:t>
      </w:r>
      <w:proofErr w:type="spellEnd"/>
      <w:r>
        <w:t xml:space="preserve"> de l’une des deux chromatides sœurs se fixe aux microtubules de fuseau </w:t>
      </w:r>
      <w:proofErr w:type="spellStart"/>
      <w:r>
        <w:t>miotique</w:t>
      </w:r>
      <w:proofErr w:type="spellEnd"/>
      <w:r>
        <w:t xml:space="preserve"> d’un pôle, alors que le </w:t>
      </w:r>
      <w:proofErr w:type="spellStart"/>
      <w:r>
        <w:t>kinétochore</w:t>
      </w:r>
      <w:proofErr w:type="spellEnd"/>
      <w:r>
        <w:t xml:space="preserve"> de l’autre chromatide se fixe aux microtubules du pôle opposé.  Comme les chromosomes sont tirés simultanément vers les pôles opposés, ils finissent tous alignés sur un plan imaginaire situé à mi-chemin entre les deux pôles de la cellule.</w:t>
      </w:r>
    </w:p>
    <w:p w:rsidR="00487A4B" w:rsidRDefault="00487A4B" w:rsidP="0044006C">
      <w:pPr>
        <w:pStyle w:val="NoSpacing"/>
        <w:jc w:val="both"/>
      </w:pPr>
    </w:p>
    <w:p w:rsidR="00487A4B" w:rsidRDefault="00487A4B" w:rsidP="0044006C">
      <w:pPr>
        <w:pStyle w:val="NoSpacing"/>
        <w:jc w:val="both"/>
      </w:pPr>
      <w:r w:rsidRPr="00487A4B">
        <w:rPr>
          <w:b/>
        </w:rPr>
        <w:t>Métaphase </w:t>
      </w:r>
      <w:r>
        <w:t xml:space="preserve">: microtubules du fuseau sont complètement formés et s’étendent d’un pôle à l’autre.  Tous les centrosomes des chromosomes trouvent un niveau de la plaque équatoriale et commencent à se séparer.  Les complexes de </w:t>
      </w:r>
      <w:proofErr w:type="spellStart"/>
      <w:r>
        <w:t>cohésines</w:t>
      </w:r>
      <w:proofErr w:type="spellEnd"/>
      <w:r>
        <w:t xml:space="preserve"> sont alors clivés par une enzyme appelée </w:t>
      </w:r>
      <w:proofErr w:type="spellStart"/>
      <w:r w:rsidRPr="00487A4B">
        <w:rPr>
          <w:b/>
          <w:i/>
        </w:rPr>
        <w:t>séparase</w:t>
      </w:r>
      <w:proofErr w:type="spellEnd"/>
      <w:r>
        <w:t xml:space="preserve">, qui libère les chromatides des </w:t>
      </w:r>
      <w:proofErr w:type="spellStart"/>
      <w:r>
        <w:t>kinétochores</w:t>
      </w:r>
      <w:proofErr w:type="spellEnd"/>
      <w:r>
        <w:t>.</w:t>
      </w:r>
    </w:p>
    <w:p w:rsidR="002F3F14" w:rsidRDefault="002F3F14" w:rsidP="0044006C">
      <w:pPr>
        <w:pStyle w:val="NoSpacing"/>
        <w:jc w:val="both"/>
      </w:pPr>
    </w:p>
    <w:p w:rsidR="002F3F14" w:rsidRDefault="002F3F14" w:rsidP="0044006C">
      <w:pPr>
        <w:pStyle w:val="NoSpacing"/>
        <w:jc w:val="both"/>
      </w:pPr>
      <w:r w:rsidRPr="002F3F14">
        <w:rPr>
          <w:b/>
        </w:rPr>
        <w:t>Anaphase</w:t>
      </w:r>
      <w:r>
        <w:t xml:space="preserve"> : centromères se séparent et chromatides sœurs (qui sont maintenant des chromosomes) se déplacent vers les pôles opposés de la cellule.  Le mouvement des chromatides vers les pôles est causé par le raccourcissement des microtubules qui intervient par dépolymérisation au niveau des </w:t>
      </w:r>
      <w:proofErr w:type="spellStart"/>
      <w:r>
        <w:t>kinétochores</w:t>
      </w:r>
      <w:proofErr w:type="spellEnd"/>
      <w:r>
        <w:t xml:space="preserve">.  </w:t>
      </w:r>
    </w:p>
    <w:p w:rsidR="002F3F14" w:rsidRDefault="002F3F14" w:rsidP="0044006C">
      <w:pPr>
        <w:pStyle w:val="NoSpacing"/>
        <w:jc w:val="both"/>
      </w:pPr>
    </w:p>
    <w:p w:rsidR="002F3F14" w:rsidRDefault="002F3F14" w:rsidP="0044006C">
      <w:pPr>
        <w:pStyle w:val="NoSpacing"/>
        <w:jc w:val="both"/>
      </w:pPr>
      <w:r w:rsidRPr="002F3F14">
        <w:rPr>
          <w:b/>
        </w:rPr>
        <w:t>Télophase</w:t>
      </w:r>
      <w:r>
        <w:t xml:space="preserve"> : </w:t>
      </w:r>
      <w:r w:rsidR="00930889">
        <w:t xml:space="preserve">chromosomes sont parvenus aux pôles.  Ils se décondensent, s’allongent et s’amincissent.  L’enveloppe nucléaire réapparait, les nucléoles se reforment, et le fuseau disparait.  La </w:t>
      </w:r>
      <w:r w:rsidR="00930889" w:rsidRPr="00930889">
        <w:rPr>
          <w:b/>
        </w:rPr>
        <w:t>cytodiérèse</w:t>
      </w:r>
      <w:r w:rsidR="00930889">
        <w:t xml:space="preserve"> se déroule habituellement au cours de cette phase.  Dans les cellules végétales, une structure appelée </w:t>
      </w:r>
      <w:proofErr w:type="spellStart"/>
      <w:r w:rsidR="00930889" w:rsidRPr="00930889">
        <w:rPr>
          <w:b/>
        </w:rPr>
        <w:t>phragmoplaste</w:t>
      </w:r>
      <w:proofErr w:type="spellEnd"/>
      <w:r w:rsidR="00930889">
        <w:t xml:space="preserve"> guide la formation d’une plaque cellulaire qui divise la cellule en deux.  Dans les cellules animales, un </w:t>
      </w:r>
      <w:r w:rsidR="00930889" w:rsidRPr="00930889">
        <w:rPr>
          <w:b/>
        </w:rPr>
        <w:t>sillon</w:t>
      </w:r>
      <w:r w:rsidR="00930889">
        <w:t xml:space="preserve"> se creuse et divise la cellule en deux par étranglement.</w:t>
      </w:r>
    </w:p>
    <w:p w:rsidR="00EC3415" w:rsidRDefault="00EC3415" w:rsidP="0044006C">
      <w:pPr>
        <w:pStyle w:val="NoSpacing"/>
        <w:jc w:val="both"/>
      </w:pPr>
    </w:p>
    <w:p w:rsidR="00EC3415" w:rsidRDefault="00EC3415" w:rsidP="0044006C">
      <w:pPr>
        <w:pStyle w:val="NoSpacing"/>
        <w:jc w:val="both"/>
      </w:pPr>
      <w:r>
        <w:t xml:space="preserve">Division cellulaire est généralement plus facile à observer dans les tissus végétaux, où les chromosomes sont plus facilement visibles que dans les cellules animales.  </w:t>
      </w:r>
    </w:p>
    <w:p w:rsidR="00EC3415" w:rsidRDefault="00EC3415" w:rsidP="0044006C">
      <w:pPr>
        <w:pStyle w:val="NoSpacing"/>
        <w:jc w:val="both"/>
      </w:pPr>
      <w:r>
        <w:t>Façon la plus simple de faire des préparations pour étudier les chromosomes consiste à écraser du tissu sous une lamelle couvre-objet après l’avoir fixé et teint.</w:t>
      </w:r>
      <w:r w:rsidR="009B2202">
        <w:t xml:space="preserve">  Ce genre de préparation donne une couche unique de cellules intactes et aplaties, où les chromosomes sont bien répandus et faciles à étudier.  </w:t>
      </w:r>
    </w:p>
    <w:p w:rsidR="009C7372" w:rsidRDefault="009C7372" w:rsidP="0044006C">
      <w:pPr>
        <w:pStyle w:val="NoSpacing"/>
        <w:jc w:val="both"/>
      </w:pPr>
    </w:p>
    <w:p w:rsidR="00E12302" w:rsidRDefault="009C7372" w:rsidP="0044006C">
      <w:pPr>
        <w:pStyle w:val="NoSpacing"/>
        <w:jc w:val="both"/>
      </w:pPr>
      <w:r w:rsidRPr="009C7372">
        <w:rPr>
          <w:b/>
          <w:sz w:val="28"/>
          <w:szCs w:val="28"/>
        </w:rPr>
        <w:t xml:space="preserve">Teinture de </w:t>
      </w:r>
      <w:proofErr w:type="spellStart"/>
      <w:r w:rsidRPr="009C7372">
        <w:rPr>
          <w:b/>
          <w:sz w:val="28"/>
          <w:szCs w:val="28"/>
        </w:rPr>
        <w:t>Feulgen</w:t>
      </w:r>
      <w:proofErr w:type="spellEnd"/>
      <w:r>
        <w:t xml:space="preserve"> : réagit seulement avec des groupements aldéhydes pour former un produit coloré.  Pour que l’ADN réagisse avec la teinture, il faut l’hydrolyser avec du </w:t>
      </w:r>
      <w:proofErr w:type="spellStart"/>
      <w:r>
        <w:t>HCl</w:t>
      </w:r>
      <w:proofErr w:type="spellEnd"/>
      <w:r>
        <w:t xml:space="preserve"> chaud (60°).  L’</w:t>
      </w:r>
      <w:r w:rsidR="0091046B">
        <w:t xml:space="preserve">hydrolyse a aussi pour effet d’éliminer tout l’ARN du tissu et ainsi prévient l’apparition de bruit de fond.  Elle ramollit également le tissu, ce qui permet de l’écraser plus facilement entre les deux lames.  </w:t>
      </w:r>
    </w:p>
    <w:p w:rsidR="00E12302" w:rsidRDefault="00E12302" w:rsidP="0044006C">
      <w:pPr>
        <w:pStyle w:val="NoSpacing"/>
        <w:jc w:val="both"/>
      </w:pPr>
    </w:p>
    <w:p w:rsidR="009C7372" w:rsidRDefault="00E12302" w:rsidP="0044006C">
      <w:pPr>
        <w:pStyle w:val="NoSpacing"/>
        <w:jc w:val="both"/>
      </w:pPr>
      <w:r w:rsidRPr="00736ABA">
        <w:rPr>
          <w:b/>
        </w:rPr>
        <w:t>La mitose dans les cellules animales </w:t>
      </w:r>
      <w:r>
        <w:t>: se déroule essentiellement de la même façon que dans les cellules végétales sauf que, puisque les cellules animales sont dépourvues de paroi, il ne se forme pas de plaque cellul</w:t>
      </w:r>
      <w:r w:rsidR="00736ABA">
        <w:t>aire au cours de la télophase.  À la fin de la division du noyau, il y a étranglement du cytoplasme au milieu pour former les deux cellules filles.  On note la présence d’un aster, ce qu’il n’y a pas dans les cellules végétales.</w:t>
      </w:r>
    </w:p>
    <w:p w:rsidR="00736ABA" w:rsidRDefault="00736ABA" w:rsidP="0044006C">
      <w:pPr>
        <w:pStyle w:val="NoSpacing"/>
        <w:jc w:val="both"/>
      </w:pPr>
    </w:p>
    <w:p w:rsidR="00736ABA" w:rsidRPr="00C71A95" w:rsidRDefault="00736ABA" w:rsidP="0044006C">
      <w:pPr>
        <w:pStyle w:val="NoSpacing"/>
        <w:jc w:val="both"/>
        <w:rPr>
          <w:b/>
        </w:rPr>
      </w:pPr>
      <w:r w:rsidRPr="00C71A95">
        <w:rPr>
          <w:b/>
        </w:rPr>
        <w:t>Partie de l’expérience</w:t>
      </w:r>
    </w:p>
    <w:p w:rsidR="00736ABA" w:rsidRDefault="00C71A95" w:rsidP="0044006C">
      <w:pPr>
        <w:pStyle w:val="NoSpacing"/>
        <w:jc w:val="both"/>
      </w:pPr>
      <w:r>
        <w:t>La phase qui contient le plus de cellules est l’</w:t>
      </w:r>
      <w:r w:rsidRPr="00C71A95">
        <w:rPr>
          <w:b/>
        </w:rPr>
        <w:t>interphase</w:t>
      </w:r>
      <w:r>
        <w:t>.</w:t>
      </w:r>
    </w:p>
    <w:p w:rsidR="00C71A95" w:rsidRDefault="00C71A95" w:rsidP="0044006C">
      <w:pPr>
        <w:pStyle w:val="NoSpacing"/>
        <w:jc w:val="both"/>
        <w:rPr>
          <w:b/>
        </w:rPr>
      </w:pPr>
      <w:r>
        <w:t xml:space="preserve">Le moins de cellules est la </w:t>
      </w:r>
      <w:r w:rsidRPr="00C71A95">
        <w:rPr>
          <w:b/>
        </w:rPr>
        <w:t>métaphase</w:t>
      </w:r>
      <w:r>
        <w:rPr>
          <w:b/>
        </w:rPr>
        <w:t>.</w:t>
      </w:r>
    </w:p>
    <w:p w:rsidR="00C71A95" w:rsidRDefault="00C71A95" w:rsidP="0044006C">
      <w:pPr>
        <w:pStyle w:val="NoSpacing"/>
        <w:jc w:val="both"/>
        <w:rPr>
          <w:b/>
        </w:rPr>
      </w:pPr>
    </w:p>
    <w:p w:rsidR="00C71A95" w:rsidRDefault="00C71A95" w:rsidP="0044006C">
      <w:pPr>
        <w:pStyle w:val="NoSpacing"/>
        <w:jc w:val="both"/>
      </w:pPr>
      <w:r>
        <w:rPr>
          <w:b/>
        </w:rPr>
        <w:t xml:space="preserve">LAB 5 : </w:t>
      </w:r>
      <w:r>
        <w:t>La méiose</w:t>
      </w:r>
    </w:p>
    <w:p w:rsidR="00C71A95" w:rsidRDefault="00C71A95" w:rsidP="0044006C">
      <w:pPr>
        <w:pStyle w:val="NoSpacing"/>
        <w:jc w:val="both"/>
      </w:pPr>
      <w:r>
        <w:t xml:space="preserve">C’est un processus de division nucléaire qui résulte en une réduction chromatique.  La duplication de l’ADN est suivie de 2 divisions.  La méiose donne 4 cellules filles qui ne sont pas identiques entre elles, ni à la cellule mère.  Chaque cellule fille ne contient que la moitié du nombre de chromosomes de la cellule mère. La méiose assure : </w:t>
      </w:r>
    </w:p>
    <w:p w:rsidR="00C71A95" w:rsidRDefault="00C71A95" w:rsidP="00C71A95">
      <w:pPr>
        <w:pStyle w:val="NoSpacing"/>
        <w:numPr>
          <w:ilvl w:val="0"/>
          <w:numId w:val="9"/>
        </w:numPr>
        <w:jc w:val="both"/>
      </w:pPr>
      <w:r>
        <w:t xml:space="preserve">La </w:t>
      </w:r>
      <w:r w:rsidRPr="00C71A95">
        <w:rPr>
          <w:b/>
        </w:rPr>
        <w:t xml:space="preserve">stabilité </w:t>
      </w:r>
      <w:r>
        <w:t xml:space="preserve">du nombre de chromosomes d’une génération à l’autre </w:t>
      </w:r>
    </w:p>
    <w:p w:rsidR="00C71A95" w:rsidRDefault="00C71A95" w:rsidP="00C71A95">
      <w:pPr>
        <w:pStyle w:val="NoSpacing"/>
        <w:numPr>
          <w:ilvl w:val="0"/>
          <w:numId w:val="9"/>
        </w:numPr>
        <w:jc w:val="both"/>
      </w:pPr>
      <w:r>
        <w:t xml:space="preserve">La possession de </w:t>
      </w:r>
      <w:r w:rsidRPr="00C71A95">
        <w:rPr>
          <w:b/>
        </w:rPr>
        <w:t>deux jeux complets d’instructions génétiques</w:t>
      </w:r>
      <w:r>
        <w:t xml:space="preserve"> par les individus issus de la reproduction sexuée</w:t>
      </w:r>
    </w:p>
    <w:p w:rsidR="001B62A0" w:rsidRDefault="00C71A95" w:rsidP="001B62A0">
      <w:pPr>
        <w:pStyle w:val="NoSpacing"/>
        <w:numPr>
          <w:ilvl w:val="0"/>
          <w:numId w:val="9"/>
        </w:numPr>
        <w:jc w:val="both"/>
      </w:pPr>
      <w:r>
        <w:t xml:space="preserve">La </w:t>
      </w:r>
      <w:r w:rsidRPr="00C71A95">
        <w:rPr>
          <w:b/>
        </w:rPr>
        <w:t>diversité génétique</w:t>
      </w:r>
      <w:r>
        <w:t xml:space="preserve"> des descendants</w:t>
      </w:r>
    </w:p>
    <w:tbl>
      <w:tblPr>
        <w:tblStyle w:val="LightShading"/>
        <w:tblW w:w="0" w:type="auto"/>
        <w:tblLook w:val="06A0" w:firstRow="1" w:lastRow="0" w:firstColumn="1" w:lastColumn="0" w:noHBand="1" w:noVBand="1"/>
      </w:tblPr>
      <w:tblGrid>
        <w:gridCol w:w="5094"/>
        <w:gridCol w:w="5094"/>
      </w:tblGrid>
      <w:tr w:rsidR="00642DB6" w:rsidTr="00642D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4" w:type="dxa"/>
          </w:tcPr>
          <w:p w:rsidR="00642DB6" w:rsidRDefault="00642DB6" w:rsidP="00642DB6">
            <w:pPr>
              <w:pStyle w:val="NoSpacing"/>
              <w:jc w:val="center"/>
            </w:pPr>
            <w:r>
              <w:lastRenderedPageBreak/>
              <w:t xml:space="preserve">Animaux </w:t>
            </w:r>
          </w:p>
        </w:tc>
        <w:tc>
          <w:tcPr>
            <w:tcW w:w="5094" w:type="dxa"/>
          </w:tcPr>
          <w:p w:rsidR="00642DB6" w:rsidRDefault="00642DB6" w:rsidP="00642DB6">
            <w:pPr>
              <w:pStyle w:val="NoSpacing"/>
              <w:jc w:val="center"/>
              <w:cnfStyle w:val="100000000000" w:firstRow="1" w:lastRow="0" w:firstColumn="0" w:lastColumn="0" w:oddVBand="0" w:evenVBand="0" w:oddHBand="0" w:evenHBand="0" w:firstRowFirstColumn="0" w:firstRowLastColumn="0" w:lastRowFirstColumn="0" w:lastRowLastColumn="0"/>
            </w:pPr>
            <w:r>
              <w:t>Végétaux supérieurs</w:t>
            </w:r>
          </w:p>
        </w:tc>
      </w:tr>
      <w:tr w:rsidR="00642DB6" w:rsidTr="00642DB6">
        <w:tc>
          <w:tcPr>
            <w:cnfStyle w:val="001000000000" w:firstRow="0" w:lastRow="0" w:firstColumn="1" w:lastColumn="0" w:oddVBand="0" w:evenVBand="0" w:oddHBand="0" w:evenHBand="0" w:firstRowFirstColumn="0" w:firstRowLastColumn="0" w:lastRowFirstColumn="0" w:lastRowLastColumn="0"/>
            <w:tcW w:w="5094" w:type="dxa"/>
          </w:tcPr>
          <w:p w:rsidR="00642DB6" w:rsidRPr="00642DB6" w:rsidRDefault="00642DB6" w:rsidP="00642DB6">
            <w:pPr>
              <w:pStyle w:val="NoSpacing"/>
              <w:jc w:val="center"/>
              <w:rPr>
                <w:b w:val="0"/>
              </w:rPr>
            </w:pPr>
            <w:r>
              <w:rPr>
                <w:b w:val="0"/>
              </w:rPr>
              <w:t>Individu diploïde (2n)</w:t>
            </w:r>
          </w:p>
        </w:tc>
        <w:tc>
          <w:tcPr>
            <w:tcW w:w="5094" w:type="dxa"/>
          </w:tcPr>
          <w:p w:rsidR="00642DB6" w:rsidRPr="00642DB6" w:rsidRDefault="00642DB6" w:rsidP="00642DB6">
            <w:pPr>
              <w:pStyle w:val="NoSpacing"/>
              <w:jc w:val="center"/>
              <w:cnfStyle w:val="000000000000" w:firstRow="0" w:lastRow="0" w:firstColumn="0" w:lastColumn="0" w:oddVBand="0" w:evenVBand="0" w:oddHBand="0" w:evenHBand="0" w:firstRowFirstColumn="0" w:firstRowLastColumn="0" w:lastRowFirstColumn="0" w:lastRowLastColumn="0"/>
            </w:pPr>
            <w:r>
              <w:t>Génération diploïde (2n)</w:t>
            </w:r>
          </w:p>
        </w:tc>
      </w:tr>
      <w:tr w:rsidR="00642DB6" w:rsidTr="00642DB6">
        <w:tc>
          <w:tcPr>
            <w:cnfStyle w:val="001000000000" w:firstRow="0" w:lastRow="0" w:firstColumn="1" w:lastColumn="0" w:oddVBand="0" w:evenVBand="0" w:oddHBand="0" w:evenHBand="0" w:firstRowFirstColumn="0" w:firstRowLastColumn="0" w:lastRowFirstColumn="0" w:lastRowLastColumn="0"/>
            <w:tcW w:w="5094" w:type="dxa"/>
          </w:tcPr>
          <w:p w:rsidR="00642DB6" w:rsidRPr="00642DB6" w:rsidRDefault="00642DB6" w:rsidP="00642DB6">
            <w:pPr>
              <w:pStyle w:val="NoSpacing"/>
              <w:jc w:val="center"/>
              <w:rPr>
                <w:b w:val="0"/>
              </w:rPr>
            </w:pPr>
            <w:r>
              <w:rPr>
                <w:b w:val="0"/>
              </w:rPr>
              <w:t>Méiose</w:t>
            </w:r>
          </w:p>
        </w:tc>
        <w:tc>
          <w:tcPr>
            <w:tcW w:w="5094" w:type="dxa"/>
          </w:tcPr>
          <w:p w:rsidR="00642DB6" w:rsidRPr="00642DB6" w:rsidRDefault="00642DB6" w:rsidP="00642DB6">
            <w:pPr>
              <w:pStyle w:val="NoSpacing"/>
              <w:jc w:val="center"/>
              <w:cnfStyle w:val="000000000000" w:firstRow="0" w:lastRow="0" w:firstColumn="0" w:lastColumn="0" w:oddVBand="0" w:evenVBand="0" w:oddHBand="0" w:evenHBand="0" w:firstRowFirstColumn="0" w:firstRowLastColumn="0" w:lastRowFirstColumn="0" w:lastRowLastColumn="0"/>
            </w:pPr>
            <w:r>
              <w:t>Méiose</w:t>
            </w:r>
          </w:p>
        </w:tc>
      </w:tr>
      <w:tr w:rsidR="00642DB6" w:rsidTr="00642DB6">
        <w:tc>
          <w:tcPr>
            <w:cnfStyle w:val="001000000000" w:firstRow="0" w:lastRow="0" w:firstColumn="1" w:lastColumn="0" w:oddVBand="0" w:evenVBand="0" w:oddHBand="0" w:evenHBand="0" w:firstRowFirstColumn="0" w:firstRowLastColumn="0" w:lastRowFirstColumn="0" w:lastRowLastColumn="0"/>
            <w:tcW w:w="5094" w:type="dxa"/>
          </w:tcPr>
          <w:p w:rsidR="00642DB6" w:rsidRPr="00642DB6" w:rsidRDefault="00642DB6" w:rsidP="00642DB6">
            <w:pPr>
              <w:pStyle w:val="NoSpacing"/>
              <w:jc w:val="center"/>
              <w:rPr>
                <w:b w:val="0"/>
              </w:rPr>
            </w:pPr>
            <w:r>
              <w:rPr>
                <w:b w:val="0"/>
              </w:rPr>
              <w:t>Gamètes males et femelles haploïdes (n)</w:t>
            </w:r>
          </w:p>
        </w:tc>
        <w:tc>
          <w:tcPr>
            <w:tcW w:w="5094" w:type="dxa"/>
          </w:tcPr>
          <w:p w:rsidR="00642DB6" w:rsidRPr="00642DB6" w:rsidRDefault="00642DB6" w:rsidP="00642DB6">
            <w:pPr>
              <w:pStyle w:val="NoSpacing"/>
              <w:jc w:val="center"/>
              <w:cnfStyle w:val="000000000000" w:firstRow="0" w:lastRow="0" w:firstColumn="0" w:lastColumn="0" w:oddVBand="0" w:evenVBand="0" w:oddHBand="0" w:evenHBand="0" w:firstRowFirstColumn="0" w:firstRowLastColumn="0" w:lastRowFirstColumn="0" w:lastRowLastColumn="0"/>
            </w:pPr>
            <w:r>
              <w:t>Spores haploïdes</w:t>
            </w:r>
          </w:p>
        </w:tc>
      </w:tr>
      <w:tr w:rsidR="00642DB6" w:rsidTr="00642DB6">
        <w:tc>
          <w:tcPr>
            <w:cnfStyle w:val="001000000000" w:firstRow="0" w:lastRow="0" w:firstColumn="1" w:lastColumn="0" w:oddVBand="0" w:evenVBand="0" w:oddHBand="0" w:evenHBand="0" w:firstRowFirstColumn="0" w:firstRowLastColumn="0" w:lastRowFirstColumn="0" w:lastRowLastColumn="0"/>
            <w:tcW w:w="5094" w:type="dxa"/>
          </w:tcPr>
          <w:p w:rsidR="00642DB6" w:rsidRPr="00642DB6" w:rsidRDefault="00642DB6" w:rsidP="00642DB6">
            <w:pPr>
              <w:pStyle w:val="NoSpacing"/>
              <w:jc w:val="center"/>
              <w:rPr>
                <w:b w:val="0"/>
              </w:rPr>
            </w:pPr>
            <w:r>
              <w:rPr>
                <w:b w:val="0"/>
              </w:rPr>
              <w:t>Fécondation</w:t>
            </w:r>
          </w:p>
        </w:tc>
        <w:tc>
          <w:tcPr>
            <w:tcW w:w="5094" w:type="dxa"/>
          </w:tcPr>
          <w:p w:rsidR="00642DB6" w:rsidRPr="00642DB6" w:rsidRDefault="00642DB6" w:rsidP="00642DB6">
            <w:pPr>
              <w:pStyle w:val="NoSpacing"/>
              <w:jc w:val="center"/>
              <w:cnfStyle w:val="000000000000" w:firstRow="0" w:lastRow="0" w:firstColumn="0" w:lastColumn="0" w:oddVBand="0" w:evenVBand="0" w:oddHBand="0" w:evenHBand="0" w:firstRowFirstColumn="0" w:firstRowLastColumn="0" w:lastRowFirstColumn="0" w:lastRowLastColumn="0"/>
            </w:pPr>
            <w:r>
              <w:t>Mitose</w:t>
            </w:r>
          </w:p>
        </w:tc>
      </w:tr>
      <w:tr w:rsidR="00642DB6" w:rsidTr="00642DB6">
        <w:tc>
          <w:tcPr>
            <w:cnfStyle w:val="001000000000" w:firstRow="0" w:lastRow="0" w:firstColumn="1" w:lastColumn="0" w:oddVBand="0" w:evenVBand="0" w:oddHBand="0" w:evenHBand="0" w:firstRowFirstColumn="0" w:firstRowLastColumn="0" w:lastRowFirstColumn="0" w:lastRowLastColumn="0"/>
            <w:tcW w:w="5094" w:type="dxa"/>
          </w:tcPr>
          <w:p w:rsidR="00642DB6" w:rsidRPr="00642DB6" w:rsidRDefault="00642DB6" w:rsidP="00642DB6">
            <w:pPr>
              <w:pStyle w:val="NoSpacing"/>
              <w:jc w:val="center"/>
              <w:rPr>
                <w:b w:val="0"/>
              </w:rPr>
            </w:pPr>
            <w:r>
              <w:rPr>
                <w:b w:val="0"/>
              </w:rPr>
              <w:t>Zygote (2n)</w:t>
            </w:r>
          </w:p>
        </w:tc>
        <w:tc>
          <w:tcPr>
            <w:tcW w:w="5094" w:type="dxa"/>
          </w:tcPr>
          <w:p w:rsidR="00642DB6" w:rsidRPr="00642DB6" w:rsidRDefault="00642DB6" w:rsidP="00642DB6">
            <w:pPr>
              <w:pStyle w:val="NoSpacing"/>
              <w:jc w:val="center"/>
              <w:cnfStyle w:val="000000000000" w:firstRow="0" w:lastRow="0" w:firstColumn="0" w:lastColumn="0" w:oddVBand="0" w:evenVBand="0" w:oddHBand="0" w:evenHBand="0" w:firstRowFirstColumn="0" w:firstRowLastColumn="0" w:lastRowFirstColumn="0" w:lastRowLastColumn="0"/>
            </w:pPr>
            <w:r>
              <w:t>Génération haploïde (n)</w:t>
            </w:r>
          </w:p>
        </w:tc>
      </w:tr>
      <w:tr w:rsidR="00642DB6" w:rsidTr="00642DB6">
        <w:tc>
          <w:tcPr>
            <w:cnfStyle w:val="001000000000" w:firstRow="0" w:lastRow="0" w:firstColumn="1" w:lastColumn="0" w:oddVBand="0" w:evenVBand="0" w:oddHBand="0" w:evenHBand="0" w:firstRowFirstColumn="0" w:firstRowLastColumn="0" w:lastRowFirstColumn="0" w:lastRowLastColumn="0"/>
            <w:tcW w:w="5094" w:type="dxa"/>
          </w:tcPr>
          <w:p w:rsidR="00642DB6" w:rsidRPr="00642DB6" w:rsidRDefault="00642DB6" w:rsidP="00642DB6">
            <w:pPr>
              <w:pStyle w:val="NoSpacing"/>
              <w:jc w:val="center"/>
              <w:rPr>
                <w:b w:val="0"/>
              </w:rPr>
            </w:pPr>
            <w:r>
              <w:rPr>
                <w:b w:val="0"/>
              </w:rPr>
              <w:t>Mitose</w:t>
            </w:r>
          </w:p>
        </w:tc>
        <w:tc>
          <w:tcPr>
            <w:tcW w:w="5094" w:type="dxa"/>
          </w:tcPr>
          <w:p w:rsidR="00642DB6" w:rsidRPr="00642DB6" w:rsidRDefault="00642DB6" w:rsidP="00642DB6">
            <w:pPr>
              <w:pStyle w:val="NoSpacing"/>
              <w:jc w:val="center"/>
              <w:cnfStyle w:val="000000000000" w:firstRow="0" w:lastRow="0" w:firstColumn="0" w:lastColumn="0" w:oddVBand="0" w:evenVBand="0" w:oddHBand="0" w:evenHBand="0" w:firstRowFirstColumn="0" w:firstRowLastColumn="0" w:lastRowFirstColumn="0" w:lastRowLastColumn="0"/>
            </w:pPr>
            <w:r>
              <w:t>Gamètes males et femelles haploïdes (n)</w:t>
            </w:r>
          </w:p>
        </w:tc>
      </w:tr>
      <w:tr w:rsidR="00642DB6" w:rsidTr="00642DB6">
        <w:tc>
          <w:tcPr>
            <w:cnfStyle w:val="001000000000" w:firstRow="0" w:lastRow="0" w:firstColumn="1" w:lastColumn="0" w:oddVBand="0" w:evenVBand="0" w:oddHBand="0" w:evenHBand="0" w:firstRowFirstColumn="0" w:firstRowLastColumn="0" w:lastRowFirstColumn="0" w:lastRowLastColumn="0"/>
            <w:tcW w:w="5094" w:type="dxa"/>
          </w:tcPr>
          <w:p w:rsidR="00642DB6" w:rsidRPr="00642DB6" w:rsidRDefault="00642DB6" w:rsidP="00642DB6">
            <w:pPr>
              <w:pStyle w:val="NoSpacing"/>
              <w:jc w:val="center"/>
              <w:rPr>
                <w:b w:val="0"/>
              </w:rPr>
            </w:pPr>
            <w:r>
              <w:rPr>
                <w:b w:val="0"/>
              </w:rPr>
              <w:t>Organisme diploïde (2n)</w:t>
            </w:r>
          </w:p>
        </w:tc>
        <w:tc>
          <w:tcPr>
            <w:tcW w:w="5094" w:type="dxa"/>
          </w:tcPr>
          <w:p w:rsidR="00642DB6" w:rsidRPr="00642DB6" w:rsidRDefault="00642DB6" w:rsidP="00642DB6">
            <w:pPr>
              <w:pStyle w:val="NoSpacing"/>
              <w:jc w:val="center"/>
              <w:cnfStyle w:val="000000000000" w:firstRow="0" w:lastRow="0" w:firstColumn="0" w:lastColumn="0" w:oddVBand="0" w:evenVBand="0" w:oddHBand="0" w:evenHBand="0" w:firstRowFirstColumn="0" w:firstRowLastColumn="0" w:lastRowFirstColumn="0" w:lastRowLastColumn="0"/>
            </w:pPr>
            <w:r>
              <w:t>Fécondation</w:t>
            </w:r>
          </w:p>
        </w:tc>
      </w:tr>
      <w:tr w:rsidR="00642DB6" w:rsidTr="00642DB6">
        <w:tc>
          <w:tcPr>
            <w:cnfStyle w:val="001000000000" w:firstRow="0" w:lastRow="0" w:firstColumn="1" w:lastColumn="0" w:oddVBand="0" w:evenVBand="0" w:oddHBand="0" w:evenHBand="0" w:firstRowFirstColumn="0" w:firstRowLastColumn="0" w:lastRowFirstColumn="0" w:lastRowLastColumn="0"/>
            <w:tcW w:w="5094" w:type="dxa"/>
          </w:tcPr>
          <w:p w:rsidR="00642DB6" w:rsidRPr="00642DB6" w:rsidRDefault="00642DB6" w:rsidP="00642DB6">
            <w:pPr>
              <w:pStyle w:val="NoSpacing"/>
              <w:jc w:val="center"/>
              <w:rPr>
                <w:b w:val="0"/>
              </w:rPr>
            </w:pPr>
          </w:p>
        </w:tc>
        <w:tc>
          <w:tcPr>
            <w:tcW w:w="5094" w:type="dxa"/>
          </w:tcPr>
          <w:p w:rsidR="00642DB6" w:rsidRPr="00642DB6" w:rsidRDefault="00642DB6" w:rsidP="00642DB6">
            <w:pPr>
              <w:pStyle w:val="NoSpacing"/>
              <w:jc w:val="center"/>
              <w:cnfStyle w:val="000000000000" w:firstRow="0" w:lastRow="0" w:firstColumn="0" w:lastColumn="0" w:oddVBand="0" w:evenVBand="0" w:oddHBand="0" w:evenHBand="0" w:firstRowFirstColumn="0" w:firstRowLastColumn="0" w:lastRowFirstColumn="0" w:lastRowLastColumn="0"/>
            </w:pPr>
            <w:r>
              <w:t>Zygote (2n)</w:t>
            </w:r>
          </w:p>
        </w:tc>
      </w:tr>
      <w:tr w:rsidR="00642DB6" w:rsidTr="00642DB6">
        <w:tc>
          <w:tcPr>
            <w:cnfStyle w:val="001000000000" w:firstRow="0" w:lastRow="0" w:firstColumn="1" w:lastColumn="0" w:oddVBand="0" w:evenVBand="0" w:oddHBand="0" w:evenHBand="0" w:firstRowFirstColumn="0" w:firstRowLastColumn="0" w:lastRowFirstColumn="0" w:lastRowLastColumn="0"/>
            <w:tcW w:w="5094" w:type="dxa"/>
          </w:tcPr>
          <w:p w:rsidR="00642DB6" w:rsidRPr="00642DB6" w:rsidRDefault="00642DB6" w:rsidP="00642DB6">
            <w:pPr>
              <w:pStyle w:val="NoSpacing"/>
              <w:jc w:val="center"/>
              <w:rPr>
                <w:b w:val="0"/>
              </w:rPr>
            </w:pPr>
          </w:p>
        </w:tc>
        <w:tc>
          <w:tcPr>
            <w:tcW w:w="5094" w:type="dxa"/>
          </w:tcPr>
          <w:p w:rsidR="00642DB6" w:rsidRPr="00642DB6" w:rsidRDefault="00642DB6" w:rsidP="00642DB6">
            <w:pPr>
              <w:pStyle w:val="NoSpacing"/>
              <w:jc w:val="center"/>
              <w:cnfStyle w:val="000000000000" w:firstRow="0" w:lastRow="0" w:firstColumn="0" w:lastColumn="0" w:oddVBand="0" w:evenVBand="0" w:oddHBand="0" w:evenHBand="0" w:firstRowFirstColumn="0" w:firstRowLastColumn="0" w:lastRowFirstColumn="0" w:lastRowLastColumn="0"/>
            </w:pPr>
            <w:r>
              <w:t>Mitose</w:t>
            </w:r>
          </w:p>
        </w:tc>
      </w:tr>
      <w:tr w:rsidR="00642DB6" w:rsidTr="00642DB6">
        <w:tc>
          <w:tcPr>
            <w:cnfStyle w:val="001000000000" w:firstRow="0" w:lastRow="0" w:firstColumn="1" w:lastColumn="0" w:oddVBand="0" w:evenVBand="0" w:oddHBand="0" w:evenHBand="0" w:firstRowFirstColumn="0" w:firstRowLastColumn="0" w:lastRowFirstColumn="0" w:lastRowLastColumn="0"/>
            <w:tcW w:w="5094" w:type="dxa"/>
          </w:tcPr>
          <w:p w:rsidR="00642DB6" w:rsidRPr="00642DB6" w:rsidRDefault="00642DB6" w:rsidP="00642DB6">
            <w:pPr>
              <w:pStyle w:val="NoSpacing"/>
              <w:jc w:val="center"/>
              <w:rPr>
                <w:b w:val="0"/>
              </w:rPr>
            </w:pPr>
          </w:p>
        </w:tc>
        <w:tc>
          <w:tcPr>
            <w:tcW w:w="5094" w:type="dxa"/>
          </w:tcPr>
          <w:p w:rsidR="00642DB6" w:rsidRPr="00642DB6" w:rsidRDefault="00642DB6" w:rsidP="00642DB6">
            <w:pPr>
              <w:pStyle w:val="NoSpacing"/>
              <w:jc w:val="center"/>
              <w:cnfStyle w:val="000000000000" w:firstRow="0" w:lastRow="0" w:firstColumn="0" w:lastColumn="0" w:oddVBand="0" w:evenVBand="0" w:oddHBand="0" w:evenHBand="0" w:firstRowFirstColumn="0" w:firstRowLastColumn="0" w:lastRowFirstColumn="0" w:lastRowLastColumn="0"/>
            </w:pPr>
            <w:r>
              <w:t>Génération diploïde (2n, sporophyte)</w:t>
            </w:r>
          </w:p>
        </w:tc>
      </w:tr>
    </w:tbl>
    <w:p w:rsidR="001B62A0" w:rsidRDefault="001B62A0" w:rsidP="001B62A0">
      <w:pPr>
        <w:pStyle w:val="NoSpacing"/>
        <w:jc w:val="both"/>
      </w:pPr>
    </w:p>
    <w:p w:rsidR="00C71A95" w:rsidRPr="00C71A95" w:rsidRDefault="00C71A95" w:rsidP="00C71A95">
      <w:pPr>
        <w:pStyle w:val="NoSpacing"/>
        <w:ind w:left="720"/>
        <w:jc w:val="both"/>
      </w:pPr>
    </w:p>
    <w:p w:rsidR="006677AA" w:rsidRPr="00F1628F" w:rsidRDefault="006677AA" w:rsidP="0044006C">
      <w:pPr>
        <w:pStyle w:val="NoSpacing"/>
        <w:jc w:val="both"/>
      </w:pPr>
    </w:p>
    <w:sectPr w:rsidR="006677AA" w:rsidRPr="00F1628F" w:rsidSect="001712F9">
      <w:pgSz w:w="12240" w:h="15840"/>
      <w:pgMar w:top="851" w:right="1134"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61DB0"/>
    <w:multiLevelType w:val="hybridMultilevel"/>
    <w:tmpl w:val="AAA642B0"/>
    <w:lvl w:ilvl="0" w:tplc="637E4112">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594F3E"/>
    <w:multiLevelType w:val="hybridMultilevel"/>
    <w:tmpl w:val="A4641B6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52F5AB1"/>
    <w:multiLevelType w:val="hybridMultilevel"/>
    <w:tmpl w:val="C3CAB83E"/>
    <w:lvl w:ilvl="0" w:tplc="4206710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8262330"/>
    <w:multiLevelType w:val="hybridMultilevel"/>
    <w:tmpl w:val="F9EA4BAC"/>
    <w:lvl w:ilvl="0" w:tplc="8110D5A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CED44D8"/>
    <w:multiLevelType w:val="hybridMultilevel"/>
    <w:tmpl w:val="F89409D8"/>
    <w:lvl w:ilvl="0" w:tplc="2FF04F5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3E6731E9"/>
    <w:multiLevelType w:val="hybridMultilevel"/>
    <w:tmpl w:val="C56E9A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4CB49A5"/>
    <w:multiLevelType w:val="hybridMultilevel"/>
    <w:tmpl w:val="A13CF8F6"/>
    <w:lvl w:ilvl="0" w:tplc="A2C2740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626365A"/>
    <w:multiLevelType w:val="hybridMultilevel"/>
    <w:tmpl w:val="0D782E44"/>
    <w:lvl w:ilvl="0" w:tplc="B25E74FA">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1A22D20"/>
    <w:multiLevelType w:val="hybridMultilevel"/>
    <w:tmpl w:val="A5729C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3"/>
  </w:num>
  <w:num w:numId="4">
    <w:abstractNumId w:val="8"/>
  </w:num>
  <w:num w:numId="5">
    <w:abstractNumId w:val="5"/>
  </w:num>
  <w:num w:numId="6">
    <w:abstractNumId w:val="4"/>
  </w:num>
  <w:num w:numId="7">
    <w:abstractNumId w:val="0"/>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12F9"/>
    <w:rsid w:val="000A3608"/>
    <w:rsid w:val="000E7BA1"/>
    <w:rsid w:val="00130BCB"/>
    <w:rsid w:val="00137F7A"/>
    <w:rsid w:val="00164727"/>
    <w:rsid w:val="001712F9"/>
    <w:rsid w:val="001B62A0"/>
    <w:rsid w:val="001F3CE6"/>
    <w:rsid w:val="00236381"/>
    <w:rsid w:val="00287FA5"/>
    <w:rsid w:val="002F3F14"/>
    <w:rsid w:val="003E4E71"/>
    <w:rsid w:val="004003CA"/>
    <w:rsid w:val="00433438"/>
    <w:rsid w:val="00435E90"/>
    <w:rsid w:val="0044006C"/>
    <w:rsid w:val="00484D0C"/>
    <w:rsid w:val="00487A4B"/>
    <w:rsid w:val="004C5971"/>
    <w:rsid w:val="005455F2"/>
    <w:rsid w:val="00550FBE"/>
    <w:rsid w:val="00572E29"/>
    <w:rsid w:val="005967D0"/>
    <w:rsid w:val="00617130"/>
    <w:rsid w:val="00622B42"/>
    <w:rsid w:val="00642DB6"/>
    <w:rsid w:val="006677AA"/>
    <w:rsid w:val="00695096"/>
    <w:rsid w:val="00736ABA"/>
    <w:rsid w:val="0074133B"/>
    <w:rsid w:val="007451AF"/>
    <w:rsid w:val="00762BFE"/>
    <w:rsid w:val="007658B0"/>
    <w:rsid w:val="00795545"/>
    <w:rsid w:val="007A6859"/>
    <w:rsid w:val="007D72BF"/>
    <w:rsid w:val="008013A2"/>
    <w:rsid w:val="00891728"/>
    <w:rsid w:val="008D03FA"/>
    <w:rsid w:val="008D14DC"/>
    <w:rsid w:val="008F6894"/>
    <w:rsid w:val="0091046B"/>
    <w:rsid w:val="00930889"/>
    <w:rsid w:val="009B2202"/>
    <w:rsid w:val="009C7372"/>
    <w:rsid w:val="00A52603"/>
    <w:rsid w:val="00B35737"/>
    <w:rsid w:val="00B44739"/>
    <w:rsid w:val="00B5315A"/>
    <w:rsid w:val="00B571C7"/>
    <w:rsid w:val="00B62352"/>
    <w:rsid w:val="00B63E73"/>
    <w:rsid w:val="00BC18F7"/>
    <w:rsid w:val="00BD1371"/>
    <w:rsid w:val="00BF3038"/>
    <w:rsid w:val="00C343F8"/>
    <w:rsid w:val="00C71A95"/>
    <w:rsid w:val="00CF087C"/>
    <w:rsid w:val="00DC6349"/>
    <w:rsid w:val="00E12302"/>
    <w:rsid w:val="00E96DD9"/>
    <w:rsid w:val="00EC3415"/>
    <w:rsid w:val="00F1628F"/>
    <w:rsid w:val="00F74239"/>
    <w:rsid w:val="00FE108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14DC"/>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712F9"/>
    <w:pPr>
      <w:spacing w:after="0" w:line="240" w:lineRule="auto"/>
    </w:pPr>
    <w:rPr>
      <w:lang w:val="fr-CA"/>
    </w:rPr>
  </w:style>
  <w:style w:type="table" w:styleId="TableGrid">
    <w:name w:val="Table Grid"/>
    <w:basedOn w:val="TableNormal"/>
    <w:uiPriority w:val="59"/>
    <w:rsid w:val="001712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1712F9"/>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642DB6"/>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1">
    <w:name w:val="Light Shading Accent 1"/>
    <w:basedOn w:val="TableNormal"/>
    <w:uiPriority w:val="60"/>
    <w:rsid w:val="00642DB6"/>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14DC"/>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712F9"/>
    <w:pPr>
      <w:spacing w:after="0" w:line="240" w:lineRule="auto"/>
    </w:pPr>
    <w:rPr>
      <w:lang w:val="fr-CA"/>
    </w:rPr>
  </w:style>
  <w:style w:type="table" w:styleId="TableGrid">
    <w:name w:val="Table Grid"/>
    <w:basedOn w:val="TableNormal"/>
    <w:uiPriority w:val="59"/>
    <w:rsid w:val="001712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1712F9"/>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642DB6"/>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1">
    <w:name w:val="Light Shading Accent 1"/>
    <w:basedOn w:val="TableNormal"/>
    <w:uiPriority w:val="60"/>
    <w:rsid w:val="00642DB6"/>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9F64C2-844B-EB4B-9E07-B75B5A750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2958</Words>
  <Characters>16867</Characters>
  <Application>Microsoft Macintosh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Danica</dc:creator>
  <cp:lastModifiedBy>Jordan Sutcliffe</cp:lastModifiedBy>
  <cp:revision>2</cp:revision>
  <dcterms:created xsi:type="dcterms:W3CDTF">2013-04-05T18:24:00Z</dcterms:created>
  <dcterms:modified xsi:type="dcterms:W3CDTF">2013-04-05T18:24:00Z</dcterms:modified>
</cp:coreProperties>
</file>