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0AF" w:rsidRPr="0093485D" w:rsidRDefault="00FC5DE6" w:rsidP="0093485D">
      <w:pPr>
        <w:autoSpaceDE w:val="0"/>
        <w:autoSpaceDN w:val="0"/>
        <w:adjustRightInd w:val="0"/>
        <w:spacing w:after="0"/>
        <w:ind w:left="0" w:firstLine="0"/>
        <w:rPr>
          <w:rFonts w:ascii="Times-Bold" w:hAnsi="Times-Bold" w:cs="Times-Bold"/>
          <w:b/>
          <w:bCs/>
          <w:sz w:val="22"/>
          <w:szCs w:val="22"/>
        </w:rPr>
      </w:pPr>
      <w:r w:rsidRPr="0093485D">
        <w:rPr>
          <w:rFonts w:ascii="Times-Bold" w:hAnsi="Times-Bold" w:cs="Times-Bold"/>
          <w:b/>
          <w:bCs/>
          <w:sz w:val="22"/>
          <w:szCs w:val="22"/>
        </w:rPr>
        <w:t>Answer Key</w:t>
      </w:r>
    </w:p>
    <w:p w:rsidR="00FC5DE6" w:rsidRDefault="00FC5DE6" w:rsidP="00FC5DE6">
      <w:pPr>
        <w:pStyle w:val="ListParagraph"/>
        <w:spacing w:after="0"/>
        <w:ind w:left="0" w:firstLine="0"/>
      </w:pPr>
    </w:p>
    <w:p w:rsidR="000A0DB5" w:rsidRDefault="000A0DB5" w:rsidP="000A0DB5">
      <w:pPr>
        <w:pStyle w:val="ListParagraph"/>
        <w:spacing w:after="0"/>
        <w:ind w:left="360" w:firstLine="0"/>
      </w:pPr>
      <w:r>
        <w:t>[2 points each]</w:t>
      </w:r>
    </w:p>
    <w:tbl>
      <w:tblPr>
        <w:tblStyle w:val="TableGrid"/>
        <w:tblW w:w="0" w:type="auto"/>
        <w:tblInd w:w="360" w:type="dxa"/>
        <w:tblLook w:val="04A0"/>
      </w:tblPr>
      <w:tblGrid>
        <w:gridCol w:w="2304"/>
        <w:gridCol w:w="2304"/>
        <w:gridCol w:w="2304"/>
        <w:gridCol w:w="2304"/>
      </w:tblGrid>
      <w:tr w:rsidR="00FC5DE6" w:rsidTr="00FC5DE6">
        <w:tc>
          <w:tcPr>
            <w:tcW w:w="2394" w:type="dxa"/>
          </w:tcPr>
          <w:p w:rsidR="00FC5DE6" w:rsidRDefault="00147C17" w:rsidP="006A2D43">
            <w:pPr>
              <w:pStyle w:val="ListParagraph"/>
              <w:numPr>
                <w:ilvl w:val="0"/>
                <w:numId w:val="46"/>
              </w:numPr>
            </w:pPr>
            <w:r>
              <w:t>C</w:t>
            </w:r>
          </w:p>
          <w:p w:rsidR="00FC5DE6" w:rsidRDefault="00147C17" w:rsidP="006A2D43">
            <w:pPr>
              <w:pStyle w:val="ListParagraph"/>
              <w:numPr>
                <w:ilvl w:val="0"/>
                <w:numId w:val="46"/>
              </w:numPr>
            </w:pPr>
            <w:r>
              <w:t>D</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C</w:t>
            </w:r>
          </w:p>
          <w:p w:rsidR="00FC5DE6" w:rsidRDefault="00147C17" w:rsidP="006A2D43">
            <w:pPr>
              <w:pStyle w:val="ListParagraph"/>
              <w:numPr>
                <w:ilvl w:val="0"/>
                <w:numId w:val="46"/>
              </w:numPr>
            </w:pPr>
            <w:r>
              <w:t>B</w:t>
            </w:r>
          </w:p>
          <w:p w:rsidR="00FC5DE6" w:rsidRDefault="00FC5DE6" w:rsidP="006A2D43">
            <w:pPr>
              <w:pStyle w:val="ListParagraph"/>
              <w:numPr>
                <w:ilvl w:val="0"/>
                <w:numId w:val="46"/>
              </w:numPr>
            </w:pPr>
            <w:r>
              <w:t>D</w:t>
            </w:r>
          </w:p>
          <w:p w:rsidR="00FC5DE6" w:rsidRDefault="00147C17" w:rsidP="006A2D43">
            <w:pPr>
              <w:pStyle w:val="ListParagraph"/>
              <w:numPr>
                <w:ilvl w:val="0"/>
                <w:numId w:val="46"/>
              </w:numPr>
            </w:pPr>
            <w:r>
              <w:t>B</w:t>
            </w:r>
          </w:p>
          <w:p w:rsidR="00FC5DE6" w:rsidRDefault="00147C17" w:rsidP="006A2D43">
            <w:pPr>
              <w:pStyle w:val="ListParagraph"/>
              <w:numPr>
                <w:ilvl w:val="0"/>
                <w:numId w:val="46"/>
              </w:numPr>
            </w:pPr>
            <w:r>
              <w:t>B</w:t>
            </w:r>
          </w:p>
          <w:p w:rsidR="00FC5DE6" w:rsidRDefault="00147C17" w:rsidP="006A2D43">
            <w:pPr>
              <w:pStyle w:val="ListParagraph"/>
              <w:numPr>
                <w:ilvl w:val="0"/>
                <w:numId w:val="46"/>
              </w:numPr>
            </w:pPr>
            <w:r>
              <w:t>D</w:t>
            </w:r>
          </w:p>
          <w:p w:rsidR="00FC5DE6" w:rsidRDefault="00147C17" w:rsidP="000C6B11">
            <w:pPr>
              <w:pStyle w:val="ListParagraph"/>
              <w:numPr>
                <w:ilvl w:val="0"/>
                <w:numId w:val="46"/>
              </w:numPr>
            </w:pPr>
            <w:r>
              <w:t>D</w:t>
            </w:r>
          </w:p>
        </w:tc>
        <w:tc>
          <w:tcPr>
            <w:tcW w:w="2394" w:type="dxa"/>
          </w:tcPr>
          <w:p w:rsidR="00FC5DE6" w:rsidRDefault="00FC5DE6" w:rsidP="006A2D43">
            <w:pPr>
              <w:pStyle w:val="ListParagraph"/>
              <w:numPr>
                <w:ilvl w:val="0"/>
                <w:numId w:val="46"/>
              </w:numPr>
            </w:pPr>
            <w:r>
              <w:t>B</w:t>
            </w:r>
          </w:p>
          <w:p w:rsidR="00FC5DE6" w:rsidRPr="00DA7F8D" w:rsidRDefault="0098726B" w:rsidP="006A2D43">
            <w:pPr>
              <w:pStyle w:val="ListParagraph"/>
              <w:numPr>
                <w:ilvl w:val="0"/>
                <w:numId w:val="46"/>
              </w:numPr>
            </w:pPr>
            <w:r w:rsidRPr="00DA7F8D">
              <w:t>D</w:t>
            </w:r>
          </w:p>
          <w:p w:rsidR="00FC5DE6" w:rsidRDefault="00147C17" w:rsidP="006A2D43">
            <w:pPr>
              <w:pStyle w:val="ListParagraph"/>
              <w:numPr>
                <w:ilvl w:val="0"/>
                <w:numId w:val="46"/>
              </w:numPr>
            </w:pPr>
            <w:r>
              <w:t>E</w:t>
            </w:r>
          </w:p>
          <w:p w:rsidR="00FC5DE6" w:rsidRDefault="00147C17" w:rsidP="006A2D43">
            <w:pPr>
              <w:pStyle w:val="ListParagraph"/>
              <w:numPr>
                <w:ilvl w:val="0"/>
                <w:numId w:val="46"/>
              </w:numPr>
            </w:pPr>
            <w:r>
              <w:t>D</w:t>
            </w:r>
          </w:p>
          <w:p w:rsidR="00FC5DE6" w:rsidRDefault="00147C17" w:rsidP="006A2D43">
            <w:pPr>
              <w:pStyle w:val="ListParagraph"/>
              <w:numPr>
                <w:ilvl w:val="0"/>
                <w:numId w:val="46"/>
              </w:numPr>
            </w:pPr>
            <w:r>
              <w:t>B</w:t>
            </w:r>
          </w:p>
          <w:p w:rsidR="00FC5DE6" w:rsidRDefault="00147C17" w:rsidP="006A2D43">
            <w:pPr>
              <w:pStyle w:val="ListParagraph"/>
              <w:numPr>
                <w:ilvl w:val="0"/>
                <w:numId w:val="46"/>
              </w:numPr>
            </w:pPr>
            <w:r>
              <w:t>B</w:t>
            </w:r>
          </w:p>
          <w:p w:rsidR="00FC5DE6" w:rsidRDefault="00147C17" w:rsidP="006A2D43">
            <w:pPr>
              <w:pStyle w:val="ListParagraph"/>
              <w:numPr>
                <w:ilvl w:val="0"/>
                <w:numId w:val="46"/>
              </w:numPr>
            </w:pPr>
            <w:r>
              <w:t>D</w:t>
            </w:r>
          </w:p>
          <w:p w:rsidR="00FC5DE6" w:rsidRDefault="00147C17" w:rsidP="006A2D43">
            <w:pPr>
              <w:pStyle w:val="ListParagraph"/>
              <w:numPr>
                <w:ilvl w:val="0"/>
                <w:numId w:val="46"/>
              </w:numPr>
            </w:pPr>
            <w:r>
              <w:t>B</w:t>
            </w:r>
          </w:p>
          <w:p w:rsidR="000C6B11" w:rsidRDefault="00147C17" w:rsidP="000C6B11">
            <w:pPr>
              <w:pStyle w:val="ListParagraph"/>
              <w:numPr>
                <w:ilvl w:val="0"/>
                <w:numId w:val="46"/>
              </w:numPr>
            </w:pPr>
            <w:r>
              <w:t>C</w:t>
            </w:r>
          </w:p>
          <w:p w:rsidR="000C6B11" w:rsidRDefault="00147C17" w:rsidP="000C6B11">
            <w:pPr>
              <w:pStyle w:val="ListParagraph"/>
              <w:numPr>
                <w:ilvl w:val="0"/>
                <w:numId w:val="46"/>
              </w:numPr>
            </w:pPr>
            <w:r>
              <w:t>A</w:t>
            </w:r>
          </w:p>
        </w:tc>
        <w:tc>
          <w:tcPr>
            <w:tcW w:w="2394" w:type="dxa"/>
          </w:tcPr>
          <w:p w:rsidR="00FC5DE6" w:rsidRDefault="00147C17" w:rsidP="006A2D43">
            <w:pPr>
              <w:pStyle w:val="ListParagraph"/>
              <w:numPr>
                <w:ilvl w:val="0"/>
                <w:numId w:val="46"/>
              </w:numPr>
            </w:pPr>
            <w:r>
              <w:t>A</w:t>
            </w:r>
          </w:p>
          <w:p w:rsidR="00FC5DE6" w:rsidRDefault="00FC5DE6" w:rsidP="006A2D43">
            <w:pPr>
              <w:pStyle w:val="ListParagraph"/>
              <w:numPr>
                <w:ilvl w:val="0"/>
                <w:numId w:val="46"/>
              </w:numPr>
            </w:pPr>
            <w:r>
              <w:t>B</w:t>
            </w:r>
          </w:p>
          <w:p w:rsidR="00FC5DE6" w:rsidRDefault="00147C17" w:rsidP="006A2D43">
            <w:pPr>
              <w:pStyle w:val="ListParagraph"/>
              <w:numPr>
                <w:ilvl w:val="0"/>
                <w:numId w:val="46"/>
              </w:numPr>
            </w:pPr>
            <w:r>
              <w:t>C</w:t>
            </w:r>
          </w:p>
          <w:p w:rsidR="00FC5DE6" w:rsidRDefault="00147C17" w:rsidP="006A2D43">
            <w:pPr>
              <w:pStyle w:val="ListParagraph"/>
              <w:numPr>
                <w:ilvl w:val="0"/>
                <w:numId w:val="46"/>
              </w:numPr>
            </w:pPr>
            <w:r>
              <w:t>D</w:t>
            </w:r>
          </w:p>
          <w:p w:rsidR="00FC5DE6" w:rsidRDefault="00147C17" w:rsidP="006A2D43">
            <w:pPr>
              <w:pStyle w:val="ListParagraph"/>
              <w:numPr>
                <w:ilvl w:val="0"/>
                <w:numId w:val="46"/>
              </w:numPr>
            </w:pPr>
            <w:r>
              <w:t>E</w:t>
            </w:r>
          </w:p>
          <w:p w:rsidR="00FC5DE6" w:rsidRDefault="00FC5DE6" w:rsidP="006A2D43">
            <w:pPr>
              <w:pStyle w:val="ListParagraph"/>
              <w:numPr>
                <w:ilvl w:val="0"/>
                <w:numId w:val="46"/>
              </w:numPr>
            </w:pPr>
            <w:r>
              <w:t>A</w:t>
            </w:r>
          </w:p>
          <w:p w:rsidR="00FC5DE6" w:rsidRDefault="00147C17" w:rsidP="006A2D43">
            <w:pPr>
              <w:pStyle w:val="ListParagraph"/>
              <w:numPr>
                <w:ilvl w:val="0"/>
                <w:numId w:val="46"/>
              </w:numPr>
            </w:pPr>
            <w:r>
              <w:t>D</w:t>
            </w:r>
          </w:p>
          <w:p w:rsidR="00FC5DE6" w:rsidRDefault="00FC5DE6" w:rsidP="006A2D43">
            <w:pPr>
              <w:pStyle w:val="ListParagraph"/>
              <w:numPr>
                <w:ilvl w:val="0"/>
                <w:numId w:val="46"/>
              </w:numPr>
            </w:pPr>
            <w:r>
              <w:t>A</w:t>
            </w:r>
          </w:p>
          <w:p w:rsidR="000C6B11" w:rsidRDefault="000C6B11" w:rsidP="000C6B11">
            <w:pPr>
              <w:pStyle w:val="ListParagraph"/>
              <w:numPr>
                <w:ilvl w:val="0"/>
                <w:numId w:val="46"/>
              </w:numPr>
            </w:pPr>
            <w:r>
              <w:t>A</w:t>
            </w:r>
          </w:p>
          <w:p w:rsidR="000C6B11" w:rsidRDefault="00147C17" w:rsidP="000C6B11">
            <w:pPr>
              <w:pStyle w:val="ListParagraph"/>
              <w:numPr>
                <w:ilvl w:val="0"/>
                <w:numId w:val="46"/>
              </w:numPr>
            </w:pPr>
            <w:r>
              <w:t>C</w:t>
            </w:r>
          </w:p>
        </w:tc>
        <w:tc>
          <w:tcPr>
            <w:tcW w:w="2394" w:type="dxa"/>
          </w:tcPr>
          <w:p w:rsidR="00FC5DE6" w:rsidRDefault="00147C17" w:rsidP="006A2D43">
            <w:pPr>
              <w:pStyle w:val="ListParagraph"/>
              <w:numPr>
                <w:ilvl w:val="0"/>
                <w:numId w:val="46"/>
              </w:numPr>
            </w:pPr>
            <w:r>
              <w:t>A</w:t>
            </w:r>
          </w:p>
          <w:p w:rsidR="00FC5DE6" w:rsidRDefault="00147C17" w:rsidP="006A2D43">
            <w:pPr>
              <w:pStyle w:val="ListParagraph"/>
              <w:numPr>
                <w:ilvl w:val="0"/>
                <w:numId w:val="46"/>
              </w:numPr>
            </w:pPr>
            <w:r>
              <w:t>A</w:t>
            </w:r>
          </w:p>
          <w:p w:rsidR="00FC5DE6" w:rsidRDefault="00147C17" w:rsidP="006A2D43">
            <w:pPr>
              <w:pStyle w:val="ListParagraph"/>
              <w:numPr>
                <w:ilvl w:val="0"/>
                <w:numId w:val="46"/>
              </w:numPr>
            </w:pPr>
            <w:r>
              <w:t>B</w:t>
            </w:r>
          </w:p>
          <w:p w:rsidR="00FC5DE6" w:rsidRDefault="00147C17" w:rsidP="006A2D43">
            <w:pPr>
              <w:pStyle w:val="ListParagraph"/>
              <w:numPr>
                <w:ilvl w:val="0"/>
                <w:numId w:val="46"/>
              </w:numPr>
            </w:pPr>
            <w:r>
              <w:t>A</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A</w:t>
            </w:r>
          </w:p>
          <w:p w:rsidR="00FC5DE6" w:rsidRDefault="00147C17" w:rsidP="006A2D43">
            <w:pPr>
              <w:pStyle w:val="ListParagraph"/>
              <w:numPr>
                <w:ilvl w:val="0"/>
                <w:numId w:val="46"/>
              </w:numPr>
            </w:pPr>
            <w:r>
              <w:t>D</w:t>
            </w:r>
          </w:p>
          <w:p w:rsidR="00FC5DE6" w:rsidRPr="0098726B" w:rsidRDefault="0098726B" w:rsidP="006A2D43">
            <w:pPr>
              <w:pStyle w:val="ListParagraph"/>
              <w:numPr>
                <w:ilvl w:val="0"/>
                <w:numId w:val="46"/>
              </w:numPr>
            </w:pPr>
            <w:r w:rsidRPr="0098726B">
              <w:t>C</w:t>
            </w:r>
          </w:p>
          <w:p w:rsidR="00FC5DE6" w:rsidRDefault="00147C17" w:rsidP="006A2D43">
            <w:pPr>
              <w:pStyle w:val="ListParagraph"/>
              <w:numPr>
                <w:ilvl w:val="0"/>
                <w:numId w:val="46"/>
              </w:numPr>
            </w:pPr>
            <w:r>
              <w:t>C</w:t>
            </w:r>
          </w:p>
          <w:p w:rsidR="00147C17" w:rsidRDefault="00147C17" w:rsidP="006A2D43">
            <w:pPr>
              <w:pStyle w:val="ListParagraph"/>
              <w:numPr>
                <w:ilvl w:val="0"/>
                <w:numId w:val="46"/>
              </w:numPr>
            </w:pPr>
            <w:r>
              <w:t>B</w:t>
            </w:r>
          </w:p>
        </w:tc>
      </w:tr>
    </w:tbl>
    <w:p w:rsidR="00FC5DE6" w:rsidRDefault="00FC5DE6" w:rsidP="00FC5DE6">
      <w:pPr>
        <w:spacing w:after="0"/>
      </w:pPr>
    </w:p>
    <w:p w:rsidR="00147C17" w:rsidRDefault="00147C17" w:rsidP="00720945">
      <w:pPr>
        <w:pStyle w:val="ListParagraph"/>
        <w:numPr>
          <w:ilvl w:val="0"/>
          <w:numId w:val="46"/>
        </w:numPr>
      </w:pPr>
      <w:r>
        <w:t>[9 points]</w:t>
      </w:r>
      <w:r w:rsidR="00DF2117">
        <w:t xml:space="preserve">  Note that “?” means “ambiguous”.</w:t>
      </w:r>
    </w:p>
    <w:tbl>
      <w:tblPr>
        <w:tblStyle w:val="TableGrid"/>
        <w:tblW w:w="0" w:type="auto"/>
        <w:tblInd w:w="468" w:type="dxa"/>
        <w:tblLook w:val="04A0"/>
      </w:tblPr>
      <w:tblGrid>
        <w:gridCol w:w="1926"/>
        <w:gridCol w:w="2394"/>
        <w:gridCol w:w="2394"/>
        <w:gridCol w:w="2394"/>
      </w:tblGrid>
      <w:tr w:rsidR="00147C17" w:rsidTr="00147C17">
        <w:tc>
          <w:tcPr>
            <w:tcW w:w="1926" w:type="dxa"/>
          </w:tcPr>
          <w:p w:rsidR="00147C17" w:rsidRDefault="00147C17" w:rsidP="00147C17">
            <w:pPr>
              <w:tabs>
                <w:tab w:val="left" w:pos="720"/>
              </w:tabs>
              <w:ind w:left="0" w:firstLine="0"/>
            </w:pPr>
          </w:p>
        </w:tc>
        <w:tc>
          <w:tcPr>
            <w:tcW w:w="2394" w:type="dxa"/>
          </w:tcPr>
          <w:p w:rsidR="00147C17" w:rsidRDefault="00147C17" w:rsidP="00147C17">
            <w:pPr>
              <w:tabs>
                <w:tab w:val="left" w:pos="720"/>
              </w:tabs>
              <w:ind w:left="0" w:firstLine="0"/>
            </w:pPr>
            <w:r>
              <w:t>No Change in Supply</w:t>
            </w:r>
          </w:p>
        </w:tc>
        <w:tc>
          <w:tcPr>
            <w:tcW w:w="2394" w:type="dxa"/>
          </w:tcPr>
          <w:p w:rsidR="00147C17" w:rsidRDefault="00147C17" w:rsidP="00147C17">
            <w:pPr>
              <w:tabs>
                <w:tab w:val="left" w:pos="720"/>
              </w:tabs>
              <w:ind w:left="0" w:firstLine="0"/>
            </w:pPr>
            <w:r>
              <w:t>An Increase in Supply</w:t>
            </w:r>
          </w:p>
        </w:tc>
        <w:tc>
          <w:tcPr>
            <w:tcW w:w="2394" w:type="dxa"/>
          </w:tcPr>
          <w:p w:rsidR="00147C17" w:rsidRDefault="00147C17" w:rsidP="00147C17">
            <w:pPr>
              <w:tabs>
                <w:tab w:val="left" w:pos="720"/>
              </w:tabs>
              <w:ind w:left="0" w:firstLine="0"/>
            </w:pPr>
            <w:r>
              <w:t>A Decrease in Supply</w:t>
            </w:r>
          </w:p>
        </w:tc>
      </w:tr>
      <w:tr w:rsidR="00147C17" w:rsidTr="00147C17">
        <w:tc>
          <w:tcPr>
            <w:tcW w:w="1926" w:type="dxa"/>
          </w:tcPr>
          <w:p w:rsidR="00147C17" w:rsidRDefault="00147C17" w:rsidP="00147C17">
            <w:pPr>
              <w:tabs>
                <w:tab w:val="left" w:pos="720"/>
              </w:tabs>
              <w:ind w:left="0" w:firstLine="0"/>
            </w:pPr>
            <w:r>
              <w:t>No Change in Demand</w:t>
            </w:r>
          </w:p>
        </w:tc>
        <w:tc>
          <w:tcPr>
            <w:tcW w:w="2394" w:type="dxa"/>
            <w:vAlign w:val="center"/>
          </w:tcPr>
          <w:p w:rsidR="00147C17" w:rsidRDefault="00147C17" w:rsidP="00DF2117">
            <w:pPr>
              <w:tabs>
                <w:tab w:val="left" w:pos="720"/>
              </w:tabs>
              <w:ind w:left="0" w:firstLine="0"/>
              <w:jc w:val="center"/>
            </w:pPr>
            <w:r>
              <w:t xml:space="preserve">No </w:t>
            </w:r>
            <w:r w:rsidR="00DF2117">
              <w:t>change</w:t>
            </w:r>
            <w:r>
              <w:t xml:space="preserve"> in P </w:t>
            </w:r>
            <w:r w:rsidR="00E76FB5">
              <w:t>or</w:t>
            </w:r>
            <w:r>
              <w:t xml:space="preserve"> Q</w:t>
            </w:r>
          </w:p>
        </w:tc>
        <w:tc>
          <w:tcPr>
            <w:tcW w:w="2394" w:type="dxa"/>
            <w:vAlign w:val="center"/>
          </w:tcPr>
          <w:p w:rsidR="00147C17" w:rsidRDefault="00147C17" w:rsidP="00147C17">
            <w:pPr>
              <w:tabs>
                <w:tab w:val="left" w:pos="720"/>
              </w:tabs>
              <w:ind w:left="0" w:firstLine="0"/>
              <w:jc w:val="center"/>
            </w:pPr>
            <w:r>
              <w:t>P↓, Q</w:t>
            </w:r>
            <w:r>
              <w:sym w:font="Symbol" w:char="F0AD"/>
            </w:r>
          </w:p>
        </w:tc>
        <w:tc>
          <w:tcPr>
            <w:tcW w:w="2394" w:type="dxa"/>
            <w:vAlign w:val="center"/>
          </w:tcPr>
          <w:p w:rsidR="00147C17" w:rsidRDefault="00147C17" w:rsidP="00147C17">
            <w:pPr>
              <w:tabs>
                <w:tab w:val="left" w:pos="720"/>
              </w:tabs>
              <w:ind w:left="0" w:firstLine="0"/>
              <w:jc w:val="center"/>
            </w:pPr>
            <w:r>
              <w:t>P</w:t>
            </w:r>
            <w:r>
              <w:sym w:font="Symbol" w:char="F0AD"/>
            </w:r>
            <w:r>
              <w:t>, Q↓</w:t>
            </w:r>
          </w:p>
        </w:tc>
      </w:tr>
      <w:tr w:rsidR="00147C17" w:rsidTr="00147C17">
        <w:tc>
          <w:tcPr>
            <w:tcW w:w="1926" w:type="dxa"/>
          </w:tcPr>
          <w:p w:rsidR="00147C17" w:rsidRDefault="00147C17" w:rsidP="00147C17">
            <w:pPr>
              <w:tabs>
                <w:tab w:val="left" w:pos="720"/>
              </w:tabs>
              <w:ind w:left="0" w:firstLine="0"/>
            </w:pPr>
            <w:r>
              <w:t>An Increase in Demand</w:t>
            </w:r>
          </w:p>
        </w:tc>
        <w:tc>
          <w:tcPr>
            <w:tcW w:w="2394" w:type="dxa"/>
            <w:vAlign w:val="center"/>
          </w:tcPr>
          <w:p w:rsidR="00147C17" w:rsidRDefault="00147C17" w:rsidP="00147C17">
            <w:pPr>
              <w:tabs>
                <w:tab w:val="left" w:pos="720"/>
              </w:tabs>
              <w:ind w:left="0" w:firstLine="0"/>
              <w:jc w:val="center"/>
            </w:pPr>
            <w:r>
              <w:t>P</w:t>
            </w:r>
            <w:r>
              <w:sym w:font="Symbol" w:char="F0AD"/>
            </w:r>
            <w:r>
              <w:t>, Q</w:t>
            </w:r>
            <w:r>
              <w:sym w:font="Symbol" w:char="F0AD"/>
            </w:r>
          </w:p>
        </w:tc>
        <w:tc>
          <w:tcPr>
            <w:tcW w:w="2394" w:type="dxa"/>
            <w:vAlign w:val="center"/>
          </w:tcPr>
          <w:p w:rsidR="00147C17" w:rsidRDefault="00147C17" w:rsidP="00147C17">
            <w:pPr>
              <w:tabs>
                <w:tab w:val="left" w:pos="720"/>
              </w:tabs>
              <w:ind w:left="0" w:firstLine="0"/>
              <w:jc w:val="center"/>
            </w:pPr>
            <w:r>
              <w:t>P?, Q</w:t>
            </w:r>
            <w:r>
              <w:sym w:font="Symbol" w:char="F0AD"/>
            </w:r>
          </w:p>
        </w:tc>
        <w:tc>
          <w:tcPr>
            <w:tcW w:w="2394" w:type="dxa"/>
            <w:vAlign w:val="center"/>
          </w:tcPr>
          <w:p w:rsidR="00147C17" w:rsidRDefault="00147C17" w:rsidP="00147C17">
            <w:pPr>
              <w:tabs>
                <w:tab w:val="left" w:pos="720"/>
              </w:tabs>
              <w:ind w:left="0" w:firstLine="0"/>
              <w:jc w:val="center"/>
            </w:pPr>
            <w:r>
              <w:t>P</w:t>
            </w:r>
            <w:r>
              <w:sym w:font="Symbol" w:char="F0AD"/>
            </w:r>
            <w:r>
              <w:t>, Q?</w:t>
            </w:r>
          </w:p>
        </w:tc>
      </w:tr>
      <w:tr w:rsidR="00147C17" w:rsidTr="00147C17">
        <w:tc>
          <w:tcPr>
            <w:tcW w:w="1926" w:type="dxa"/>
          </w:tcPr>
          <w:p w:rsidR="00147C17" w:rsidRDefault="00147C17" w:rsidP="00147C17">
            <w:pPr>
              <w:tabs>
                <w:tab w:val="left" w:pos="720"/>
              </w:tabs>
              <w:ind w:left="0" w:firstLine="0"/>
            </w:pPr>
            <w:r>
              <w:t>A Decrease in Demand</w:t>
            </w:r>
          </w:p>
        </w:tc>
        <w:tc>
          <w:tcPr>
            <w:tcW w:w="2394" w:type="dxa"/>
            <w:vAlign w:val="center"/>
          </w:tcPr>
          <w:p w:rsidR="00147C17" w:rsidRDefault="00147C17" w:rsidP="00147C17">
            <w:pPr>
              <w:tabs>
                <w:tab w:val="left" w:pos="720"/>
              </w:tabs>
              <w:ind w:left="0" w:firstLine="0"/>
              <w:jc w:val="center"/>
            </w:pPr>
            <w:r>
              <w:t>P↓, Q↓</w:t>
            </w:r>
          </w:p>
        </w:tc>
        <w:tc>
          <w:tcPr>
            <w:tcW w:w="2394" w:type="dxa"/>
            <w:vAlign w:val="center"/>
          </w:tcPr>
          <w:p w:rsidR="00147C17" w:rsidRDefault="00147C17" w:rsidP="00147C17">
            <w:pPr>
              <w:tabs>
                <w:tab w:val="left" w:pos="720"/>
              </w:tabs>
              <w:ind w:left="0" w:firstLine="0"/>
              <w:jc w:val="center"/>
            </w:pPr>
            <w:r>
              <w:t>P↓, Q?</w:t>
            </w:r>
          </w:p>
        </w:tc>
        <w:tc>
          <w:tcPr>
            <w:tcW w:w="2394" w:type="dxa"/>
            <w:vAlign w:val="center"/>
          </w:tcPr>
          <w:p w:rsidR="00147C17" w:rsidRDefault="00147C17" w:rsidP="00147C17">
            <w:pPr>
              <w:tabs>
                <w:tab w:val="left" w:pos="720"/>
              </w:tabs>
              <w:ind w:left="0" w:firstLine="0"/>
              <w:jc w:val="center"/>
            </w:pPr>
            <w:r>
              <w:t>P?, Q↓</w:t>
            </w:r>
          </w:p>
        </w:tc>
      </w:tr>
    </w:tbl>
    <w:p w:rsidR="00FC5DE6" w:rsidRDefault="008136E2" w:rsidP="0023578F">
      <w:pPr>
        <w:pStyle w:val="ListParagraph"/>
        <w:numPr>
          <w:ilvl w:val="0"/>
          <w:numId w:val="46"/>
        </w:numPr>
        <w:tabs>
          <w:tab w:val="left" w:pos="720"/>
        </w:tabs>
        <w:spacing w:before="240"/>
      </w:pPr>
      <w:r>
        <w:t>a.</w:t>
      </w:r>
      <w:r>
        <w:tab/>
        <w:t>[</w:t>
      </w:r>
      <w:r w:rsidR="003D1078">
        <w:t>2</w:t>
      </w:r>
      <w:r>
        <w:t xml:space="preserve"> points</w:t>
      </w:r>
      <w:r w:rsidR="003D1078">
        <w:t xml:space="preserve"> for each country</w:t>
      </w:r>
      <w:r w:rsidR="00933A9C">
        <w:t>; 4 points in total</w:t>
      </w:r>
      <w:r>
        <w:t>]</w:t>
      </w:r>
    </w:p>
    <w:p w:rsidR="001118DE" w:rsidRDefault="004A3009" w:rsidP="00DD704C">
      <w:pPr>
        <w:pStyle w:val="ListParagraph"/>
        <w:ind w:left="0" w:firstLine="0"/>
        <w:jc w:val="center"/>
      </w:pPr>
      <w:r w:rsidRPr="004A3009">
        <w:rPr>
          <w:noProof/>
          <w:lang w:eastAsia="en-CA"/>
        </w:rPr>
        <w:drawing>
          <wp:inline distT="0" distB="0" distL="0" distR="0">
            <wp:extent cx="2238375" cy="1876425"/>
            <wp:effectExtent l="0" t="0" r="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4A3009">
        <w:rPr>
          <w:noProof/>
          <w:lang w:eastAsia="en-CA"/>
        </w:rPr>
        <w:drawing>
          <wp:inline distT="0" distB="0" distL="0" distR="0">
            <wp:extent cx="2381250" cy="18573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21CB3" w:rsidRDefault="00C25907" w:rsidP="006A2D43">
      <w:pPr>
        <w:pStyle w:val="ListParagraph"/>
        <w:numPr>
          <w:ilvl w:val="0"/>
          <w:numId w:val="47"/>
        </w:numPr>
      </w:pPr>
      <w:r>
        <w:t xml:space="preserve">The slope of the </w:t>
      </w:r>
      <w:proofErr w:type="spellStart"/>
      <w:r>
        <w:t>PPFs</w:t>
      </w:r>
      <w:proofErr w:type="spellEnd"/>
      <w:r>
        <w:t xml:space="preserve"> represent the opportunity cost of computers.  </w:t>
      </w:r>
      <w:r w:rsidR="0099399E">
        <w:t xml:space="preserve">Refer to </w:t>
      </w:r>
      <w:r w:rsidR="00CD5432">
        <w:t xml:space="preserve">table below.  Since the opportunity cost of computers is less in Japan than Canada, Japan </w:t>
      </w:r>
      <w:r w:rsidR="0099399E">
        <w:t>has a comparative advantage in computers and will export computers (and import</w:t>
      </w:r>
      <w:r w:rsidR="00CD5432">
        <w:t xml:space="preserve"> wheat).  Since the opportunity cost of wheat is less in Canada than in Japan, Canada </w:t>
      </w:r>
      <w:r w:rsidR="0099399E">
        <w:t>has a comparative advantage in wheat and will export wheat (and import</w:t>
      </w:r>
      <w:r w:rsidR="00CD5432">
        <w:t xml:space="preserve"> computers).</w:t>
      </w:r>
      <w:r w:rsidR="001C10AB">
        <w:t xml:space="preserve"> </w:t>
      </w:r>
      <w:r w:rsidR="001C10AB" w:rsidRPr="001C10AB">
        <w:t xml:space="preserve"> </w:t>
      </w:r>
      <w:r w:rsidR="001C10AB">
        <w:t>[3 points]</w:t>
      </w:r>
    </w:p>
    <w:p w:rsidR="00CD5432" w:rsidRDefault="00CD5432" w:rsidP="00CD5432">
      <w:pPr>
        <w:pStyle w:val="ListParagraph"/>
        <w:ind w:firstLine="0"/>
      </w:pPr>
    </w:p>
    <w:tbl>
      <w:tblPr>
        <w:tblStyle w:val="TableGrid"/>
        <w:tblW w:w="0" w:type="auto"/>
        <w:tblInd w:w="828" w:type="dxa"/>
        <w:tblLook w:val="04A0"/>
      </w:tblPr>
      <w:tblGrid>
        <w:gridCol w:w="2520"/>
        <w:gridCol w:w="2340"/>
        <w:gridCol w:w="2070"/>
        <w:gridCol w:w="1818"/>
      </w:tblGrid>
      <w:tr w:rsidR="00F21CB3" w:rsidTr="00CD5432">
        <w:tc>
          <w:tcPr>
            <w:tcW w:w="4860" w:type="dxa"/>
            <w:gridSpan w:val="2"/>
            <w:vAlign w:val="center"/>
          </w:tcPr>
          <w:p w:rsidR="00F21CB3" w:rsidRDefault="00CD5432" w:rsidP="00CD5432">
            <w:pPr>
              <w:pStyle w:val="ListParagraph"/>
              <w:ind w:left="0" w:firstLine="0"/>
              <w:jc w:val="center"/>
            </w:pPr>
            <w:r>
              <w:t>Opportunity cost</w:t>
            </w:r>
            <w:r>
              <w:rPr>
                <w:vertAlign w:val="subscript"/>
              </w:rPr>
              <w:t xml:space="preserve"> </w:t>
            </w:r>
            <w:r>
              <w:t>of computers</w:t>
            </w:r>
          </w:p>
        </w:tc>
        <w:tc>
          <w:tcPr>
            <w:tcW w:w="3888" w:type="dxa"/>
            <w:gridSpan w:val="2"/>
            <w:vAlign w:val="center"/>
          </w:tcPr>
          <w:p w:rsidR="00F21CB3" w:rsidRDefault="00CD5432" w:rsidP="00CD5432">
            <w:pPr>
              <w:pStyle w:val="ListParagraph"/>
              <w:ind w:left="0" w:firstLine="0"/>
              <w:jc w:val="center"/>
            </w:pPr>
            <w:r>
              <w:t>Opportunity cost</w:t>
            </w:r>
            <w:r>
              <w:rPr>
                <w:vertAlign w:val="subscript"/>
              </w:rPr>
              <w:t xml:space="preserve"> </w:t>
            </w:r>
            <w:r>
              <w:t>of wheat</w:t>
            </w:r>
          </w:p>
        </w:tc>
      </w:tr>
      <w:tr w:rsidR="00CD5432" w:rsidTr="00CD5432">
        <w:tc>
          <w:tcPr>
            <w:tcW w:w="2520" w:type="dxa"/>
            <w:vAlign w:val="center"/>
          </w:tcPr>
          <w:p w:rsidR="00CD5432" w:rsidRDefault="00CD5432" w:rsidP="00CD5432">
            <w:pPr>
              <w:pStyle w:val="ListParagraph"/>
              <w:ind w:left="0" w:firstLine="0"/>
              <w:jc w:val="center"/>
            </w:pPr>
            <w:r>
              <w:t>Canada</w:t>
            </w:r>
          </w:p>
        </w:tc>
        <w:tc>
          <w:tcPr>
            <w:tcW w:w="2340" w:type="dxa"/>
            <w:vAlign w:val="center"/>
          </w:tcPr>
          <w:p w:rsidR="00CD5432" w:rsidRDefault="00CD5432" w:rsidP="00CD5432">
            <w:pPr>
              <w:pStyle w:val="ListParagraph"/>
              <w:ind w:left="0" w:firstLine="0"/>
              <w:jc w:val="center"/>
            </w:pPr>
            <w:r>
              <w:t>Japan</w:t>
            </w:r>
          </w:p>
        </w:tc>
        <w:tc>
          <w:tcPr>
            <w:tcW w:w="2070" w:type="dxa"/>
            <w:vAlign w:val="center"/>
          </w:tcPr>
          <w:p w:rsidR="00CD5432" w:rsidRDefault="00CD5432" w:rsidP="00CD5432">
            <w:pPr>
              <w:pStyle w:val="ListParagraph"/>
              <w:ind w:left="0" w:firstLine="0"/>
              <w:jc w:val="center"/>
            </w:pPr>
            <w:r>
              <w:t>Canada</w:t>
            </w:r>
          </w:p>
        </w:tc>
        <w:tc>
          <w:tcPr>
            <w:tcW w:w="1818" w:type="dxa"/>
            <w:vAlign w:val="center"/>
          </w:tcPr>
          <w:p w:rsidR="00CD5432" w:rsidRDefault="00CD5432" w:rsidP="00CD5432">
            <w:pPr>
              <w:pStyle w:val="ListParagraph"/>
              <w:ind w:left="0" w:firstLine="0"/>
              <w:jc w:val="center"/>
            </w:pPr>
            <w:r>
              <w:t>Japan</w:t>
            </w:r>
          </w:p>
        </w:tc>
      </w:tr>
      <w:tr w:rsidR="00CD5432" w:rsidTr="00CD5432">
        <w:tc>
          <w:tcPr>
            <w:tcW w:w="2520" w:type="dxa"/>
            <w:vAlign w:val="center"/>
          </w:tcPr>
          <w:p w:rsidR="00CD5432" w:rsidRDefault="00CD5432" w:rsidP="00CD5432">
            <w:pPr>
              <w:pStyle w:val="ListParagraph"/>
              <w:ind w:left="0" w:firstLine="0"/>
              <w:jc w:val="center"/>
            </w:pPr>
            <w:r>
              <w:t>= 10 tonnes of wheat</w:t>
            </w:r>
          </w:p>
        </w:tc>
        <w:tc>
          <w:tcPr>
            <w:tcW w:w="2340" w:type="dxa"/>
            <w:vAlign w:val="center"/>
          </w:tcPr>
          <w:p w:rsidR="00CD5432" w:rsidRDefault="00CD5432" w:rsidP="00C25907">
            <w:pPr>
              <w:pStyle w:val="ListParagraph"/>
              <w:ind w:left="0" w:firstLine="0"/>
              <w:jc w:val="center"/>
            </w:pPr>
            <w:r>
              <w:t xml:space="preserve">= </w:t>
            </w:r>
            <w:r w:rsidR="00C25907">
              <w:t>5</w:t>
            </w:r>
            <w:r>
              <w:t xml:space="preserve"> tonnes of wheat</w:t>
            </w:r>
          </w:p>
        </w:tc>
        <w:tc>
          <w:tcPr>
            <w:tcW w:w="2070" w:type="dxa"/>
            <w:vAlign w:val="center"/>
          </w:tcPr>
          <w:p w:rsidR="00CD5432" w:rsidRDefault="00CD5432" w:rsidP="00CD5432">
            <w:pPr>
              <w:pStyle w:val="ListParagraph"/>
              <w:ind w:left="0" w:firstLine="0"/>
              <w:jc w:val="center"/>
            </w:pPr>
            <w:r>
              <w:t>= 0.1 computers</w:t>
            </w:r>
          </w:p>
        </w:tc>
        <w:tc>
          <w:tcPr>
            <w:tcW w:w="1818" w:type="dxa"/>
            <w:vAlign w:val="center"/>
          </w:tcPr>
          <w:p w:rsidR="00CD5432" w:rsidRDefault="00CD5432" w:rsidP="00C25907">
            <w:pPr>
              <w:pStyle w:val="ListParagraph"/>
              <w:ind w:left="0" w:firstLine="0"/>
              <w:jc w:val="center"/>
            </w:pPr>
            <w:r>
              <w:t xml:space="preserve">= </w:t>
            </w:r>
            <w:r w:rsidR="00C25907">
              <w:t>0.2</w:t>
            </w:r>
            <w:r>
              <w:t xml:space="preserve"> computers</w:t>
            </w:r>
          </w:p>
        </w:tc>
      </w:tr>
    </w:tbl>
    <w:p w:rsidR="0023578F" w:rsidRDefault="0023578F" w:rsidP="0023578F">
      <w:pPr>
        <w:pStyle w:val="ListParagraph"/>
        <w:ind w:firstLine="0"/>
      </w:pPr>
    </w:p>
    <w:p w:rsidR="001118DE" w:rsidRDefault="002E325B" w:rsidP="006A2D43">
      <w:pPr>
        <w:pStyle w:val="ListParagraph"/>
        <w:numPr>
          <w:ilvl w:val="0"/>
          <w:numId w:val="47"/>
        </w:numPr>
      </w:pPr>
      <w:r>
        <w:lastRenderedPageBreak/>
        <w:t xml:space="preserve">Japan will want </w:t>
      </w:r>
      <w:r w:rsidR="00277FEE">
        <w:t xml:space="preserve">to be paid </w:t>
      </w:r>
      <w:r>
        <w:t xml:space="preserve">at least 5 tonnes of wheat for every computer it exports, since this is </w:t>
      </w:r>
      <w:r w:rsidR="00277FEE">
        <w:t xml:space="preserve">what it would have paid </w:t>
      </w:r>
      <w:r>
        <w:t>in the no trade case.  Canada will pay no more than 10 tonnes of wheat for a computer, since this is what it would have paid in the no trade case.  Thus, t</w:t>
      </w:r>
      <w:r w:rsidR="0023578F">
        <w:t xml:space="preserve">he range of prices is from </w:t>
      </w:r>
      <w:r w:rsidR="00C25907">
        <w:t>5</w:t>
      </w:r>
      <w:r w:rsidR="0023578F">
        <w:t xml:space="preserve"> to 10 tonnes of wheat per computer.</w:t>
      </w:r>
      <w:r w:rsidR="00DE36CA">
        <w:t xml:space="preserve">  [3 points]</w:t>
      </w:r>
    </w:p>
    <w:p w:rsidR="001118DE" w:rsidRDefault="001118DE" w:rsidP="001118DE">
      <w:pPr>
        <w:pStyle w:val="ListParagraph"/>
        <w:ind w:left="0" w:firstLine="0"/>
      </w:pPr>
    </w:p>
    <w:p w:rsidR="005A3ABF" w:rsidRDefault="00F80A5F" w:rsidP="00720945">
      <w:pPr>
        <w:pStyle w:val="ListParagraph"/>
        <w:numPr>
          <w:ilvl w:val="0"/>
          <w:numId w:val="46"/>
        </w:numPr>
      </w:pPr>
      <w:r>
        <w:t xml:space="preserve">Whether it is levied on producers or consumers, the effects of a tax will be the same.  </w:t>
      </w:r>
      <w:r w:rsidR="002D23CB">
        <w:t xml:space="preserve">This is shown in the diagram below.  If producers are required to remit the tax (as is the case for Alberta’s hotel room tax), then the supply curve shifts left to ST; if consumers are required to remit the tax, then demand shifts left to DT.  </w:t>
      </w:r>
      <w:r w:rsidR="00566ED0">
        <w:t xml:space="preserve">(Because </w:t>
      </w:r>
      <w:r w:rsidR="002D23CB">
        <w:t xml:space="preserve">the tax </w:t>
      </w:r>
      <w:r w:rsidR="00566ED0">
        <w:t xml:space="preserve">is levied as a percentage of </w:t>
      </w:r>
      <w:r w:rsidR="002D23CB">
        <w:t xml:space="preserve">the room </w:t>
      </w:r>
      <w:r w:rsidR="00566ED0">
        <w:t xml:space="preserve">price, the </w:t>
      </w:r>
      <w:r w:rsidR="00AE50C8">
        <w:t>decrease</w:t>
      </w:r>
      <w:r w:rsidR="00566ED0">
        <w:t xml:space="preserve"> in </w:t>
      </w:r>
      <w:r w:rsidR="002D23CB">
        <w:t xml:space="preserve">supply or </w:t>
      </w:r>
      <w:r w:rsidR="00566ED0">
        <w:t xml:space="preserve">demand will be larger at higher prices.)  </w:t>
      </w:r>
      <w:r w:rsidR="002D23CB">
        <w:t>In both cases, t</w:t>
      </w:r>
      <w:r w:rsidR="00720945">
        <w:t xml:space="preserve">he tax will cause the consumer price </w:t>
      </w:r>
      <w:r w:rsidR="00491A05">
        <w:t xml:space="preserve">(PC) </w:t>
      </w:r>
      <w:r w:rsidR="00720945">
        <w:t>to rise</w:t>
      </w:r>
      <w:r w:rsidR="001C300D">
        <w:t>,</w:t>
      </w:r>
      <w:r w:rsidR="00720945">
        <w:t xml:space="preserve"> and the price hotels receive </w:t>
      </w:r>
      <w:r w:rsidR="00491A05">
        <w:t xml:space="preserve">(PP) </w:t>
      </w:r>
      <w:r w:rsidR="00720945">
        <w:t>to fall</w:t>
      </w:r>
      <w:r w:rsidR="00491A05">
        <w:t>, relative to the equilibrium price (P*)</w:t>
      </w:r>
      <w:r w:rsidR="00720945">
        <w:t xml:space="preserve">.  </w:t>
      </w:r>
      <w:r w:rsidR="001C300D">
        <w:t xml:space="preserve">The tax will also cause the equilibrium quantity demanded of hotel rooms to fall from Q* to QT.  </w:t>
      </w:r>
      <w:r w:rsidR="00720945">
        <w:t xml:space="preserve">The difference between the </w:t>
      </w:r>
      <w:r w:rsidR="001C300D">
        <w:t>consumer and producer</w:t>
      </w:r>
      <w:r w:rsidR="00720945">
        <w:t xml:space="preserve"> prices </w:t>
      </w:r>
      <w:r w:rsidR="00AC7B03">
        <w:t xml:space="preserve">at the lower equilibrium quantity demanded </w:t>
      </w:r>
      <w:r w:rsidR="001C300D">
        <w:t xml:space="preserve">equals </w:t>
      </w:r>
      <w:r w:rsidR="00720945">
        <w:t>the amount of the tax</w:t>
      </w:r>
      <w:r w:rsidR="00491A05">
        <w:t xml:space="preserve">.  </w:t>
      </w:r>
      <w:r w:rsidR="00DB2DA7">
        <w:t xml:space="preserve">The burden of the tax will be shared between consumers and producers (hotel owners).  </w:t>
      </w:r>
      <w:r w:rsidR="0082120C">
        <w:t>[3 points]</w:t>
      </w:r>
    </w:p>
    <w:p w:rsidR="00720945" w:rsidRDefault="00A02F89" w:rsidP="009870D8">
      <w:pPr>
        <w:ind w:firstLine="0"/>
        <w:jc w:val="center"/>
      </w:pPr>
      <w:r>
        <w:rPr>
          <w:noProof/>
          <w:lang w:eastAsia="en-CA"/>
        </w:rPr>
        <w:pict>
          <v:shapetype id="_x0000_t32" coordsize="21600,21600" o:spt="32" o:oned="t" path="m,l21600,21600e" filled="f">
            <v:path arrowok="t" fillok="f" o:connecttype="none"/>
            <o:lock v:ext="edit" shapetype="t"/>
          </v:shapetype>
          <v:shape id="_x0000_s1027" type="#_x0000_t32" style="position:absolute;left:0;text-align:left;margin-left:123pt;margin-top:56.25pt;width:93.75pt;height:0;flip:x;z-index:251659264" o:connectortype="straight"/>
        </w:pict>
      </w:r>
      <w:r>
        <w:rPr>
          <w:noProof/>
          <w:lang w:eastAsia="en-CA"/>
        </w:rPr>
        <w:pict>
          <v:shape id="_x0000_s1028" type="#_x0000_t32" style="position:absolute;left:0;text-align:left;margin-left:123pt;margin-top:84.75pt;width:93.75pt;height:0;flip:x;z-index:251660288" o:connectortype="straight"/>
        </w:pict>
      </w:r>
      <w:r>
        <w:rPr>
          <w:noProof/>
          <w:lang w:eastAsia="en-CA"/>
        </w:rPr>
        <w:pict>
          <v:shape id="_x0000_s1026" type="#_x0000_t32" style="position:absolute;left:0;text-align:left;margin-left:216.75pt;margin-top:55.5pt;width:.1pt;height:82.5pt;z-index:251658240" o:connectortype="straight"/>
        </w:pict>
      </w:r>
      <w:r w:rsidR="00B60CC8">
        <w:rPr>
          <w:noProof/>
          <w:lang w:eastAsia="en-CA"/>
        </w:rPr>
        <w:drawing>
          <wp:inline distT="0" distB="0" distL="0" distR="0">
            <wp:extent cx="3714750" cy="1971675"/>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2120C" w:rsidRDefault="00D22D8A" w:rsidP="00720945">
      <w:pPr>
        <w:ind w:firstLine="0"/>
      </w:pPr>
      <w:r>
        <w:t xml:space="preserve">In the short run, the supply of hotel rooms is inelastic – </w:t>
      </w:r>
      <w:r w:rsidR="000269A5">
        <w:t xml:space="preserve">the number </w:t>
      </w:r>
      <w:r>
        <w:t xml:space="preserve">of rooms </w:t>
      </w:r>
      <w:r w:rsidR="000269A5">
        <w:t>available is fixed</w:t>
      </w:r>
      <w:r>
        <w:t xml:space="preserve">.  </w:t>
      </w:r>
      <w:r w:rsidR="001935DD">
        <w:t>As a result</w:t>
      </w:r>
      <w:r>
        <w:t>, the burden of the tax will f</w:t>
      </w:r>
      <w:r w:rsidR="0082120C">
        <w:t>all most heavily on producers</w:t>
      </w:r>
      <w:r w:rsidR="00523A54">
        <w:t xml:space="preserve"> (</w:t>
      </w:r>
      <w:r w:rsidR="004040DE">
        <w:t xml:space="preserve">who may or may not </w:t>
      </w:r>
      <w:r w:rsidR="00294905">
        <w:t>live in</w:t>
      </w:r>
      <w:r w:rsidR="004040DE">
        <w:t xml:space="preserve"> Alberta</w:t>
      </w:r>
      <w:r w:rsidR="00523A54">
        <w:t>)</w:t>
      </w:r>
      <w:r w:rsidR="0082120C">
        <w:t>.  [1 point]</w:t>
      </w:r>
    </w:p>
    <w:p w:rsidR="00B60CC8" w:rsidRDefault="00D22D8A" w:rsidP="00720945">
      <w:pPr>
        <w:ind w:firstLine="0"/>
      </w:pPr>
      <w:r>
        <w:t>In the long run</w:t>
      </w:r>
      <w:r w:rsidR="00C91EC8">
        <w:t xml:space="preserve"> (not shown in the diagram above)</w:t>
      </w:r>
      <w:r>
        <w:t xml:space="preserve">, </w:t>
      </w:r>
      <w:r w:rsidR="00C91EC8">
        <w:t xml:space="preserve">both the supply and demand curves are </w:t>
      </w:r>
      <w:r w:rsidR="00E973A5">
        <w:t>quite</w:t>
      </w:r>
      <w:r w:rsidR="00C91EC8">
        <w:t xml:space="preserve"> </w:t>
      </w:r>
      <w:r w:rsidR="00523A54">
        <w:t xml:space="preserve">elastic.  It is possible that the tax incidence would be shared </w:t>
      </w:r>
      <w:r w:rsidR="009C23D7">
        <w:t>fairly</w:t>
      </w:r>
      <w:r w:rsidR="00523A54">
        <w:t xml:space="preserve"> equally between producers and consumers (who </w:t>
      </w:r>
      <w:r w:rsidR="001C300D">
        <w:t xml:space="preserve">also </w:t>
      </w:r>
      <w:r w:rsidR="00523A54">
        <w:t xml:space="preserve">may or may not </w:t>
      </w:r>
      <w:r w:rsidR="00294905">
        <w:t xml:space="preserve">live in </w:t>
      </w:r>
      <w:r w:rsidR="00523A54">
        <w:t xml:space="preserve">Alberta).  However, </w:t>
      </w:r>
      <w:r w:rsidR="00DB2DA7">
        <w:t xml:space="preserve">the fall in the number of rooms rented would be much larger, so that workers in the hotel industry </w:t>
      </w:r>
      <w:r w:rsidR="00523A54">
        <w:t xml:space="preserve">(who typically would </w:t>
      </w:r>
      <w:r w:rsidR="00294905">
        <w:t>live in</w:t>
      </w:r>
      <w:r w:rsidR="00523A54">
        <w:t xml:space="preserve"> Alberta) </w:t>
      </w:r>
      <w:r w:rsidR="00DB2DA7">
        <w:t xml:space="preserve">would bear a large burden.  </w:t>
      </w:r>
      <w:r w:rsidR="0082120C">
        <w:t>[1 point]</w:t>
      </w:r>
    </w:p>
    <w:p w:rsidR="00956172" w:rsidRDefault="00AB17A7" w:rsidP="00956172">
      <w:pPr>
        <w:ind w:firstLine="0"/>
      </w:pPr>
      <w:r>
        <w:t>M</w:t>
      </w:r>
      <w:r w:rsidR="00B05077">
        <w:t xml:space="preserve">ore information is needed to determine who </w:t>
      </w:r>
      <w:r w:rsidR="006A54D0">
        <w:t xml:space="preserve">actually </w:t>
      </w:r>
      <w:r w:rsidR="00B05077">
        <w:t>wins and who loses</w:t>
      </w:r>
      <w:r>
        <w:t xml:space="preserve">, and by how much.  </w:t>
      </w:r>
      <w:r w:rsidR="002935C4">
        <w:t xml:space="preserve">However, it is unclear </w:t>
      </w:r>
      <w:r>
        <w:t xml:space="preserve">that </w:t>
      </w:r>
      <w:r w:rsidR="007B195D">
        <w:t xml:space="preserve">the tax benefits </w:t>
      </w:r>
      <w:r w:rsidR="00122FA8">
        <w:t>Alberta</w:t>
      </w:r>
      <w:r w:rsidR="007B195D">
        <w:t xml:space="preserve"> because the tax burden mostly falls on out-of-province tourists and business persons</w:t>
      </w:r>
      <w:r>
        <w:t xml:space="preserve"> as the supporters of the tax argue</w:t>
      </w:r>
      <w:r w:rsidR="007B195D">
        <w:t>.</w:t>
      </w:r>
    </w:p>
    <w:p w:rsidR="00956172" w:rsidRPr="00FC5DE6" w:rsidRDefault="00956172" w:rsidP="00956172">
      <w:pPr>
        <w:ind w:firstLine="0"/>
      </w:pPr>
    </w:p>
    <w:sectPr w:rsidR="00956172" w:rsidRPr="00FC5DE6" w:rsidSect="003431B4">
      <w:headerReference w:type="default" r:id="rId11"/>
      <w:footerReference w:type="default" r:id="rId12"/>
      <w:pgSz w:w="12240" w:h="15840" w:code="1"/>
      <w:pgMar w:top="1440" w:right="1440" w:bottom="1152" w:left="1440" w:header="576" w:footer="5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6A7" w:rsidRDefault="004C26A7" w:rsidP="00C67A52">
      <w:pPr>
        <w:spacing w:after="0"/>
      </w:pPr>
      <w:r>
        <w:separator/>
      </w:r>
    </w:p>
  </w:endnote>
  <w:endnote w:type="continuationSeparator" w:id="0">
    <w:p w:rsidR="004C26A7" w:rsidRDefault="004C26A7" w:rsidP="00C67A5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3593"/>
      <w:docPartObj>
        <w:docPartGallery w:val="Page Numbers (Bottom of Page)"/>
        <w:docPartUnique/>
      </w:docPartObj>
    </w:sdtPr>
    <w:sdtContent>
      <w:p w:rsidR="00657F1A" w:rsidRDefault="00A02F89">
        <w:pPr>
          <w:pStyle w:val="Footer"/>
          <w:jc w:val="right"/>
        </w:pPr>
        <w:fldSimple w:instr=" PAGE   \* MERGEFORMAT ">
          <w:r w:rsidR="00000FEE">
            <w:rPr>
              <w:noProof/>
            </w:rPr>
            <w:t>1</w:t>
          </w:r>
        </w:fldSimple>
      </w:p>
    </w:sdtContent>
  </w:sdt>
  <w:p w:rsidR="00657F1A" w:rsidRDefault="00657F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6A7" w:rsidRDefault="004C26A7" w:rsidP="00C67A52">
      <w:pPr>
        <w:spacing w:after="0"/>
      </w:pPr>
      <w:r>
        <w:separator/>
      </w:r>
    </w:p>
  </w:footnote>
  <w:footnote w:type="continuationSeparator" w:id="0">
    <w:p w:rsidR="004C26A7" w:rsidRDefault="004C26A7" w:rsidP="00C67A5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F1A" w:rsidRDefault="00657F1A" w:rsidP="00C67A52">
    <w:pPr>
      <w:pStyle w:val="Header"/>
      <w:tabs>
        <w:tab w:val="clear" w:pos="4680"/>
        <w:tab w:val="clear" w:pos="9360"/>
      </w:tabs>
      <w:ind w:left="0" w:firstLine="0"/>
      <w:jc w:val="center"/>
    </w:pPr>
    <w:r w:rsidRPr="00C67A52">
      <w:rPr>
        <w:b/>
      </w:rPr>
      <w:t>PRACTICE MIDTERM EXAM</w:t>
    </w:r>
    <w:r>
      <w:rPr>
        <w:b/>
      </w:rPr>
      <w:t xml:space="preserve"> #1</w:t>
    </w:r>
  </w:p>
  <w:p w:rsidR="00657F1A" w:rsidRDefault="00657F1A" w:rsidP="00000FEE">
    <w:pPr>
      <w:pBdr>
        <w:bottom w:val="single" w:sz="4" w:space="1" w:color="auto"/>
      </w:pBdr>
      <w:tabs>
        <w:tab w:val="right" w:pos="9360"/>
      </w:tabs>
      <w:autoSpaceDE w:val="0"/>
      <w:autoSpaceDN w:val="0"/>
      <w:adjustRightInd w:val="0"/>
      <w:spacing w:after="0"/>
      <w:ind w:left="0" w:firstLine="0"/>
      <w:jc w:val="center"/>
      <w:rPr>
        <w:rFonts w:ascii="Times-Roman" w:hAnsi="Times-Roman" w:cs="Times-Roman"/>
        <w:sz w:val="23"/>
        <w:szCs w:val="23"/>
      </w:rPr>
    </w:pPr>
    <w:r>
      <w:rPr>
        <w:rFonts w:ascii="Times-Roman" w:hAnsi="Times-Roman" w:cs="Times-Roman"/>
      </w:rPr>
      <w:t xml:space="preserve">University of Ottawa </w:t>
    </w:r>
    <w:r>
      <w:rPr>
        <w:rFonts w:ascii="Times-Bold" w:hAnsi="Times-Bold" w:cs="Times-Bold"/>
        <w:b/>
        <w:bCs/>
        <w:sz w:val="23"/>
        <w:szCs w:val="23"/>
      </w:rPr>
      <w:t>ECO1104E</w:t>
    </w:r>
    <w:r w:rsidRPr="00DD1C04">
      <w:rPr>
        <w:rFonts w:ascii="Times-Bold" w:hAnsi="Times-Bold" w:cs="Times-Bold"/>
        <w:bCs/>
        <w:sz w:val="23"/>
        <w:szCs w:val="23"/>
      </w:rPr>
      <w:t xml:space="preserve"> (October 21, 2010)</w:t>
    </w:r>
  </w:p>
  <w:p w:rsidR="00657F1A" w:rsidRPr="00B70F00" w:rsidRDefault="00657F1A" w:rsidP="00B70F00">
    <w:pPr>
      <w:tabs>
        <w:tab w:val="right" w:pos="9360"/>
      </w:tabs>
      <w:autoSpaceDE w:val="0"/>
      <w:autoSpaceDN w:val="0"/>
      <w:adjustRightInd w:val="0"/>
      <w:spacing w:after="0"/>
      <w:ind w:left="0" w:firstLine="0"/>
      <w:rPr>
        <w:rFonts w:ascii="Times-Roman" w:hAnsi="Times-Roman" w:cs="Times-Roman"/>
        <w:sz w:val="23"/>
        <w:szCs w:val="23"/>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82BFD"/>
    <w:multiLevelType w:val="hybridMultilevel"/>
    <w:tmpl w:val="32A4353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8A609B"/>
    <w:multiLevelType w:val="hybridMultilevel"/>
    <w:tmpl w:val="9614FD8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D7698A"/>
    <w:multiLevelType w:val="hybridMultilevel"/>
    <w:tmpl w:val="C41298B4"/>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1B7D532F"/>
    <w:multiLevelType w:val="hybridMultilevel"/>
    <w:tmpl w:val="9A4A83A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F300C4"/>
    <w:multiLevelType w:val="hybridMultilevel"/>
    <w:tmpl w:val="E886DCF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CE1A42"/>
    <w:multiLevelType w:val="hybridMultilevel"/>
    <w:tmpl w:val="842ABC6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1DE78F9"/>
    <w:multiLevelType w:val="hybridMultilevel"/>
    <w:tmpl w:val="3252E0F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6001691"/>
    <w:multiLevelType w:val="hybridMultilevel"/>
    <w:tmpl w:val="C4FA2D8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B896F6C"/>
    <w:multiLevelType w:val="hybridMultilevel"/>
    <w:tmpl w:val="E4F6569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B9E0291"/>
    <w:multiLevelType w:val="hybridMultilevel"/>
    <w:tmpl w:val="8F8E9C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BA10BF8"/>
    <w:multiLevelType w:val="hybridMultilevel"/>
    <w:tmpl w:val="FB14FA7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FCB4B41"/>
    <w:multiLevelType w:val="hybridMultilevel"/>
    <w:tmpl w:val="6D68CEF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32A05903"/>
    <w:multiLevelType w:val="hybridMultilevel"/>
    <w:tmpl w:val="0AAEF8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2B20AE7"/>
    <w:multiLevelType w:val="hybridMultilevel"/>
    <w:tmpl w:val="AA88C9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7532E41"/>
    <w:multiLevelType w:val="hybridMultilevel"/>
    <w:tmpl w:val="6332C95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93F774E"/>
    <w:multiLevelType w:val="hybridMultilevel"/>
    <w:tmpl w:val="D6505EB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F1215E"/>
    <w:multiLevelType w:val="hybridMultilevel"/>
    <w:tmpl w:val="4DCE5E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A7F5D2F"/>
    <w:multiLevelType w:val="hybridMultilevel"/>
    <w:tmpl w:val="5A34D6D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EC3C23"/>
    <w:multiLevelType w:val="hybridMultilevel"/>
    <w:tmpl w:val="594870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B47643D"/>
    <w:multiLevelType w:val="hybridMultilevel"/>
    <w:tmpl w:val="787CCF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BE75689"/>
    <w:multiLevelType w:val="hybridMultilevel"/>
    <w:tmpl w:val="3C3407B8"/>
    <w:lvl w:ilvl="0" w:tplc="5F8292A0">
      <w:start w:val="2"/>
      <w:numFmt w:val="lowerLetter"/>
      <w:lvlText w:val="%1."/>
      <w:lvlJc w:val="left"/>
      <w:pPr>
        <w:ind w:left="72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C3B7560"/>
    <w:multiLevelType w:val="hybridMultilevel"/>
    <w:tmpl w:val="76F072F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E2D0D9A"/>
    <w:multiLevelType w:val="hybridMultilevel"/>
    <w:tmpl w:val="DAB4BFC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FA31272"/>
    <w:multiLevelType w:val="hybridMultilevel"/>
    <w:tmpl w:val="4F76DA3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2CF50B3"/>
    <w:multiLevelType w:val="hybridMultilevel"/>
    <w:tmpl w:val="2B4C4AA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3AB3B45"/>
    <w:multiLevelType w:val="hybridMultilevel"/>
    <w:tmpl w:val="F4C607D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43E45AA"/>
    <w:multiLevelType w:val="hybridMultilevel"/>
    <w:tmpl w:val="DC289CD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56D3475"/>
    <w:multiLevelType w:val="hybridMultilevel"/>
    <w:tmpl w:val="C826E23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5A06054"/>
    <w:multiLevelType w:val="hybridMultilevel"/>
    <w:tmpl w:val="5DA28B58"/>
    <w:lvl w:ilvl="0" w:tplc="07FCAA2A">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5B3319C"/>
    <w:multiLevelType w:val="hybridMultilevel"/>
    <w:tmpl w:val="4A7ABAC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63823C6"/>
    <w:multiLevelType w:val="hybridMultilevel"/>
    <w:tmpl w:val="B016CA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7570BC3"/>
    <w:multiLevelType w:val="hybridMultilevel"/>
    <w:tmpl w:val="3DB6DA1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8E96175"/>
    <w:multiLevelType w:val="hybridMultilevel"/>
    <w:tmpl w:val="CA84D7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9365941"/>
    <w:multiLevelType w:val="hybridMultilevel"/>
    <w:tmpl w:val="7E8A15A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A2F3AFC"/>
    <w:multiLevelType w:val="hybridMultilevel"/>
    <w:tmpl w:val="28EE784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03E2ED0"/>
    <w:multiLevelType w:val="hybridMultilevel"/>
    <w:tmpl w:val="7C3C79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3231AE6"/>
    <w:multiLevelType w:val="hybridMultilevel"/>
    <w:tmpl w:val="6D70DAD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3DD0224"/>
    <w:multiLevelType w:val="hybridMultilevel"/>
    <w:tmpl w:val="19040D2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574114CD"/>
    <w:multiLevelType w:val="hybridMultilevel"/>
    <w:tmpl w:val="2CC8667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8365960"/>
    <w:multiLevelType w:val="hybridMultilevel"/>
    <w:tmpl w:val="9CB42A8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A1D4CC0"/>
    <w:multiLevelType w:val="hybridMultilevel"/>
    <w:tmpl w:val="E01AC63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4EA251A"/>
    <w:multiLevelType w:val="hybridMultilevel"/>
    <w:tmpl w:val="06CACDB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8D909A6"/>
    <w:multiLevelType w:val="hybridMultilevel"/>
    <w:tmpl w:val="C7FCAE96"/>
    <w:lvl w:ilvl="0" w:tplc="54E8D292">
      <w:start w:val="2"/>
      <w:numFmt w:val="lowerLetter"/>
      <w:lvlText w:val="%1."/>
      <w:lvlJc w:val="left"/>
      <w:pPr>
        <w:ind w:left="72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695A00C2"/>
    <w:multiLevelType w:val="hybridMultilevel"/>
    <w:tmpl w:val="2D70ACE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A143CC7"/>
    <w:multiLevelType w:val="hybridMultilevel"/>
    <w:tmpl w:val="775EC4C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8373A29"/>
    <w:multiLevelType w:val="hybridMultilevel"/>
    <w:tmpl w:val="373EB88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85366B0"/>
    <w:multiLevelType w:val="hybridMultilevel"/>
    <w:tmpl w:val="937C9C4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6171EA"/>
    <w:multiLevelType w:val="hybridMultilevel"/>
    <w:tmpl w:val="54E06A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B0E23B0"/>
    <w:multiLevelType w:val="hybridMultilevel"/>
    <w:tmpl w:val="0B1819D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4"/>
  </w:num>
  <w:num w:numId="3">
    <w:abstractNumId w:val="39"/>
  </w:num>
  <w:num w:numId="4">
    <w:abstractNumId w:val="13"/>
  </w:num>
  <w:num w:numId="5">
    <w:abstractNumId w:val="0"/>
  </w:num>
  <w:num w:numId="6">
    <w:abstractNumId w:val="7"/>
  </w:num>
  <w:num w:numId="7">
    <w:abstractNumId w:val="3"/>
  </w:num>
  <w:num w:numId="8">
    <w:abstractNumId w:val="33"/>
  </w:num>
  <w:num w:numId="9">
    <w:abstractNumId w:val="36"/>
  </w:num>
  <w:num w:numId="10">
    <w:abstractNumId w:val="14"/>
  </w:num>
  <w:num w:numId="11">
    <w:abstractNumId w:val="12"/>
  </w:num>
  <w:num w:numId="12">
    <w:abstractNumId w:val="1"/>
  </w:num>
  <w:num w:numId="13">
    <w:abstractNumId w:val="30"/>
  </w:num>
  <w:num w:numId="14">
    <w:abstractNumId w:val="27"/>
  </w:num>
  <w:num w:numId="15">
    <w:abstractNumId w:val="9"/>
  </w:num>
  <w:num w:numId="16">
    <w:abstractNumId w:val="22"/>
  </w:num>
  <w:num w:numId="17">
    <w:abstractNumId w:val="35"/>
  </w:num>
  <w:num w:numId="18">
    <w:abstractNumId w:val="16"/>
  </w:num>
  <w:num w:numId="19">
    <w:abstractNumId w:val="19"/>
  </w:num>
  <w:num w:numId="20">
    <w:abstractNumId w:val="44"/>
  </w:num>
  <w:num w:numId="21">
    <w:abstractNumId w:val="45"/>
  </w:num>
  <w:num w:numId="22">
    <w:abstractNumId w:val="40"/>
  </w:num>
  <w:num w:numId="23">
    <w:abstractNumId w:val="25"/>
  </w:num>
  <w:num w:numId="24">
    <w:abstractNumId w:val="15"/>
  </w:num>
  <w:num w:numId="25">
    <w:abstractNumId w:val="47"/>
  </w:num>
  <w:num w:numId="26">
    <w:abstractNumId w:val="46"/>
  </w:num>
  <w:num w:numId="27">
    <w:abstractNumId w:val="5"/>
  </w:num>
  <w:num w:numId="28">
    <w:abstractNumId w:val="10"/>
  </w:num>
  <w:num w:numId="29">
    <w:abstractNumId w:val="37"/>
  </w:num>
  <w:num w:numId="30">
    <w:abstractNumId w:val="32"/>
  </w:num>
  <w:num w:numId="31">
    <w:abstractNumId w:val="48"/>
  </w:num>
  <w:num w:numId="32">
    <w:abstractNumId w:val="38"/>
  </w:num>
  <w:num w:numId="33">
    <w:abstractNumId w:val="21"/>
  </w:num>
  <w:num w:numId="34">
    <w:abstractNumId w:val="18"/>
  </w:num>
  <w:num w:numId="35">
    <w:abstractNumId w:val="26"/>
  </w:num>
  <w:num w:numId="36">
    <w:abstractNumId w:val="4"/>
  </w:num>
  <w:num w:numId="37">
    <w:abstractNumId w:val="17"/>
  </w:num>
  <w:num w:numId="38">
    <w:abstractNumId w:val="8"/>
  </w:num>
  <w:num w:numId="39">
    <w:abstractNumId w:val="23"/>
  </w:num>
  <w:num w:numId="40">
    <w:abstractNumId w:val="43"/>
  </w:num>
  <w:num w:numId="41">
    <w:abstractNumId w:val="41"/>
  </w:num>
  <w:num w:numId="42">
    <w:abstractNumId w:val="11"/>
  </w:num>
  <w:num w:numId="43">
    <w:abstractNumId w:val="31"/>
  </w:num>
  <w:num w:numId="44">
    <w:abstractNumId w:val="29"/>
  </w:num>
  <w:num w:numId="45">
    <w:abstractNumId w:val="24"/>
  </w:num>
  <w:num w:numId="46">
    <w:abstractNumId w:val="2"/>
  </w:num>
  <w:num w:numId="47">
    <w:abstractNumId w:val="42"/>
  </w:num>
  <w:num w:numId="48">
    <w:abstractNumId w:val="28"/>
  </w:num>
  <w:num w:numId="49">
    <w:abstractNumId w:val="2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F29AA"/>
    <w:rsid w:val="00000FEE"/>
    <w:rsid w:val="0001493E"/>
    <w:rsid w:val="000269A5"/>
    <w:rsid w:val="0004341D"/>
    <w:rsid w:val="000523DA"/>
    <w:rsid w:val="00066CF6"/>
    <w:rsid w:val="00073951"/>
    <w:rsid w:val="000A0324"/>
    <w:rsid w:val="000A0DB5"/>
    <w:rsid w:val="000C6B11"/>
    <w:rsid w:val="000F418A"/>
    <w:rsid w:val="001118DE"/>
    <w:rsid w:val="00122FA8"/>
    <w:rsid w:val="00147C17"/>
    <w:rsid w:val="001531CA"/>
    <w:rsid w:val="001804AF"/>
    <w:rsid w:val="00185DF0"/>
    <w:rsid w:val="00192382"/>
    <w:rsid w:val="001935DD"/>
    <w:rsid w:val="001C10AB"/>
    <w:rsid w:val="001C300D"/>
    <w:rsid w:val="001F7F68"/>
    <w:rsid w:val="00200FEA"/>
    <w:rsid w:val="00202B66"/>
    <w:rsid w:val="002240FC"/>
    <w:rsid w:val="002260B1"/>
    <w:rsid w:val="0023578F"/>
    <w:rsid w:val="002576DA"/>
    <w:rsid w:val="00277FEE"/>
    <w:rsid w:val="002935C4"/>
    <w:rsid w:val="00294905"/>
    <w:rsid w:val="002A20B2"/>
    <w:rsid w:val="002D23CB"/>
    <w:rsid w:val="002E325B"/>
    <w:rsid w:val="002F1E33"/>
    <w:rsid w:val="003037B3"/>
    <w:rsid w:val="003431B4"/>
    <w:rsid w:val="00352C52"/>
    <w:rsid w:val="00377BA3"/>
    <w:rsid w:val="0039448B"/>
    <w:rsid w:val="003D1078"/>
    <w:rsid w:val="004040DE"/>
    <w:rsid w:val="00447070"/>
    <w:rsid w:val="00491A05"/>
    <w:rsid w:val="00497388"/>
    <w:rsid w:val="004A3009"/>
    <w:rsid w:val="004B0978"/>
    <w:rsid w:val="004C26A7"/>
    <w:rsid w:val="004D7676"/>
    <w:rsid w:val="00523A54"/>
    <w:rsid w:val="00531DE9"/>
    <w:rsid w:val="005540CD"/>
    <w:rsid w:val="00566ED0"/>
    <w:rsid w:val="005714F9"/>
    <w:rsid w:val="005731DB"/>
    <w:rsid w:val="005A3ABF"/>
    <w:rsid w:val="005C688E"/>
    <w:rsid w:val="00652C3D"/>
    <w:rsid w:val="0065357A"/>
    <w:rsid w:val="00657F1A"/>
    <w:rsid w:val="006604F8"/>
    <w:rsid w:val="0067469F"/>
    <w:rsid w:val="00684E8B"/>
    <w:rsid w:val="006A1845"/>
    <w:rsid w:val="006A2D43"/>
    <w:rsid w:val="006A54D0"/>
    <w:rsid w:val="006C7348"/>
    <w:rsid w:val="006F29AA"/>
    <w:rsid w:val="00720945"/>
    <w:rsid w:val="00737D95"/>
    <w:rsid w:val="007B195D"/>
    <w:rsid w:val="00801FFB"/>
    <w:rsid w:val="00811024"/>
    <w:rsid w:val="008136E2"/>
    <w:rsid w:val="0082120C"/>
    <w:rsid w:val="0086661E"/>
    <w:rsid w:val="008B5401"/>
    <w:rsid w:val="008C4EC9"/>
    <w:rsid w:val="008C54BE"/>
    <w:rsid w:val="00933A9C"/>
    <w:rsid w:val="0093485D"/>
    <w:rsid w:val="00956172"/>
    <w:rsid w:val="00974723"/>
    <w:rsid w:val="00983021"/>
    <w:rsid w:val="009870D8"/>
    <w:rsid w:val="0098726B"/>
    <w:rsid w:val="0099399E"/>
    <w:rsid w:val="009A3DBC"/>
    <w:rsid w:val="009C0C04"/>
    <w:rsid w:val="009C23D7"/>
    <w:rsid w:val="009D0AF9"/>
    <w:rsid w:val="00A005C7"/>
    <w:rsid w:val="00A02F89"/>
    <w:rsid w:val="00A101A5"/>
    <w:rsid w:val="00A34FEA"/>
    <w:rsid w:val="00A62098"/>
    <w:rsid w:val="00A849B7"/>
    <w:rsid w:val="00AB17A7"/>
    <w:rsid w:val="00AB257A"/>
    <w:rsid w:val="00AC64D4"/>
    <w:rsid w:val="00AC7B03"/>
    <w:rsid w:val="00AD2E80"/>
    <w:rsid w:val="00AD5DD1"/>
    <w:rsid w:val="00AE50C8"/>
    <w:rsid w:val="00AF25EB"/>
    <w:rsid w:val="00B05077"/>
    <w:rsid w:val="00B45B05"/>
    <w:rsid w:val="00B60CC8"/>
    <w:rsid w:val="00B70506"/>
    <w:rsid w:val="00B70F00"/>
    <w:rsid w:val="00BA1C59"/>
    <w:rsid w:val="00BF0EAA"/>
    <w:rsid w:val="00C02A7A"/>
    <w:rsid w:val="00C12447"/>
    <w:rsid w:val="00C12D72"/>
    <w:rsid w:val="00C2027E"/>
    <w:rsid w:val="00C25907"/>
    <w:rsid w:val="00C3224C"/>
    <w:rsid w:val="00C662E7"/>
    <w:rsid w:val="00C67A52"/>
    <w:rsid w:val="00C91EC8"/>
    <w:rsid w:val="00CD5432"/>
    <w:rsid w:val="00D22D8A"/>
    <w:rsid w:val="00D410A3"/>
    <w:rsid w:val="00D740AF"/>
    <w:rsid w:val="00DA7F8D"/>
    <w:rsid w:val="00DB2DA7"/>
    <w:rsid w:val="00DD1C04"/>
    <w:rsid w:val="00DD3798"/>
    <w:rsid w:val="00DD704C"/>
    <w:rsid w:val="00DE36CA"/>
    <w:rsid w:val="00DF2117"/>
    <w:rsid w:val="00E12DE9"/>
    <w:rsid w:val="00E57DCA"/>
    <w:rsid w:val="00E756C1"/>
    <w:rsid w:val="00E76FB5"/>
    <w:rsid w:val="00E86A0C"/>
    <w:rsid w:val="00E973A5"/>
    <w:rsid w:val="00ED2F04"/>
    <w:rsid w:val="00F21CB3"/>
    <w:rsid w:val="00F27C0C"/>
    <w:rsid w:val="00F80A5F"/>
    <w:rsid w:val="00FB1EFF"/>
    <w:rsid w:val="00FC5DE6"/>
    <w:rsid w:val="00FE0BE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40"/>
        <w:ind w:left="36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5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52"/>
    <w:pPr>
      <w:tabs>
        <w:tab w:val="center" w:pos="4680"/>
        <w:tab w:val="right" w:pos="9360"/>
      </w:tabs>
      <w:spacing w:after="0"/>
    </w:pPr>
  </w:style>
  <w:style w:type="character" w:customStyle="1" w:styleId="HeaderChar">
    <w:name w:val="Header Char"/>
    <w:basedOn w:val="DefaultParagraphFont"/>
    <w:link w:val="Header"/>
    <w:uiPriority w:val="99"/>
    <w:rsid w:val="00C67A52"/>
  </w:style>
  <w:style w:type="paragraph" w:styleId="Footer">
    <w:name w:val="footer"/>
    <w:basedOn w:val="Normal"/>
    <w:link w:val="FooterChar"/>
    <w:uiPriority w:val="99"/>
    <w:unhideWhenUsed/>
    <w:rsid w:val="00C67A52"/>
    <w:pPr>
      <w:tabs>
        <w:tab w:val="center" w:pos="4680"/>
        <w:tab w:val="right" w:pos="9360"/>
      </w:tabs>
      <w:spacing w:after="0"/>
    </w:pPr>
  </w:style>
  <w:style w:type="character" w:customStyle="1" w:styleId="FooterChar">
    <w:name w:val="Footer Char"/>
    <w:basedOn w:val="DefaultParagraphFont"/>
    <w:link w:val="Footer"/>
    <w:uiPriority w:val="99"/>
    <w:rsid w:val="00C67A52"/>
  </w:style>
  <w:style w:type="paragraph" w:styleId="BalloonText">
    <w:name w:val="Balloon Text"/>
    <w:basedOn w:val="Normal"/>
    <w:link w:val="BalloonTextChar"/>
    <w:uiPriority w:val="99"/>
    <w:semiHidden/>
    <w:unhideWhenUsed/>
    <w:rsid w:val="00C67A5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A52"/>
    <w:rPr>
      <w:rFonts w:ascii="Tahoma" w:hAnsi="Tahoma" w:cs="Tahoma"/>
      <w:sz w:val="16"/>
      <w:szCs w:val="16"/>
    </w:rPr>
  </w:style>
  <w:style w:type="paragraph" w:styleId="ListParagraph">
    <w:name w:val="List Paragraph"/>
    <w:basedOn w:val="Normal"/>
    <w:uiPriority w:val="34"/>
    <w:qFormat/>
    <w:rsid w:val="00C67A52"/>
    <w:pPr>
      <w:ind w:left="720"/>
      <w:contextualSpacing/>
    </w:pPr>
  </w:style>
  <w:style w:type="table" w:styleId="TableGrid">
    <w:name w:val="Table Grid"/>
    <w:basedOn w:val="TableNormal"/>
    <w:uiPriority w:val="59"/>
    <w:rsid w:val="00C662E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autoTitleDeleted val="1"/>
    <c:plotArea>
      <c:layout/>
      <c:lineChart>
        <c:grouping val="standard"/>
        <c:marker val="1"/>
        <c:axId val="49543424"/>
        <c:axId val="49545600"/>
      </c:lineChart>
      <c:catAx>
        <c:axId val="49543424"/>
        <c:scaling>
          <c:orientation val="minMax"/>
        </c:scaling>
        <c:axPos val="b"/>
        <c:title>
          <c:tx>
            <c:rich>
              <a:bodyPr/>
              <a:lstStyle/>
              <a:p>
                <a:pPr>
                  <a:defRPr/>
                </a:pPr>
                <a:r>
                  <a:rPr lang="en-CA"/>
                  <a:t>Corn</a:t>
                </a:r>
              </a:p>
            </c:rich>
          </c:tx>
          <c:layout>
            <c:manualLayout>
              <c:xMode val="edge"/>
              <c:yMode val="edge"/>
              <c:x val="0.63720771745637328"/>
              <c:y val="0.80114367360884953"/>
            </c:manualLayout>
          </c:layout>
        </c:title>
        <c:majorTickMark val="none"/>
        <c:tickLblPos val="none"/>
        <c:crossAx val="49545600"/>
        <c:crosses val="autoZero"/>
        <c:auto val="1"/>
        <c:lblAlgn val="ctr"/>
        <c:lblOffset val="100"/>
      </c:catAx>
      <c:valAx>
        <c:axId val="49545600"/>
        <c:scaling>
          <c:orientation val="minMax"/>
        </c:scaling>
        <c:axPos val="l"/>
        <c:title>
          <c:tx>
            <c:rich>
              <a:bodyPr rot="0" vert="horz"/>
              <a:lstStyle/>
              <a:p>
                <a:pPr>
                  <a:defRPr/>
                </a:pPr>
                <a:r>
                  <a:rPr lang="en-CA"/>
                  <a:t>Wheat</a:t>
                </a:r>
              </a:p>
            </c:rich>
          </c:tx>
          <c:layout>
            <c:manualLayout>
              <c:xMode val="edge"/>
              <c:yMode val="edge"/>
              <c:x val="4.6783625730994163E-2"/>
              <c:y val="7.5607945456522108E-2"/>
            </c:manualLayout>
          </c:layout>
        </c:title>
        <c:numFmt formatCode="General" sourceLinked="1"/>
        <c:majorTickMark val="none"/>
        <c:tickLblPos val="none"/>
        <c:crossAx val="49543424"/>
        <c:crosses val="autoZero"/>
        <c:crossBetween val="between"/>
      </c:valAx>
    </c:plotArea>
    <c:plotVisOnly val="1"/>
  </c:chart>
  <c:spPr>
    <a:ln>
      <a:noFill/>
    </a:ln>
  </c:sp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lang val="en-CA"/>
  <c:chart>
    <c:autoTitleDeleted val="1"/>
    <c:plotArea>
      <c:layout/>
      <c:lineChart>
        <c:grouping val="standard"/>
        <c:marker val="1"/>
        <c:axId val="49559808"/>
        <c:axId val="39068416"/>
      </c:lineChart>
      <c:catAx>
        <c:axId val="49559808"/>
        <c:scaling>
          <c:orientation val="minMax"/>
        </c:scaling>
        <c:axPos val="b"/>
        <c:title>
          <c:tx>
            <c:rich>
              <a:bodyPr/>
              <a:lstStyle/>
              <a:p>
                <a:pPr>
                  <a:defRPr/>
                </a:pPr>
                <a:r>
                  <a:rPr lang="en-CA"/>
                  <a:t>Corn</a:t>
                </a:r>
              </a:p>
            </c:rich>
          </c:tx>
          <c:layout>
            <c:manualLayout>
              <c:xMode val="edge"/>
              <c:yMode val="edge"/>
              <c:x val="0.63720771745637295"/>
              <c:y val="0.80114367360884908"/>
            </c:manualLayout>
          </c:layout>
        </c:title>
        <c:majorTickMark val="none"/>
        <c:tickLblPos val="none"/>
        <c:crossAx val="39068416"/>
        <c:crosses val="autoZero"/>
        <c:auto val="1"/>
        <c:lblAlgn val="ctr"/>
        <c:lblOffset val="100"/>
      </c:catAx>
      <c:valAx>
        <c:axId val="39068416"/>
        <c:scaling>
          <c:orientation val="minMax"/>
        </c:scaling>
        <c:axPos val="l"/>
        <c:title>
          <c:tx>
            <c:rich>
              <a:bodyPr rot="0" vert="horz"/>
              <a:lstStyle/>
              <a:p>
                <a:pPr>
                  <a:defRPr/>
                </a:pPr>
                <a:r>
                  <a:rPr lang="en-CA"/>
                  <a:t>Wheat</a:t>
                </a:r>
              </a:p>
            </c:rich>
          </c:tx>
          <c:layout>
            <c:manualLayout>
              <c:xMode val="edge"/>
              <c:yMode val="edge"/>
              <c:x val="4.6783625730994163E-2"/>
              <c:y val="7.5607945456522108E-2"/>
            </c:manualLayout>
          </c:layout>
        </c:title>
        <c:numFmt formatCode="General" sourceLinked="1"/>
        <c:majorTickMark val="none"/>
        <c:tickLblPos val="none"/>
        <c:crossAx val="49559808"/>
        <c:crosses val="autoZero"/>
        <c:crossBetween val="between"/>
      </c:valAx>
    </c:plotArea>
    <c:plotVisOnly val="1"/>
  </c:chart>
  <c:spPr>
    <a:ln>
      <a:noFill/>
    </a:ln>
  </c:sp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CA"/>
  <c:chart>
    <c:plotArea>
      <c:layout>
        <c:manualLayout>
          <c:layoutTarget val="inner"/>
          <c:xMode val="edge"/>
          <c:yMode val="edge"/>
          <c:x val="0"/>
          <c:y val="0"/>
          <c:w val="1"/>
          <c:h val="1"/>
        </c:manualLayout>
      </c:layout>
      <c:lineChart>
        <c:grouping val="standard"/>
        <c:ser>
          <c:idx val="0"/>
          <c:order val="0"/>
          <c:tx>
            <c:strRef>
              <c:f>Sheet1!$B$1</c:f>
              <c:strCache>
                <c:ptCount val="1"/>
              </c:strCache>
            </c:strRef>
          </c:tx>
          <c:marker>
            <c:symbol val="none"/>
          </c:marker>
          <c:cat>
            <c:numRef>
              <c:f>Sheet1!$A$2:$A$5</c:f>
              <c:numCache>
                <c:formatCode>General</c:formatCode>
                <c:ptCount val="4"/>
              </c:numCache>
            </c:numRef>
          </c:cat>
          <c:val>
            <c:numRef>
              <c:f>Sheet1!$B$2:$B$5</c:f>
              <c:numCache>
                <c:formatCode>General</c:formatCode>
                <c:ptCount val="4"/>
              </c:numCache>
            </c:numRef>
          </c:val>
        </c:ser>
        <c:ser>
          <c:idx val="1"/>
          <c:order val="1"/>
          <c:tx>
            <c:strRef>
              <c:f>Sheet1!$C$1</c:f>
              <c:strCache>
                <c:ptCount val="1"/>
              </c:strCache>
            </c:strRef>
          </c:tx>
          <c:marker>
            <c:symbol val="none"/>
          </c:marker>
          <c:cat>
            <c:numRef>
              <c:f>Sheet1!$A$2:$A$5</c:f>
              <c:numCache>
                <c:formatCode>General</c:formatCode>
                <c:ptCount val="4"/>
              </c:numCache>
            </c:numRef>
          </c:cat>
          <c:val>
            <c:numRef>
              <c:f>Sheet1!$C$2:$C$5</c:f>
              <c:numCache>
                <c:formatCode>General</c:formatCode>
                <c:ptCount val="4"/>
              </c:numCache>
            </c:numRef>
          </c:val>
        </c:ser>
        <c:ser>
          <c:idx val="2"/>
          <c:order val="2"/>
          <c:tx>
            <c:strRef>
              <c:f>Sheet1!$D$1</c:f>
              <c:strCache>
                <c:ptCount val="1"/>
              </c:strCache>
            </c:strRef>
          </c:tx>
          <c:marker>
            <c:symbol val="none"/>
          </c:marker>
          <c:cat>
            <c:numRef>
              <c:f>Sheet1!$A$2:$A$5</c:f>
              <c:numCache>
                <c:formatCode>General</c:formatCode>
                <c:ptCount val="4"/>
              </c:numCache>
            </c:numRef>
          </c:cat>
          <c:val>
            <c:numRef>
              <c:f>Sheet1!$D$2:$D$5</c:f>
              <c:numCache>
                <c:formatCode>General</c:formatCode>
                <c:ptCount val="4"/>
              </c:numCache>
            </c:numRef>
          </c:val>
        </c:ser>
        <c:marker val="1"/>
        <c:axId val="48911872"/>
        <c:axId val="48913408"/>
      </c:lineChart>
      <c:catAx>
        <c:axId val="48911872"/>
        <c:scaling>
          <c:orientation val="minMax"/>
        </c:scaling>
        <c:delete val="1"/>
        <c:axPos val="b"/>
        <c:numFmt formatCode="General" sourceLinked="1"/>
        <c:tickLblPos val="none"/>
        <c:crossAx val="48913408"/>
        <c:crosses val="autoZero"/>
        <c:auto val="1"/>
        <c:lblAlgn val="ctr"/>
        <c:lblOffset val="100"/>
      </c:catAx>
      <c:valAx>
        <c:axId val="48913408"/>
        <c:scaling>
          <c:orientation val="minMax"/>
        </c:scaling>
        <c:delete val="1"/>
        <c:axPos val="l"/>
        <c:numFmt formatCode="General" sourceLinked="1"/>
        <c:tickLblPos val="none"/>
        <c:crossAx val="48911872"/>
        <c:crosses val="autoZero"/>
        <c:crossBetween val="between"/>
      </c:valAx>
      <c:spPr>
        <a:noFill/>
        <a:ln w="25400">
          <a:noFill/>
        </a:ln>
      </c:spPr>
    </c:plotArea>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0.35965</cdr:x>
      <cdr:y>0.06509</cdr:y>
    </cdr:from>
    <cdr:to>
      <cdr:x>0.70614</cdr:x>
      <cdr:y>0.21893</cdr:y>
    </cdr:to>
    <cdr:sp macro="" textlink="">
      <cdr:nvSpPr>
        <cdr:cNvPr id="4" name="TextBox 3"/>
        <cdr:cNvSpPr txBox="1"/>
      </cdr:nvSpPr>
      <cdr:spPr>
        <a:xfrm xmlns:a="http://schemas.openxmlformats.org/drawingml/2006/main">
          <a:off x="781060" y="104779"/>
          <a:ext cx="752465" cy="2476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Canada</a:t>
          </a:r>
        </a:p>
      </cdr:txBody>
    </cdr:sp>
  </cdr:relSizeAnchor>
  <cdr:relSizeAnchor xmlns:cdr="http://schemas.openxmlformats.org/drawingml/2006/chartDrawing">
    <cdr:from>
      <cdr:x>0</cdr:x>
      <cdr:y>0</cdr:y>
    </cdr:from>
    <cdr:to>
      <cdr:x>0</cdr:x>
      <cdr:y>0</cdr:y>
    </cdr:to>
    <cdr:sp macro="" textlink="">
      <cdr:nvSpPr>
        <cdr:cNvPr id="12" name="Straight Connector 11"/>
        <cdr:cNvSpPr/>
      </cdr:nvSpPr>
      <cdr:spPr>
        <a:xfrm xmlns:a="http://schemas.openxmlformats.org/drawingml/2006/main" flipH="1">
          <a:off x="-3028950" y="-5448300"/>
          <a:ext cx="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0.3077</cdr:y>
    </cdr:from>
    <cdr:to>
      <cdr:x>0.23684</cdr:x>
      <cdr:y>0.46746</cdr:y>
    </cdr:to>
    <cdr:sp macro="" textlink="">
      <cdr:nvSpPr>
        <cdr:cNvPr id="18" name="TextBox 1"/>
        <cdr:cNvSpPr txBox="1"/>
      </cdr:nvSpPr>
      <cdr:spPr>
        <a:xfrm xmlns:a="http://schemas.openxmlformats.org/drawingml/2006/main">
          <a:off x="0" y="495305"/>
          <a:ext cx="514350" cy="25716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2500</a:t>
          </a:r>
        </a:p>
      </cdr:txBody>
    </cdr:sp>
  </cdr:relSizeAnchor>
  <cdr:relSizeAnchor xmlns:cdr="http://schemas.openxmlformats.org/drawingml/2006/chartDrawing">
    <cdr:from>
      <cdr:x>0.4386</cdr:x>
      <cdr:y>0.7929</cdr:y>
    </cdr:from>
    <cdr:to>
      <cdr:x>0.62281</cdr:x>
      <cdr:y>0.9645</cdr:y>
    </cdr:to>
    <cdr:sp macro="" textlink="">
      <cdr:nvSpPr>
        <cdr:cNvPr id="20" name="TextBox 1"/>
        <cdr:cNvSpPr txBox="1"/>
      </cdr:nvSpPr>
      <cdr:spPr>
        <a:xfrm xmlns:a="http://schemas.openxmlformats.org/drawingml/2006/main">
          <a:off x="952504" y="1276347"/>
          <a:ext cx="400049" cy="27622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250</a:t>
          </a:r>
        </a:p>
      </cdr:txBody>
    </cdr:sp>
  </cdr:relSizeAnchor>
  <cdr:relSizeAnchor xmlns:cdr="http://schemas.openxmlformats.org/drawingml/2006/chartDrawing">
    <cdr:from>
      <cdr:x>0.20175</cdr:x>
      <cdr:y>0.21893</cdr:y>
    </cdr:from>
    <cdr:to>
      <cdr:x>0.20175</cdr:x>
      <cdr:y>0.81657</cdr:y>
    </cdr:to>
    <cdr:sp macro="" textlink="">
      <cdr:nvSpPr>
        <cdr:cNvPr id="22" name="Straight Arrow Connector 21"/>
        <cdr:cNvSpPr/>
      </cdr:nvSpPr>
      <cdr:spPr>
        <a:xfrm xmlns:a="http://schemas.openxmlformats.org/drawingml/2006/main" flipV="1">
          <a:off x="438150" y="352425"/>
          <a:ext cx="0" cy="9620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0.19737</cdr:x>
      <cdr:y>0.81065</cdr:y>
    </cdr:from>
    <cdr:to>
      <cdr:x>0.87719</cdr:x>
      <cdr:y>0.81657</cdr:y>
    </cdr:to>
    <cdr:sp macro="" textlink="">
      <cdr:nvSpPr>
        <cdr:cNvPr id="24" name="Straight Arrow Connector 23"/>
        <cdr:cNvSpPr/>
      </cdr:nvSpPr>
      <cdr:spPr>
        <a:xfrm xmlns:a="http://schemas.openxmlformats.org/drawingml/2006/main" flipV="1">
          <a:off x="428625" y="1304925"/>
          <a:ext cx="1476375" cy="95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0.20175</cdr:x>
      <cdr:y>0.37278</cdr:y>
    </cdr:from>
    <cdr:to>
      <cdr:x>0.53509</cdr:x>
      <cdr:y>0.81065</cdr:y>
    </cdr:to>
    <cdr:sp macro="" textlink="">
      <cdr:nvSpPr>
        <cdr:cNvPr id="26" name="Straight Connector 25"/>
        <cdr:cNvSpPr/>
      </cdr:nvSpPr>
      <cdr:spPr>
        <a:xfrm xmlns:a="http://schemas.openxmlformats.org/drawingml/2006/main">
          <a:off x="438151" y="600075"/>
          <a:ext cx="723900" cy="7048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0.06509</cdr:y>
    </cdr:from>
    <cdr:to>
      <cdr:x>0.3114</cdr:x>
      <cdr:y>0.2071</cdr:y>
    </cdr:to>
    <cdr:sp macro="" textlink="">
      <cdr:nvSpPr>
        <cdr:cNvPr id="27" name="TextBox 26"/>
        <cdr:cNvSpPr txBox="1"/>
      </cdr:nvSpPr>
      <cdr:spPr>
        <a:xfrm xmlns:a="http://schemas.openxmlformats.org/drawingml/2006/main">
          <a:off x="0" y="104774"/>
          <a:ext cx="676275" cy="2286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Wheat</a:t>
          </a:r>
        </a:p>
      </cdr:txBody>
    </cdr:sp>
  </cdr:relSizeAnchor>
  <cdr:relSizeAnchor xmlns:cdr="http://schemas.openxmlformats.org/drawingml/2006/chartDrawing">
    <cdr:from>
      <cdr:x>0.61404</cdr:x>
      <cdr:y>0.8284</cdr:y>
    </cdr:from>
    <cdr:to>
      <cdr:x>1</cdr:x>
      <cdr:y>0.97041</cdr:y>
    </cdr:to>
    <cdr:sp macro="" textlink="">
      <cdr:nvSpPr>
        <cdr:cNvPr id="28" name="TextBox 27"/>
        <cdr:cNvSpPr txBox="1"/>
      </cdr:nvSpPr>
      <cdr:spPr>
        <a:xfrm xmlns:a="http://schemas.openxmlformats.org/drawingml/2006/main">
          <a:off x="1333500" y="1333501"/>
          <a:ext cx="838200" cy="22859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Computers</a:t>
          </a:r>
        </a:p>
      </cdr:txBody>
    </cdr:sp>
  </cdr:relSizeAnchor>
  <cdr:relSizeAnchor xmlns:cdr="http://schemas.openxmlformats.org/drawingml/2006/chartDrawing">
    <cdr:from>
      <cdr:x>0.34211</cdr:x>
      <cdr:y>0.32544</cdr:y>
    </cdr:from>
    <cdr:to>
      <cdr:x>0.88158</cdr:x>
      <cdr:y>0.48521</cdr:y>
    </cdr:to>
    <cdr:sp macro="" textlink="">
      <cdr:nvSpPr>
        <cdr:cNvPr id="29" name="TextBox 28"/>
        <cdr:cNvSpPr txBox="1"/>
      </cdr:nvSpPr>
      <cdr:spPr>
        <a:xfrm xmlns:a="http://schemas.openxmlformats.org/drawingml/2006/main">
          <a:off x="742950" y="523875"/>
          <a:ext cx="1171575" cy="257175"/>
        </a:xfrm>
        <a:prstGeom xmlns:a="http://schemas.openxmlformats.org/drawingml/2006/main" prst="rect">
          <a:avLst/>
        </a:prstGeom>
        <a:ln xmlns:a="http://schemas.openxmlformats.org/drawingml/2006/main">
          <a:solidFill>
            <a:schemeClr val="tx1"/>
          </a:solidFill>
        </a:ln>
      </cdr:spPr>
      <cdr:txBody>
        <a:bodyPr xmlns:a="http://schemas.openxmlformats.org/drawingml/2006/main" vertOverflow="clip" wrap="square" rtlCol="0"/>
        <a:lstStyle xmlns:a="http://schemas.openxmlformats.org/drawingml/2006/main"/>
        <a:p xmlns:a="http://schemas.openxmlformats.org/drawingml/2006/main">
          <a:r>
            <a:rPr lang="en-CA" sz="1100"/>
            <a:t>Slope (OC</a:t>
          </a:r>
          <a:r>
            <a:rPr lang="en-CA" sz="1100" baseline="-25000"/>
            <a:t>C</a:t>
          </a:r>
          <a:r>
            <a:rPr lang="en-CA" sz="1100"/>
            <a:t>) = -10</a:t>
          </a:r>
        </a:p>
      </cdr:txBody>
    </cdr:sp>
  </cdr:relSizeAnchor>
  <cdr:relSizeAnchor xmlns:cdr="http://schemas.openxmlformats.org/drawingml/2006/chartDrawing">
    <cdr:from>
      <cdr:x>0.57447</cdr:x>
      <cdr:y>0.54315</cdr:y>
    </cdr:from>
    <cdr:to>
      <cdr:x>0.7617</cdr:x>
      <cdr:y>0.6599</cdr:y>
    </cdr:to>
    <cdr:sp macro="" textlink="">
      <cdr:nvSpPr>
        <cdr:cNvPr id="13" name="TextBox 12"/>
        <cdr:cNvSpPr txBox="1"/>
      </cdr:nvSpPr>
      <cdr:spPr>
        <a:xfrm xmlns:a="http://schemas.openxmlformats.org/drawingml/2006/main">
          <a:off x="1285875" y="1019175"/>
          <a:ext cx="419100" cy="2190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PPF</a:t>
          </a:r>
        </a:p>
      </cdr:txBody>
    </cdr:sp>
  </cdr:relSizeAnchor>
  <cdr:relSizeAnchor xmlns:cdr="http://schemas.openxmlformats.org/drawingml/2006/chartDrawing">
    <cdr:from>
      <cdr:x>0.47234</cdr:x>
      <cdr:y>0.61929</cdr:y>
    </cdr:from>
    <cdr:to>
      <cdr:x>0.6</cdr:x>
      <cdr:y>0.69036</cdr:y>
    </cdr:to>
    <cdr:sp macro="" textlink="">
      <cdr:nvSpPr>
        <cdr:cNvPr id="15" name="Straight Arrow Connector 14"/>
        <cdr:cNvSpPr/>
      </cdr:nvSpPr>
      <cdr:spPr>
        <a:xfrm xmlns:a="http://schemas.openxmlformats.org/drawingml/2006/main" flipH="1">
          <a:off x="1057274" y="1162050"/>
          <a:ext cx="285750" cy="133350"/>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0.35965</cdr:x>
      <cdr:y>0.06509</cdr:y>
    </cdr:from>
    <cdr:to>
      <cdr:x>0.70614</cdr:x>
      <cdr:y>0.21893</cdr:y>
    </cdr:to>
    <cdr:sp macro="" textlink="">
      <cdr:nvSpPr>
        <cdr:cNvPr id="4" name="TextBox 3"/>
        <cdr:cNvSpPr txBox="1"/>
      </cdr:nvSpPr>
      <cdr:spPr>
        <a:xfrm xmlns:a="http://schemas.openxmlformats.org/drawingml/2006/main">
          <a:off x="781060" y="104779"/>
          <a:ext cx="752465" cy="2476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Japan</a:t>
          </a:r>
        </a:p>
      </cdr:txBody>
    </cdr:sp>
  </cdr:relSizeAnchor>
  <cdr:relSizeAnchor xmlns:cdr="http://schemas.openxmlformats.org/drawingml/2006/chartDrawing">
    <cdr:from>
      <cdr:x>0</cdr:x>
      <cdr:y>0</cdr:y>
    </cdr:from>
    <cdr:to>
      <cdr:x>0</cdr:x>
      <cdr:y>0</cdr:y>
    </cdr:to>
    <cdr:sp macro="" textlink="">
      <cdr:nvSpPr>
        <cdr:cNvPr id="12" name="Straight Connector 11"/>
        <cdr:cNvSpPr/>
      </cdr:nvSpPr>
      <cdr:spPr>
        <a:xfrm xmlns:a="http://schemas.openxmlformats.org/drawingml/2006/main" flipH="1">
          <a:off x="-3028950" y="-5448300"/>
          <a:ext cx="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0.3077</cdr:y>
    </cdr:from>
    <cdr:to>
      <cdr:x>0.23684</cdr:x>
      <cdr:y>0.46746</cdr:y>
    </cdr:to>
    <cdr:sp macro="" textlink="">
      <cdr:nvSpPr>
        <cdr:cNvPr id="18" name="TextBox 1"/>
        <cdr:cNvSpPr txBox="1"/>
      </cdr:nvSpPr>
      <cdr:spPr>
        <a:xfrm xmlns:a="http://schemas.openxmlformats.org/drawingml/2006/main">
          <a:off x="0" y="495305"/>
          <a:ext cx="514350" cy="25716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2000</a:t>
          </a:r>
        </a:p>
      </cdr:txBody>
    </cdr:sp>
  </cdr:relSizeAnchor>
  <cdr:relSizeAnchor xmlns:cdr="http://schemas.openxmlformats.org/drawingml/2006/chartDrawing">
    <cdr:from>
      <cdr:x>0.38158</cdr:x>
      <cdr:y>0.7929</cdr:y>
    </cdr:from>
    <cdr:to>
      <cdr:x>0.62281</cdr:x>
      <cdr:y>0.9645</cdr:y>
    </cdr:to>
    <cdr:sp macro="" textlink="">
      <cdr:nvSpPr>
        <cdr:cNvPr id="20" name="TextBox 1"/>
        <cdr:cNvSpPr txBox="1"/>
      </cdr:nvSpPr>
      <cdr:spPr>
        <a:xfrm xmlns:a="http://schemas.openxmlformats.org/drawingml/2006/main">
          <a:off x="828676" y="1276347"/>
          <a:ext cx="523878" cy="27622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400</a:t>
          </a:r>
        </a:p>
      </cdr:txBody>
    </cdr:sp>
  </cdr:relSizeAnchor>
  <cdr:relSizeAnchor xmlns:cdr="http://schemas.openxmlformats.org/drawingml/2006/chartDrawing">
    <cdr:from>
      <cdr:x>0.20175</cdr:x>
      <cdr:y>0.21893</cdr:y>
    </cdr:from>
    <cdr:to>
      <cdr:x>0.20175</cdr:x>
      <cdr:y>0.81657</cdr:y>
    </cdr:to>
    <cdr:sp macro="" textlink="">
      <cdr:nvSpPr>
        <cdr:cNvPr id="22" name="Straight Arrow Connector 21"/>
        <cdr:cNvSpPr/>
      </cdr:nvSpPr>
      <cdr:spPr>
        <a:xfrm xmlns:a="http://schemas.openxmlformats.org/drawingml/2006/main" flipV="1">
          <a:off x="438150" y="352425"/>
          <a:ext cx="0" cy="9620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0.19737</cdr:x>
      <cdr:y>0.81065</cdr:y>
    </cdr:from>
    <cdr:to>
      <cdr:x>0.87719</cdr:x>
      <cdr:y>0.81657</cdr:y>
    </cdr:to>
    <cdr:sp macro="" textlink="">
      <cdr:nvSpPr>
        <cdr:cNvPr id="24" name="Straight Arrow Connector 23"/>
        <cdr:cNvSpPr/>
      </cdr:nvSpPr>
      <cdr:spPr>
        <a:xfrm xmlns:a="http://schemas.openxmlformats.org/drawingml/2006/main" flipV="1">
          <a:off x="428625" y="1304925"/>
          <a:ext cx="1476375" cy="95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0.20175</cdr:x>
      <cdr:y>0.37278</cdr:y>
    </cdr:from>
    <cdr:to>
      <cdr:x>0.53509</cdr:x>
      <cdr:y>0.81065</cdr:y>
    </cdr:to>
    <cdr:sp macro="" textlink="">
      <cdr:nvSpPr>
        <cdr:cNvPr id="26" name="Straight Connector 25"/>
        <cdr:cNvSpPr/>
      </cdr:nvSpPr>
      <cdr:spPr>
        <a:xfrm xmlns:a="http://schemas.openxmlformats.org/drawingml/2006/main">
          <a:off x="438151" y="600075"/>
          <a:ext cx="723900" cy="7048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0.06509</cdr:y>
    </cdr:from>
    <cdr:to>
      <cdr:x>0.3114</cdr:x>
      <cdr:y>0.2071</cdr:y>
    </cdr:to>
    <cdr:sp macro="" textlink="">
      <cdr:nvSpPr>
        <cdr:cNvPr id="27" name="TextBox 26"/>
        <cdr:cNvSpPr txBox="1"/>
      </cdr:nvSpPr>
      <cdr:spPr>
        <a:xfrm xmlns:a="http://schemas.openxmlformats.org/drawingml/2006/main">
          <a:off x="0" y="104774"/>
          <a:ext cx="676275" cy="2286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Wheat</a:t>
          </a:r>
        </a:p>
      </cdr:txBody>
    </cdr:sp>
  </cdr:relSizeAnchor>
  <cdr:relSizeAnchor xmlns:cdr="http://schemas.openxmlformats.org/drawingml/2006/chartDrawing">
    <cdr:from>
      <cdr:x>0.61404</cdr:x>
      <cdr:y>0.8284</cdr:y>
    </cdr:from>
    <cdr:to>
      <cdr:x>1</cdr:x>
      <cdr:y>0.97041</cdr:y>
    </cdr:to>
    <cdr:sp macro="" textlink="">
      <cdr:nvSpPr>
        <cdr:cNvPr id="28" name="TextBox 27"/>
        <cdr:cNvSpPr txBox="1"/>
      </cdr:nvSpPr>
      <cdr:spPr>
        <a:xfrm xmlns:a="http://schemas.openxmlformats.org/drawingml/2006/main">
          <a:off x="1333500" y="1333501"/>
          <a:ext cx="838200" cy="22859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Computers</a:t>
          </a:r>
        </a:p>
      </cdr:txBody>
    </cdr:sp>
  </cdr:relSizeAnchor>
  <cdr:relSizeAnchor xmlns:cdr="http://schemas.openxmlformats.org/drawingml/2006/chartDrawing">
    <cdr:from>
      <cdr:x>0.34211</cdr:x>
      <cdr:y>0.32544</cdr:y>
    </cdr:from>
    <cdr:to>
      <cdr:x>0.8</cdr:x>
      <cdr:y>0.47929</cdr:y>
    </cdr:to>
    <cdr:sp macro="" textlink="">
      <cdr:nvSpPr>
        <cdr:cNvPr id="29" name="TextBox 28"/>
        <cdr:cNvSpPr txBox="1"/>
      </cdr:nvSpPr>
      <cdr:spPr>
        <a:xfrm xmlns:a="http://schemas.openxmlformats.org/drawingml/2006/main">
          <a:off x="814639" y="604472"/>
          <a:ext cx="1090361" cy="285750"/>
        </a:xfrm>
        <a:prstGeom xmlns:a="http://schemas.openxmlformats.org/drawingml/2006/main" prst="rect">
          <a:avLst/>
        </a:prstGeom>
        <a:ln xmlns:a="http://schemas.openxmlformats.org/drawingml/2006/main">
          <a:solidFill>
            <a:schemeClr val="tx1"/>
          </a:solidFill>
        </a:ln>
      </cdr:spPr>
      <cdr:txBody>
        <a:bodyPr xmlns:a="http://schemas.openxmlformats.org/drawingml/2006/main" vertOverflow="clip" wrap="square" rtlCol="0"/>
        <a:lstStyle xmlns:a="http://schemas.openxmlformats.org/drawingml/2006/main"/>
        <a:p xmlns:a="http://schemas.openxmlformats.org/drawingml/2006/main">
          <a:r>
            <a:rPr lang="en-CA" sz="1100"/>
            <a:t>Slope (OC</a:t>
          </a:r>
          <a:r>
            <a:rPr lang="en-CA" sz="1100" baseline="-25000"/>
            <a:t>C</a:t>
          </a:r>
          <a:r>
            <a:rPr lang="en-CA" sz="1100"/>
            <a:t>) = -5</a:t>
          </a:r>
        </a:p>
      </cdr:txBody>
    </cdr:sp>
  </cdr:relSizeAnchor>
  <cdr:relSizeAnchor xmlns:cdr="http://schemas.openxmlformats.org/drawingml/2006/chartDrawing">
    <cdr:from>
      <cdr:x>0.596</cdr:x>
      <cdr:y>0.5641</cdr:y>
    </cdr:from>
    <cdr:to>
      <cdr:x>0.78</cdr:x>
      <cdr:y>0.67692</cdr:y>
    </cdr:to>
    <cdr:sp macro="" textlink="">
      <cdr:nvSpPr>
        <cdr:cNvPr id="30" name="TextBox 29"/>
        <cdr:cNvSpPr txBox="1"/>
      </cdr:nvSpPr>
      <cdr:spPr>
        <a:xfrm xmlns:a="http://schemas.openxmlformats.org/drawingml/2006/main">
          <a:off x="1419225" y="1047751"/>
          <a:ext cx="438150" cy="20954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PPF</a:t>
          </a:r>
        </a:p>
      </cdr:txBody>
    </cdr:sp>
  </cdr:relSizeAnchor>
  <cdr:relSizeAnchor xmlns:cdr="http://schemas.openxmlformats.org/drawingml/2006/chartDrawing">
    <cdr:from>
      <cdr:x>0.492</cdr:x>
      <cdr:y>0.64615</cdr:y>
    </cdr:from>
    <cdr:to>
      <cdr:x>0.62</cdr:x>
      <cdr:y>0.72821</cdr:y>
    </cdr:to>
    <cdr:sp macro="" textlink="">
      <cdr:nvSpPr>
        <cdr:cNvPr id="32" name="Straight Arrow Connector 31"/>
        <cdr:cNvSpPr/>
      </cdr:nvSpPr>
      <cdr:spPr>
        <a:xfrm xmlns:a="http://schemas.openxmlformats.org/drawingml/2006/main" flipH="1">
          <a:off x="1171574" y="1200150"/>
          <a:ext cx="304800" cy="152400"/>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0.09201</cdr:x>
      <cdr:y>0.88988</cdr:y>
    </cdr:from>
    <cdr:to>
      <cdr:x>0.87674</cdr:x>
      <cdr:y>0.88988</cdr:y>
    </cdr:to>
    <cdr:sp macro="" textlink="">
      <cdr:nvSpPr>
        <cdr:cNvPr id="5" name="Straight Arrow Connector 4"/>
        <cdr:cNvSpPr/>
      </cdr:nvSpPr>
      <cdr:spPr>
        <a:xfrm xmlns:a="http://schemas.openxmlformats.org/drawingml/2006/main">
          <a:off x="335674" y="1754556"/>
          <a:ext cx="2862725" cy="0"/>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0.77024</cdr:x>
      <cdr:y>0.88056</cdr:y>
    </cdr:from>
    <cdr:to>
      <cdr:x>0.98439</cdr:x>
      <cdr:y>0.97585</cdr:y>
    </cdr:to>
    <cdr:sp macro="" textlink="">
      <cdr:nvSpPr>
        <cdr:cNvPr id="6" name="TextBox 5"/>
        <cdr:cNvSpPr txBox="1"/>
      </cdr:nvSpPr>
      <cdr:spPr>
        <a:xfrm xmlns:a="http://schemas.openxmlformats.org/drawingml/2006/main">
          <a:off x="2809876" y="1736185"/>
          <a:ext cx="781248" cy="18786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Q (rooms)</a:t>
          </a:r>
        </a:p>
      </cdr:txBody>
    </cdr:sp>
  </cdr:relSizeAnchor>
  <cdr:relSizeAnchor xmlns:cdr="http://schemas.openxmlformats.org/drawingml/2006/chartDrawing">
    <cdr:from>
      <cdr:x>0.02051</cdr:x>
      <cdr:y>0.03382</cdr:y>
    </cdr:from>
    <cdr:to>
      <cdr:x>0.24615</cdr:x>
      <cdr:y>0.14976</cdr:y>
    </cdr:to>
    <cdr:sp macro="" textlink="">
      <cdr:nvSpPr>
        <cdr:cNvPr id="7" name="TextBox 6"/>
        <cdr:cNvSpPr txBox="1"/>
      </cdr:nvSpPr>
      <cdr:spPr>
        <a:xfrm xmlns:a="http://schemas.openxmlformats.org/drawingml/2006/main">
          <a:off x="76200" y="66675"/>
          <a:ext cx="8382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 ($/room)</a:t>
          </a:r>
        </a:p>
      </cdr:txBody>
    </cdr:sp>
  </cdr:relSizeAnchor>
  <cdr:relSizeAnchor xmlns:cdr="http://schemas.openxmlformats.org/drawingml/2006/chartDrawing">
    <cdr:from>
      <cdr:x>0.38339</cdr:x>
      <cdr:y>0.05249</cdr:y>
    </cdr:from>
    <cdr:to>
      <cdr:x>0.93173</cdr:x>
      <cdr:y>0.16425</cdr:y>
    </cdr:to>
    <cdr:sp macro="" textlink="">
      <cdr:nvSpPr>
        <cdr:cNvPr id="8" name="TextBox 7"/>
        <cdr:cNvSpPr txBox="1"/>
      </cdr:nvSpPr>
      <cdr:spPr>
        <a:xfrm xmlns:a="http://schemas.openxmlformats.org/drawingml/2006/main">
          <a:off x="1424189" y="103499"/>
          <a:ext cx="2036942" cy="2203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The Market for</a:t>
          </a:r>
          <a:r>
            <a:rPr lang="en-CA" sz="1100" baseline="0"/>
            <a:t> Hotel Rooms</a:t>
          </a:r>
          <a:endParaRPr lang="en-CA" sz="1100"/>
        </a:p>
      </cdr:txBody>
    </cdr:sp>
  </cdr:relSizeAnchor>
  <cdr:relSizeAnchor xmlns:cdr="http://schemas.openxmlformats.org/drawingml/2006/chartDrawing">
    <cdr:from>
      <cdr:x>0.2309</cdr:x>
      <cdr:y>0.29464</cdr:y>
    </cdr:from>
    <cdr:to>
      <cdr:x>0.59549</cdr:x>
      <cdr:y>0.78571</cdr:y>
    </cdr:to>
    <cdr:sp macro="" textlink="">
      <cdr:nvSpPr>
        <cdr:cNvPr id="10" name="Straight Connector 9"/>
        <cdr:cNvSpPr/>
      </cdr:nvSpPr>
      <cdr:spPr>
        <a:xfrm xmlns:a="http://schemas.openxmlformats.org/drawingml/2006/main" flipV="1">
          <a:off x="1266825" y="942975"/>
          <a:ext cx="2000250" cy="15716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0.59549</cdr:x>
      <cdr:y>0.21131</cdr:y>
    </cdr:from>
    <cdr:to>
      <cdr:x>0.66923</cdr:x>
      <cdr:y>0.33816</cdr:y>
    </cdr:to>
    <cdr:sp macro="" textlink="">
      <cdr:nvSpPr>
        <cdr:cNvPr id="11" name="TextBox 10"/>
        <cdr:cNvSpPr txBox="1"/>
      </cdr:nvSpPr>
      <cdr:spPr>
        <a:xfrm xmlns:a="http://schemas.openxmlformats.org/drawingml/2006/main">
          <a:off x="2212082" y="416634"/>
          <a:ext cx="273944" cy="25011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baseline="0"/>
            <a:t>S</a:t>
          </a:r>
          <a:endParaRPr lang="en-CA" sz="1100"/>
        </a:p>
      </cdr:txBody>
    </cdr:sp>
  </cdr:relSizeAnchor>
  <cdr:relSizeAnchor xmlns:cdr="http://schemas.openxmlformats.org/drawingml/2006/chartDrawing">
    <cdr:from>
      <cdr:x>0.26632</cdr:x>
      <cdr:y>0.23671</cdr:y>
    </cdr:from>
    <cdr:to>
      <cdr:x>0.7154</cdr:x>
      <cdr:y>0.61353</cdr:y>
    </cdr:to>
    <cdr:sp macro="" textlink="">
      <cdr:nvSpPr>
        <cdr:cNvPr id="13" name="Straight Connector 12"/>
        <cdr:cNvSpPr/>
      </cdr:nvSpPr>
      <cdr:spPr>
        <a:xfrm xmlns:a="http://schemas.openxmlformats.org/drawingml/2006/main">
          <a:off x="971550" y="466725"/>
          <a:ext cx="1638300" cy="7429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0.72324</cdr:x>
      <cdr:y>0.56039</cdr:y>
    </cdr:from>
    <cdr:to>
      <cdr:x>0.84595</cdr:x>
      <cdr:y>0.69565</cdr:y>
    </cdr:to>
    <cdr:sp macro="" textlink="">
      <cdr:nvSpPr>
        <cdr:cNvPr id="14" name="TextBox 13"/>
        <cdr:cNvSpPr txBox="1"/>
      </cdr:nvSpPr>
      <cdr:spPr>
        <a:xfrm xmlns:a="http://schemas.openxmlformats.org/drawingml/2006/main">
          <a:off x="2638425" y="1104900"/>
          <a:ext cx="4476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D</a:t>
          </a:r>
        </a:p>
      </cdr:txBody>
    </cdr:sp>
  </cdr:relSizeAnchor>
  <cdr:relSizeAnchor xmlns:cdr="http://schemas.openxmlformats.org/drawingml/2006/chartDrawing">
    <cdr:from>
      <cdr:x>0.17436</cdr:x>
      <cdr:y>0.40097</cdr:y>
    </cdr:from>
    <cdr:to>
      <cdr:x>0.67692</cdr:x>
      <cdr:y>0.70531</cdr:y>
    </cdr:to>
    <cdr:sp macro="" textlink="">
      <cdr:nvSpPr>
        <cdr:cNvPr id="16" name="Straight Connector 15"/>
        <cdr:cNvSpPr/>
      </cdr:nvSpPr>
      <cdr:spPr>
        <a:xfrm xmlns:a="http://schemas.openxmlformats.org/drawingml/2006/main">
          <a:off x="647700" y="790575"/>
          <a:ext cx="1866900" cy="600076"/>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0.67344</cdr:x>
      <cdr:y>0.69082</cdr:y>
    </cdr:from>
    <cdr:to>
      <cdr:x>0.77436</cdr:x>
      <cdr:y>0.82609</cdr:y>
    </cdr:to>
    <cdr:sp macro="" textlink="">
      <cdr:nvSpPr>
        <cdr:cNvPr id="17" name="TextBox 16"/>
        <cdr:cNvSpPr txBox="1"/>
      </cdr:nvSpPr>
      <cdr:spPr>
        <a:xfrm xmlns:a="http://schemas.openxmlformats.org/drawingml/2006/main">
          <a:off x="2501668" y="1362074"/>
          <a:ext cx="374882" cy="2667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DT</a:t>
          </a:r>
        </a:p>
      </cdr:txBody>
    </cdr:sp>
  </cdr:relSizeAnchor>
  <cdr:relSizeAnchor xmlns:cdr="http://schemas.openxmlformats.org/drawingml/2006/chartDrawing">
    <cdr:from>
      <cdr:x>0.49347</cdr:x>
      <cdr:y>0.42995</cdr:y>
    </cdr:from>
    <cdr:to>
      <cdr:x>0.49608</cdr:x>
      <cdr:y>0.87923</cdr:y>
    </cdr:to>
    <cdr:sp macro="" textlink="">
      <cdr:nvSpPr>
        <cdr:cNvPr id="19" name="Straight Connector 18"/>
        <cdr:cNvSpPr/>
      </cdr:nvSpPr>
      <cdr:spPr>
        <a:xfrm xmlns:a="http://schemas.openxmlformats.org/drawingml/2006/main">
          <a:off x="1800225" y="847725"/>
          <a:ext cx="9526" cy="885825"/>
        </a:xfrm>
        <a:prstGeom xmlns:a="http://schemas.openxmlformats.org/drawingml/2006/main" prst="line">
          <a:avLst/>
        </a:prstGeom>
        <a:ln xmlns:a="http://schemas.openxmlformats.org/drawingml/2006/main">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0.09922</cdr:x>
      <cdr:y>0.41546</cdr:y>
    </cdr:from>
    <cdr:to>
      <cdr:x>0.48825</cdr:x>
      <cdr:y>0.42512</cdr:y>
    </cdr:to>
    <cdr:sp macro="" textlink="">
      <cdr:nvSpPr>
        <cdr:cNvPr id="21" name="Straight Connector 20"/>
        <cdr:cNvSpPr/>
      </cdr:nvSpPr>
      <cdr:spPr>
        <a:xfrm xmlns:a="http://schemas.openxmlformats.org/drawingml/2006/main" flipH="1" flipV="1">
          <a:off x="361949" y="819150"/>
          <a:ext cx="1419225" cy="19050"/>
        </a:xfrm>
        <a:prstGeom xmlns:a="http://schemas.openxmlformats.org/drawingml/2006/main" prst="line">
          <a:avLst/>
        </a:prstGeom>
        <a:ln xmlns:a="http://schemas.openxmlformats.org/drawingml/2006/main">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0.29952</cdr:y>
    </cdr:from>
    <cdr:to>
      <cdr:x>0.09138</cdr:x>
      <cdr:y>0.41546</cdr:y>
    </cdr:to>
    <cdr:sp macro="" textlink="">
      <cdr:nvSpPr>
        <cdr:cNvPr id="23" name="TextBox 22"/>
        <cdr:cNvSpPr txBox="1"/>
      </cdr:nvSpPr>
      <cdr:spPr>
        <a:xfrm xmlns:a="http://schemas.openxmlformats.org/drawingml/2006/main">
          <a:off x="0" y="590550"/>
          <a:ext cx="333376"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PC</a:t>
          </a:r>
        </a:p>
      </cdr:txBody>
    </cdr:sp>
  </cdr:relSizeAnchor>
  <cdr:relSizeAnchor xmlns:cdr="http://schemas.openxmlformats.org/drawingml/2006/chartDrawing">
    <cdr:from>
      <cdr:x>0</cdr:x>
      <cdr:y>0.49275</cdr:y>
    </cdr:from>
    <cdr:to>
      <cdr:x>0.09138</cdr:x>
      <cdr:y>0.6087</cdr:y>
    </cdr:to>
    <cdr:sp macro="" textlink="">
      <cdr:nvSpPr>
        <cdr:cNvPr id="24" name="TextBox 1"/>
        <cdr:cNvSpPr txBox="1"/>
      </cdr:nvSpPr>
      <cdr:spPr>
        <a:xfrm xmlns:a="http://schemas.openxmlformats.org/drawingml/2006/main">
          <a:off x="0" y="971550"/>
          <a:ext cx="333376" cy="2286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PP</a:t>
          </a:r>
        </a:p>
      </cdr:txBody>
    </cdr:sp>
  </cdr:relSizeAnchor>
  <cdr:relSizeAnchor xmlns:cdr="http://schemas.openxmlformats.org/drawingml/2006/chartDrawing">
    <cdr:from>
      <cdr:x>0.35509</cdr:x>
      <cdr:y>0.8744</cdr:y>
    </cdr:from>
    <cdr:to>
      <cdr:x>0.45692</cdr:x>
      <cdr:y>1</cdr:y>
    </cdr:to>
    <cdr:sp macro="" textlink="">
      <cdr:nvSpPr>
        <cdr:cNvPr id="25" name="TextBox 24"/>
        <cdr:cNvSpPr txBox="1"/>
      </cdr:nvSpPr>
      <cdr:spPr>
        <a:xfrm xmlns:a="http://schemas.openxmlformats.org/drawingml/2006/main">
          <a:off x="1295400" y="1724025"/>
          <a:ext cx="37147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QT</a:t>
          </a:r>
        </a:p>
      </cdr:txBody>
    </cdr:sp>
  </cdr:relSizeAnchor>
  <cdr:relSizeAnchor xmlns:cdr="http://schemas.openxmlformats.org/drawingml/2006/chartDrawing">
    <cdr:from>
      <cdr:x>0.44909</cdr:x>
      <cdr:y>0.8744</cdr:y>
    </cdr:from>
    <cdr:to>
      <cdr:x>0.55091</cdr:x>
      <cdr:y>1</cdr:y>
    </cdr:to>
    <cdr:sp macro="" textlink="">
      <cdr:nvSpPr>
        <cdr:cNvPr id="26" name="TextBox 1"/>
        <cdr:cNvSpPr txBox="1"/>
      </cdr:nvSpPr>
      <cdr:spPr>
        <a:xfrm xmlns:a="http://schemas.openxmlformats.org/drawingml/2006/main">
          <a:off x="1638300" y="1724025"/>
          <a:ext cx="371475" cy="24765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Q*</a:t>
          </a:r>
        </a:p>
      </cdr:txBody>
    </cdr:sp>
  </cdr:relSizeAnchor>
  <cdr:relSizeAnchor xmlns:cdr="http://schemas.openxmlformats.org/drawingml/2006/chartDrawing">
    <cdr:from>
      <cdr:x>0</cdr:x>
      <cdr:y>0.36715</cdr:y>
    </cdr:from>
    <cdr:to>
      <cdr:x>0.10183</cdr:x>
      <cdr:y>0.4686</cdr:y>
    </cdr:to>
    <cdr:sp macro="" textlink="">
      <cdr:nvSpPr>
        <cdr:cNvPr id="27" name="TextBox 26"/>
        <cdr:cNvSpPr txBox="1"/>
      </cdr:nvSpPr>
      <cdr:spPr>
        <a:xfrm xmlns:a="http://schemas.openxmlformats.org/drawingml/2006/main">
          <a:off x="0" y="723900"/>
          <a:ext cx="371474"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a:t>
          </a:r>
        </a:p>
      </cdr:txBody>
    </cdr:sp>
  </cdr:relSizeAnchor>
  <cdr:relSizeAnchor xmlns:cdr="http://schemas.openxmlformats.org/drawingml/2006/chartDrawing">
    <cdr:from>
      <cdr:x>0.08974</cdr:x>
      <cdr:y>0.19807</cdr:y>
    </cdr:from>
    <cdr:to>
      <cdr:x>0.09231</cdr:x>
      <cdr:y>0.88889</cdr:y>
    </cdr:to>
    <cdr:sp macro="" textlink="">
      <cdr:nvSpPr>
        <cdr:cNvPr id="29" name="Straight Arrow Connector 28"/>
        <cdr:cNvSpPr/>
      </cdr:nvSpPr>
      <cdr:spPr>
        <a:xfrm xmlns:a="http://schemas.openxmlformats.org/drawingml/2006/main" flipV="1">
          <a:off x="333375" y="390525"/>
          <a:ext cx="9525" cy="136207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0.24615</cdr:x>
      <cdr:y>0.8744</cdr:y>
    </cdr:from>
    <cdr:to>
      <cdr:x>0.39231</cdr:x>
      <cdr:y>1</cdr:y>
    </cdr:to>
    <cdr:sp macro="" textlink="">
      <cdr:nvSpPr>
        <cdr:cNvPr id="35" name="TextBox 1"/>
        <cdr:cNvSpPr txBox="1"/>
      </cdr:nvSpPr>
      <cdr:spPr>
        <a:xfrm xmlns:a="http://schemas.openxmlformats.org/drawingml/2006/main">
          <a:off x="914399" y="1724025"/>
          <a:ext cx="542925" cy="24765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QTLR</a:t>
          </a:r>
        </a:p>
      </cdr:txBody>
    </cdr:sp>
  </cdr:relSizeAnchor>
  <cdr:relSizeAnchor xmlns:cdr="http://schemas.openxmlformats.org/drawingml/2006/chartDrawing">
    <cdr:from>
      <cdr:x>0.21795</cdr:x>
      <cdr:y>0.27053</cdr:y>
    </cdr:from>
    <cdr:to>
      <cdr:x>0.45897</cdr:x>
      <cdr:y>0.70048</cdr:y>
    </cdr:to>
    <cdr:sp macro="" textlink="">
      <cdr:nvSpPr>
        <cdr:cNvPr id="28" name="Straight Connector 27"/>
        <cdr:cNvSpPr/>
      </cdr:nvSpPr>
      <cdr:spPr>
        <a:xfrm xmlns:a="http://schemas.openxmlformats.org/drawingml/2006/main" flipV="1">
          <a:off x="809625" y="533400"/>
          <a:ext cx="895350" cy="8477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0.45128</cdr:x>
      <cdr:y>0.17874</cdr:y>
    </cdr:from>
    <cdr:to>
      <cdr:x>0.54359</cdr:x>
      <cdr:y>0.29469</cdr:y>
    </cdr:to>
    <cdr:sp macro="" textlink="">
      <cdr:nvSpPr>
        <cdr:cNvPr id="30" name="TextBox 29"/>
        <cdr:cNvSpPr txBox="1"/>
      </cdr:nvSpPr>
      <cdr:spPr>
        <a:xfrm xmlns:a="http://schemas.openxmlformats.org/drawingml/2006/main">
          <a:off x="1676400" y="352425"/>
          <a:ext cx="3429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ST</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3C1CDBF-51D5-483D-9973-D84164CBE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Lenjosek</dc:creator>
  <cp:lastModifiedBy>Lenjosek</cp:lastModifiedBy>
  <cp:revision>62</cp:revision>
  <dcterms:created xsi:type="dcterms:W3CDTF">2013-09-21T13:05:00Z</dcterms:created>
  <dcterms:modified xsi:type="dcterms:W3CDTF">2013-09-21T15:53:00Z</dcterms:modified>
</cp:coreProperties>
</file>