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6F36" w:rsidRDefault="00146F36" w:rsidP="00A31B4A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Chapter </w:t>
      </w:r>
      <w:r w:rsidR="00A31B4A">
        <w:rPr>
          <w:rFonts w:ascii="Times New Roman" w:hAnsi="Times New Roman" w:cs="Times New Roman"/>
          <w:sz w:val="24"/>
          <w:szCs w:val="24"/>
          <w:lang w:val="en-CA"/>
        </w:rPr>
        <w:t>10</w:t>
      </w:r>
    </w:p>
    <w:p w:rsidR="00A31B4A" w:rsidRDefault="00A31B4A" w:rsidP="00A31B4A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Factors affecting stock option prices</w:t>
      </w:r>
    </w:p>
    <w:p w:rsidR="00A31B4A" w:rsidRDefault="00A31B4A" w:rsidP="00A31B4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Current stock price, S</w:t>
      </w:r>
      <w:r w:rsidRPr="00A31B4A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0</w:t>
      </w:r>
    </w:p>
    <w:p w:rsidR="00A31B4A" w:rsidRDefault="00A31B4A" w:rsidP="00A31B4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Strike price, K</w:t>
      </w:r>
    </w:p>
    <w:p w:rsidR="00A31B4A" w:rsidRDefault="00A31B4A" w:rsidP="00A31B4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Time to expiration, T</w:t>
      </w:r>
    </w:p>
    <w:p w:rsidR="00A31B4A" w:rsidRDefault="00A31B4A" w:rsidP="00A31B4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Volatility of the stock price, σ</w:t>
      </w:r>
    </w:p>
    <w:p w:rsidR="00A31B4A" w:rsidRDefault="00A31B4A" w:rsidP="00A31B4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Risk-free interest rate, </w:t>
      </w:r>
      <w:r w:rsidRPr="00A31B4A">
        <w:rPr>
          <w:rFonts w:ascii="Times New Roman" w:hAnsi="Times New Roman" w:cs="Times New Roman"/>
          <w:i/>
          <w:sz w:val="24"/>
          <w:szCs w:val="24"/>
          <w:lang w:val="en-CA"/>
        </w:rPr>
        <w:t>r</w:t>
      </w:r>
    </w:p>
    <w:p w:rsidR="00A31B4A" w:rsidRDefault="00A31B4A" w:rsidP="00A31B4A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Dividends that are expected to be paid</w:t>
      </w:r>
    </w:p>
    <w:p w:rsidR="00A31B4A" w:rsidRDefault="00A31B4A" w:rsidP="00A31B4A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Effect on the price of a stock option of increasing one variable while keeping all others fixed</w:t>
      </w:r>
    </w:p>
    <w:tbl>
      <w:tblPr>
        <w:tblStyle w:val="Grilledutableau"/>
        <w:tblpPr w:leftFromText="141" w:rightFromText="141" w:vertAnchor="text" w:horzAnchor="margin" w:tblpXSpec="right" w:tblpY="18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1724"/>
        <w:gridCol w:w="2050"/>
        <w:gridCol w:w="2050"/>
        <w:gridCol w:w="2050"/>
      </w:tblGrid>
      <w:tr w:rsidR="00A31B4A" w:rsidTr="00A31B4A">
        <w:trPr>
          <w:trHeight w:val="288"/>
        </w:trPr>
        <w:tc>
          <w:tcPr>
            <w:tcW w:w="2376" w:type="dxa"/>
            <w:tcBorders>
              <w:bottom w:val="single" w:sz="4" w:space="0" w:color="auto"/>
            </w:tcBorders>
          </w:tcPr>
          <w:p w:rsidR="00A31B4A" w:rsidRPr="00A31B4A" w:rsidRDefault="00A31B4A" w:rsidP="00A31B4A">
            <w:pPr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</w:pPr>
            <w:r w:rsidRPr="00A31B4A"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  <w:t>Variable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vAlign w:val="center"/>
          </w:tcPr>
          <w:p w:rsidR="00A31B4A" w:rsidRPr="00A31B4A" w:rsidRDefault="00A31B4A" w:rsidP="00A31B4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</w:pPr>
            <w:r w:rsidRPr="00A31B4A"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  <w:t>European call</w:t>
            </w:r>
          </w:p>
        </w:tc>
        <w:tc>
          <w:tcPr>
            <w:tcW w:w="2050" w:type="dxa"/>
            <w:tcBorders>
              <w:bottom w:val="single" w:sz="4" w:space="0" w:color="auto"/>
            </w:tcBorders>
            <w:vAlign w:val="center"/>
          </w:tcPr>
          <w:p w:rsidR="00A31B4A" w:rsidRPr="00A31B4A" w:rsidRDefault="00A31B4A" w:rsidP="00A31B4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</w:pPr>
            <w:r w:rsidRPr="00A31B4A"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  <w:t>European put</w:t>
            </w:r>
          </w:p>
        </w:tc>
        <w:tc>
          <w:tcPr>
            <w:tcW w:w="2050" w:type="dxa"/>
            <w:tcBorders>
              <w:bottom w:val="single" w:sz="4" w:space="0" w:color="auto"/>
            </w:tcBorders>
            <w:vAlign w:val="center"/>
          </w:tcPr>
          <w:p w:rsidR="00A31B4A" w:rsidRPr="00A31B4A" w:rsidRDefault="00A31B4A" w:rsidP="00A31B4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</w:pPr>
            <w:r w:rsidRPr="00A31B4A"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  <w:t>American call</w:t>
            </w:r>
          </w:p>
        </w:tc>
        <w:tc>
          <w:tcPr>
            <w:tcW w:w="2050" w:type="dxa"/>
            <w:tcBorders>
              <w:bottom w:val="single" w:sz="4" w:space="0" w:color="auto"/>
            </w:tcBorders>
            <w:vAlign w:val="center"/>
          </w:tcPr>
          <w:p w:rsidR="00A31B4A" w:rsidRPr="00A31B4A" w:rsidRDefault="00A31B4A" w:rsidP="00A31B4A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</w:pPr>
            <w:r w:rsidRPr="00A31B4A">
              <w:rPr>
                <w:rFonts w:ascii="Times New Roman" w:hAnsi="Times New Roman" w:cs="Times New Roman"/>
                <w:i/>
                <w:sz w:val="24"/>
                <w:szCs w:val="24"/>
                <w:lang w:val="en-CA"/>
              </w:rPr>
              <w:t>American put</w:t>
            </w:r>
          </w:p>
        </w:tc>
      </w:tr>
      <w:tr w:rsidR="00A31B4A" w:rsidTr="00A31B4A">
        <w:trPr>
          <w:trHeight w:val="288"/>
        </w:trPr>
        <w:tc>
          <w:tcPr>
            <w:tcW w:w="2376" w:type="dxa"/>
            <w:tcBorders>
              <w:top w:val="single" w:sz="4" w:space="0" w:color="auto"/>
            </w:tcBorders>
          </w:tcPr>
          <w:p w:rsidR="00A31B4A" w:rsidRDefault="00A31B4A" w:rsidP="00A31B4A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Current stock price</w:t>
            </w:r>
          </w:p>
        </w:tc>
        <w:tc>
          <w:tcPr>
            <w:tcW w:w="1724" w:type="dxa"/>
            <w:tcBorders>
              <w:top w:val="single" w:sz="4" w:space="0" w:color="auto"/>
            </w:tcBorders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  <w:tc>
          <w:tcPr>
            <w:tcW w:w="2050" w:type="dxa"/>
            <w:tcBorders>
              <w:top w:val="single" w:sz="4" w:space="0" w:color="auto"/>
            </w:tcBorders>
            <w:vAlign w:val="center"/>
          </w:tcPr>
          <w:p w:rsidR="00A31B4A" w:rsidRP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–</w:t>
            </w:r>
          </w:p>
        </w:tc>
        <w:tc>
          <w:tcPr>
            <w:tcW w:w="2050" w:type="dxa"/>
            <w:tcBorders>
              <w:top w:val="single" w:sz="4" w:space="0" w:color="auto"/>
            </w:tcBorders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  <w:tc>
          <w:tcPr>
            <w:tcW w:w="2050" w:type="dxa"/>
            <w:tcBorders>
              <w:top w:val="single" w:sz="4" w:space="0" w:color="auto"/>
            </w:tcBorders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–</w:t>
            </w:r>
          </w:p>
        </w:tc>
      </w:tr>
      <w:tr w:rsidR="00A31B4A" w:rsidTr="00A31B4A">
        <w:trPr>
          <w:trHeight w:val="288"/>
        </w:trPr>
        <w:tc>
          <w:tcPr>
            <w:tcW w:w="2376" w:type="dxa"/>
          </w:tcPr>
          <w:p w:rsidR="00A31B4A" w:rsidRDefault="00A31B4A" w:rsidP="00A31B4A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Strike price</w:t>
            </w:r>
          </w:p>
        </w:tc>
        <w:tc>
          <w:tcPr>
            <w:tcW w:w="1724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–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–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</w:tr>
      <w:tr w:rsidR="00A31B4A" w:rsidTr="00A31B4A">
        <w:trPr>
          <w:trHeight w:val="288"/>
        </w:trPr>
        <w:tc>
          <w:tcPr>
            <w:tcW w:w="2376" w:type="dxa"/>
          </w:tcPr>
          <w:p w:rsidR="00A31B4A" w:rsidRDefault="00A31B4A" w:rsidP="00A31B4A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Time to expiration</w:t>
            </w:r>
          </w:p>
        </w:tc>
        <w:tc>
          <w:tcPr>
            <w:tcW w:w="1724" w:type="dxa"/>
            <w:vAlign w:val="center"/>
          </w:tcPr>
          <w:p w:rsidR="00A31B4A" w:rsidRDefault="005F65E6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?</w:t>
            </w:r>
          </w:p>
        </w:tc>
        <w:tc>
          <w:tcPr>
            <w:tcW w:w="2050" w:type="dxa"/>
            <w:vAlign w:val="center"/>
          </w:tcPr>
          <w:p w:rsidR="00A31B4A" w:rsidRDefault="005F65E6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?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</w:tr>
      <w:tr w:rsidR="00A31B4A" w:rsidTr="00A31B4A">
        <w:trPr>
          <w:trHeight w:val="288"/>
        </w:trPr>
        <w:tc>
          <w:tcPr>
            <w:tcW w:w="2376" w:type="dxa"/>
          </w:tcPr>
          <w:p w:rsidR="00A31B4A" w:rsidRDefault="00A31B4A" w:rsidP="00A31B4A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Volatility</w:t>
            </w:r>
          </w:p>
        </w:tc>
        <w:tc>
          <w:tcPr>
            <w:tcW w:w="1724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</w:tr>
      <w:tr w:rsidR="00A31B4A" w:rsidTr="00A31B4A">
        <w:trPr>
          <w:trHeight w:val="288"/>
        </w:trPr>
        <w:tc>
          <w:tcPr>
            <w:tcW w:w="2376" w:type="dxa"/>
          </w:tcPr>
          <w:p w:rsidR="00A31B4A" w:rsidRDefault="00A31B4A" w:rsidP="00A31B4A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Risk-free rate</w:t>
            </w:r>
          </w:p>
        </w:tc>
        <w:tc>
          <w:tcPr>
            <w:tcW w:w="1724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–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  <w:tc>
          <w:tcPr>
            <w:tcW w:w="2050" w:type="dxa"/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–</w:t>
            </w:r>
          </w:p>
        </w:tc>
      </w:tr>
      <w:tr w:rsidR="00A31B4A" w:rsidTr="00A31B4A">
        <w:trPr>
          <w:trHeight w:val="304"/>
        </w:trPr>
        <w:tc>
          <w:tcPr>
            <w:tcW w:w="2376" w:type="dxa"/>
            <w:tcBorders>
              <w:bottom w:val="single" w:sz="4" w:space="0" w:color="auto"/>
            </w:tcBorders>
          </w:tcPr>
          <w:p w:rsidR="00A31B4A" w:rsidRDefault="00A31B4A" w:rsidP="00A31B4A">
            <w:pPr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Amount of future dividends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–</w:t>
            </w:r>
          </w:p>
        </w:tc>
        <w:tc>
          <w:tcPr>
            <w:tcW w:w="2050" w:type="dxa"/>
            <w:tcBorders>
              <w:bottom w:val="single" w:sz="4" w:space="0" w:color="auto"/>
            </w:tcBorders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  <w:tc>
          <w:tcPr>
            <w:tcW w:w="2050" w:type="dxa"/>
            <w:tcBorders>
              <w:bottom w:val="single" w:sz="4" w:space="0" w:color="auto"/>
            </w:tcBorders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–</w:t>
            </w:r>
          </w:p>
        </w:tc>
        <w:tc>
          <w:tcPr>
            <w:tcW w:w="2050" w:type="dxa"/>
            <w:tcBorders>
              <w:bottom w:val="single" w:sz="4" w:space="0" w:color="auto"/>
            </w:tcBorders>
            <w:vAlign w:val="center"/>
          </w:tcPr>
          <w:p w:rsidR="00A31B4A" w:rsidRDefault="00A31B4A" w:rsidP="00A31B4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C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CA"/>
              </w:rPr>
              <w:t>+</w:t>
            </w:r>
          </w:p>
        </w:tc>
      </w:tr>
    </w:tbl>
    <w:p w:rsidR="00A31B4A" w:rsidRPr="00A31B4A" w:rsidRDefault="00A31B4A" w:rsidP="00A31B4A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</w:p>
    <w:p w:rsidR="00A31B4A" w:rsidRDefault="00A31B4A" w:rsidP="00A31B4A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A31B4A" w:rsidRDefault="00A31B4A" w:rsidP="00A31B4A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A31B4A" w:rsidRDefault="00A31B4A" w:rsidP="00A31B4A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A31B4A" w:rsidRDefault="00A31B4A" w:rsidP="00A31B4A">
      <w:pPr>
        <w:rPr>
          <w:rFonts w:ascii="Times New Roman" w:hAnsi="Times New Roman" w:cs="Times New Roman"/>
          <w:sz w:val="24"/>
          <w:szCs w:val="24"/>
          <w:lang w:val="en-CA"/>
        </w:rPr>
      </w:pPr>
    </w:p>
    <w:p w:rsidR="00A31B4A" w:rsidRDefault="00A9671E" w:rsidP="00A31B4A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Notation</w:t>
      </w:r>
    </w:p>
    <w:p w:rsidR="00A9671E" w:rsidRDefault="00A9671E" w:rsidP="00A9671E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Stock price on the expiration date, S</w:t>
      </w:r>
      <w:r w:rsidRPr="00A9671E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T</w:t>
      </w:r>
    </w:p>
    <w:p w:rsidR="00A9671E" w:rsidRDefault="00A9671E" w:rsidP="00A9671E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Value of American call option, C</w:t>
      </w:r>
    </w:p>
    <w:p w:rsidR="00A9671E" w:rsidRDefault="00A9671E" w:rsidP="00A9671E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Value of American put option, P</w:t>
      </w:r>
    </w:p>
    <w:p w:rsidR="00A9671E" w:rsidRDefault="00A9671E" w:rsidP="00A9671E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Value of European call option, c</w:t>
      </w:r>
    </w:p>
    <w:p w:rsidR="00A9671E" w:rsidRDefault="00A9671E" w:rsidP="00A9671E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Value of European put option, p</w:t>
      </w:r>
    </w:p>
    <w:p w:rsidR="00D61970" w:rsidRDefault="00D61970" w:rsidP="00A9671E">
      <w:pPr>
        <w:pStyle w:val="Paragraphedeliste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PV of the dividends during the life of the option, D</w:t>
      </w:r>
    </w:p>
    <w:p w:rsidR="00A9671E" w:rsidRDefault="00A9671E" w:rsidP="00A9671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Upper bounds</w:t>
      </w:r>
    </w:p>
    <w:p w:rsidR="00A9671E" w:rsidRPr="00B93DDE" w:rsidRDefault="00A9671E" w:rsidP="00A9671E">
      <w:pPr>
        <w:rPr>
          <w:rFonts w:ascii="Times New Roman" w:hAnsi="Times New Roman" w:cs="Times New Roman"/>
          <w:sz w:val="24"/>
          <w:szCs w:val="24"/>
          <w:highlight w:val="yellow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c</w:t>
      </w:r>
      <w:proofErr w:type="gramEnd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≤ S</w:t>
      </w:r>
      <w:r w:rsidRPr="00B93DDE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0</w:t>
      </w:r>
    </w:p>
    <w:p w:rsidR="00A9671E" w:rsidRDefault="00A9671E" w:rsidP="00A9671E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B93DDE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C ≤ S</w:t>
      </w:r>
      <w:r w:rsidRPr="00B93DDE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0</w:t>
      </w:r>
    </w:p>
    <w:p w:rsidR="00A9671E" w:rsidRDefault="00A9671E" w:rsidP="00A9671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If this were not true, arbitrageur could make riskless profit by buying stock and selling call option</w:t>
      </w:r>
    </w:p>
    <w:p w:rsidR="00A9671E" w:rsidRDefault="00A9671E" w:rsidP="00A9671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P ≤ K</w:t>
      </w:r>
    </w:p>
    <w:p w:rsidR="00A9671E" w:rsidRDefault="00A9671E" w:rsidP="00A9671E">
      <w:pPr>
        <w:rPr>
          <w:rFonts w:ascii="Times New Roman" w:hAnsi="Times New Roman" w:cs="Times New Roman"/>
          <w:sz w:val="24"/>
          <w:szCs w:val="24"/>
          <w:vertAlign w:val="superscript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p</w:t>
      </w:r>
      <w:proofErr w:type="gramEnd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≤ </w:t>
      </w:r>
      <w:proofErr w:type="spellStart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Ke</w:t>
      </w:r>
      <w:r w:rsidRPr="00B93DDE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n-CA"/>
        </w:rPr>
        <w:t>–rT</w:t>
      </w:r>
      <w:proofErr w:type="spellEnd"/>
    </w:p>
    <w:p w:rsidR="00A9671E" w:rsidRDefault="00A9671E" w:rsidP="00A9671E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If this were not true, arbitrageur could make riskless profit by writing (selling) option and investing proceeds of sale at risk-free rate</w:t>
      </w:r>
    </w:p>
    <w:p w:rsidR="00977061" w:rsidRDefault="00977061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br w:type="page"/>
      </w:r>
    </w:p>
    <w:p w:rsidR="00B7732F" w:rsidRDefault="00B7732F" w:rsidP="00B7732F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lastRenderedPageBreak/>
        <w:t>Lower bound</w:t>
      </w:r>
      <w:r w:rsidR="00D61970">
        <w:rPr>
          <w:rFonts w:ascii="Times New Roman" w:hAnsi="Times New Roman" w:cs="Times New Roman"/>
          <w:sz w:val="24"/>
          <w:szCs w:val="24"/>
          <w:lang w:val="en-CA"/>
        </w:rPr>
        <w:t>s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r w:rsidR="001A79E7">
        <w:rPr>
          <w:rFonts w:ascii="Times New Roman" w:hAnsi="Times New Roman" w:cs="Times New Roman"/>
          <w:sz w:val="24"/>
          <w:szCs w:val="24"/>
          <w:lang w:val="en-CA"/>
        </w:rPr>
        <w:t xml:space="preserve">for European options 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on </w:t>
      </w:r>
      <w:r w:rsidRPr="00E80E0D">
        <w:rPr>
          <w:rFonts w:ascii="Times New Roman" w:hAnsi="Times New Roman" w:cs="Times New Roman"/>
          <w:sz w:val="24"/>
          <w:szCs w:val="24"/>
          <w:highlight w:val="cyan"/>
          <w:lang w:val="en-CA"/>
        </w:rPr>
        <w:t>non-dividend</w:t>
      </w:r>
      <w:r w:rsidR="00B93DDE" w:rsidRPr="00E80E0D">
        <w:rPr>
          <w:rFonts w:ascii="Times New Roman" w:hAnsi="Times New Roman" w:cs="Times New Roman"/>
          <w:sz w:val="24"/>
          <w:szCs w:val="24"/>
          <w:highlight w:val="cyan"/>
          <w:lang w:val="en-CA"/>
        </w:rPr>
        <w:t>-</w:t>
      </w:r>
      <w:r w:rsidRPr="00E80E0D">
        <w:rPr>
          <w:rFonts w:ascii="Times New Roman" w:hAnsi="Times New Roman" w:cs="Times New Roman"/>
          <w:sz w:val="24"/>
          <w:szCs w:val="24"/>
          <w:highlight w:val="cyan"/>
          <w:lang w:val="en-CA"/>
        </w:rPr>
        <w:t>paying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stocks</w:t>
      </w:r>
    </w:p>
    <w:p w:rsidR="00B7732F" w:rsidRDefault="00B7732F" w:rsidP="00B7732F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 w:rsidR="001A79E7"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c</w:t>
      </w:r>
      <w:proofErr w:type="gramEnd"/>
      <w:r w:rsidR="001A79E7"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≥</w:t>
      </w:r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</w:t>
      </w:r>
      <w:r w:rsidR="001A79E7"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max (</w:t>
      </w:r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S</w:t>
      </w:r>
      <w:r w:rsidRPr="00B93DDE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0</w:t>
      </w:r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– </w:t>
      </w:r>
      <w:proofErr w:type="spellStart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Ke</w:t>
      </w:r>
      <w:r w:rsidRPr="00B93DDE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n-CA"/>
        </w:rPr>
        <w:t>–rT</w:t>
      </w:r>
      <w:proofErr w:type="spellEnd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</w:t>
      </w:r>
      <w:r w:rsidR="001A79E7"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, 0)</w:t>
      </w:r>
    </w:p>
    <w:p w:rsidR="00B7732F" w:rsidRDefault="00B7732F" w:rsidP="001A79E7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If call price is less, arbitrageur can short the stock, buy the call and invest the proceeds at risk-free rate; </w:t>
      </w:r>
      <w:r w:rsidR="001A79E7">
        <w:rPr>
          <w:rFonts w:ascii="Times New Roman" w:hAnsi="Times New Roman" w:cs="Times New Roman"/>
          <w:sz w:val="24"/>
          <w:szCs w:val="24"/>
          <w:lang w:val="en-CA"/>
        </w:rPr>
        <w:t xml:space="preserve">at expiration date, </w:t>
      </w:r>
      <w:r>
        <w:rPr>
          <w:rFonts w:ascii="Times New Roman" w:hAnsi="Times New Roman" w:cs="Times New Roman"/>
          <w:sz w:val="24"/>
          <w:szCs w:val="24"/>
          <w:lang w:val="en-CA"/>
        </w:rPr>
        <w:t>if stock price &gt; K, exercise option, close short position and make a profit, if stock price &lt; K, buy stock on market to close short position and make a profit</w:t>
      </w:r>
    </w:p>
    <w:p w:rsidR="001A79E7" w:rsidRDefault="001A79E7" w:rsidP="001A79E7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proofErr w:type="gramStart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p</w:t>
      </w:r>
      <w:proofErr w:type="gramEnd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≥ max (</w:t>
      </w:r>
      <w:proofErr w:type="spellStart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Ke</w:t>
      </w:r>
      <w:r w:rsidRPr="00B93DDE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n-CA"/>
        </w:rPr>
        <w:t>–rT</w:t>
      </w:r>
      <w:proofErr w:type="spellEnd"/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– S</w:t>
      </w:r>
      <w:r w:rsidRPr="00B93DDE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0</w:t>
      </w:r>
      <w:r w:rsidRPr="00B93DDE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, 0)</w:t>
      </w:r>
    </w:p>
    <w:p w:rsidR="001A79E7" w:rsidRDefault="001A79E7" w:rsidP="001A79E7">
      <w:pPr>
        <w:ind w:left="708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If put price is less, arbitrageur can borrow to buy stock and put at risk-free rate; at expiration date, if stock price &lt; K, exercise option to sell stock, repay loan and make a profit, if stock price &gt; K, discard option, sell stock, repay loan and make a profit</w:t>
      </w:r>
    </w:p>
    <w:p w:rsidR="00B93DDE" w:rsidRDefault="00B93DDE" w:rsidP="00B93DD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Put-call parity on </w:t>
      </w:r>
      <w:r w:rsidRPr="00E80E0D">
        <w:rPr>
          <w:rFonts w:ascii="Times New Roman" w:hAnsi="Times New Roman" w:cs="Times New Roman"/>
          <w:sz w:val="24"/>
          <w:szCs w:val="24"/>
          <w:highlight w:val="cyan"/>
          <w:lang w:val="en-CA"/>
        </w:rPr>
        <w:t>non-dividend-paying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stocks</w:t>
      </w:r>
    </w:p>
    <w:p w:rsidR="00950AA8" w:rsidRDefault="00950AA8" w:rsidP="00B93DD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European options</w:t>
      </w:r>
    </w:p>
    <w:p w:rsidR="00B93DDE" w:rsidRDefault="00B93DDE" w:rsidP="00B93DDE">
      <w:pPr>
        <w:rPr>
          <w:rFonts w:ascii="Times New Roman" w:hAnsi="Times New Roman" w:cs="Times New Roman"/>
          <w:sz w:val="24"/>
          <w:szCs w:val="24"/>
          <w:vertAlign w:val="subscript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="00950AA8"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950AA8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c + </w:t>
      </w:r>
      <w:proofErr w:type="spellStart"/>
      <w:r w:rsidRPr="00950AA8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Ke</w:t>
      </w:r>
      <w:r w:rsidRPr="00950AA8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n-CA"/>
        </w:rPr>
        <w:t>–rT</w:t>
      </w:r>
      <w:proofErr w:type="spellEnd"/>
      <w:r w:rsidRPr="00950AA8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= p + S</w:t>
      </w:r>
      <w:r w:rsidRPr="00950AA8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0</w:t>
      </w:r>
    </w:p>
    <w:p w:rsidR="00950AA8" w:rsidRDefault="00950AA8" w:rsidP="00B93DD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>American options</w:t>
      </w:r>
    </w:p>
    <w:p w:rsidR="00950AA8" w:rsidRDefault="00950AA8" w:rsidP="00B93DDE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S</w:t>
      </w:r>
      <w:r w:rsidRPr="00950AA8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0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– K ≤ C – P ≤ S</w:t>
      </w:r>
      <w:r w:rsidRPr="00950AA8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0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Ke</w:t>
      </w:r>
      <w:r w:rsidRPr="00950AA8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–rT</w:t>
      </w:r>
      <w:proofErr w:type="spellEnd"/>
    </w:p>
    <w:p w:rsidR="00D61970" w:rsidRDefault="00D61970" w:rsidP="00D61970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Lower bounds for American options on </w:t>
      </w:r>
      <w:r w:rsidRPr="00E80E0D">
        <w:rPr>
          <w:rFonts w:ascii="Times New Roman" w:hAnsi="Times New Roman" w:cs="Times New Roman"/>
          <w:sz w:val="24"/>
          <w:szCs w:val="24"/>
          <w:highlight w:val="cyan"/>
          <w:lang w:val="en-CA"/>
        </w:rPr>
        <w:t>non-dividend-paying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stocks</w:t>
      </w:r>
    </w:p>
    <w:p w:rsidR="00950AA8" w:rsidRDefault="00D61970" w:rsidP="00D61970">
      <w:pPr>
        <w:ind w:left="705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American call option are never exercised early when there are no dividends, therefore C = c, and lower bound = </w:t>
      </w:r>
      <w:r w:rsidRPr="00D61970">
        <w:rPr>
          <w:rFonts w:ascii="Times New Roman" w:hAnsi="Times New Roman" w:cs="Times New Roman"/>
          <w:sz w:val="24"/>
          <w:szCs w:val="24"/>
          <w:lang w:val="en-CA"/>
        </w:rPr>
        <w:t>max (S</w:t>
      </w:r>
      <w:r w:rsidRPr="00D61970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0</w:t>
      </w:r>
      <w:r w:rsidRPr="00D61970">
        <w:rPr>
          <w:rFonts w:ascii="Times New Roman" w:hAnsi="Times New Roman" w:cs="Times New Roman"/>
          <w:sz w:val="24"/>
          <w:szCs w:val="24"/>
          <w:lang w:val="en-CA"/>
        </w:rPr>
        <w:t xml:space="preserve"> – </w:t>
      </w:r>
      <w:proofErr w:type="spellStart"/>
      <w:r w:rsidRPr="00D61970">
        <w:rPr>
          <w:rFonts w:ascii="Times New Roman" w:hAnsi="Times New Roman" w:cs="Times New Roman"/>
          <w:sz w:val="24"/>
          <w:szCs w:val="24"/>
          <w:lang w:val="en-CA"/>
        </w:rPr>
        <w:t>Ke</w:t>
      </w:r>
      <w:r w:rsidRPr="00D61970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–</w:t>
      </w:r>
      <w:proofErr w:type="gramStart"/>
      <w:r w:rsidRPr="00D61970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rT</w:t>
      </w:r>
      <w:proofErr w:type="spellEnd"/>
      <w:r w:rsidRPr="00D61970">
        <w:rPr>
          <w:rFonts w:ascii="Times New Roman" w:hAnsi="Times New Roman" w:cs="Times New Roman"/>
          <w:sz w:val="24"/>
          <w:szCs w:val="24"/>
          <w:lang w:val="en-CA"/>
        </w:rPr>
        <w:t xml:space="preserve"> ,</w:t>
      </w:r>
      <w:proofErr w:type="gramEnd"/>
      <w:r w:rsidRPr="00D61970">
        <w:rPr>
          <w:rFonts w:ascii="Times New Roman" w:hAnsi="Times New Roman" w:cs="Times New Roman"/>
          <w:sz w:val="24"/>
          <w:szCs w:val="24"/>
          <w:lang w:val="en-CA"/>
        </w:rPr>
        <w:t xml:space="preserve"> 0)</w:t>
      </w:r>
    </w:p>
    <w:p w:rsidR="00D61970" w:rsidRDefault="00D61970" w:rsidP="00D61970">
      <w:pPr>
        <w:ind w:left="705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Early exercise of an American put option becomes more attractive as S</w:t>
      </w:r>
      <w:r w:rsidRPr="00D61970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0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decreases, as r increases and as volatility decreases, and P ≥ max (K – S</w:t>
      </w:r>
      <w:r w:rsidRPr="00D61970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0</w:t>
      </w:r>
      <w:r>
        <w:rPr>
          <w:rFonts w:ascii="Times New Roman" w:hAnsi="Times New Roman" w:cs="Times New Roman"/>
          <w:sz w:val="24"/>
          <w:szCs w:val="24"/>
          <w:lang w:val="en-CA"/>
        </w:rPr>
        <w:t>, 0)</w:t>
      </w:r>
    </w:p>
    <w:p w:rsidR="00D61970" w:rsidRDefault="00D61970" w:rsidP="00D61970">
      <w:pPr>
        <w:ind w:left="705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N.B.: American put option is always worth more than the corresponding European put option since early exercise is always optimal when stock price is sufficiently low</w:t>
      </w:r>
    </w:p>
    <w:p w:rsidR="00E80E0D" w:rsidRDefault="00E80E0D" w:rsidP="00E80E0D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Lower bounds for </w:t>
      </w:r>
      <w:r w:rsidRPr="00E80E0D">
        <w:rPr>
          <w:rFonts w:ascii="Times New Roman" w:hAnsi="Times New Roman" w:cs="Times New Roman"/>
          <w:sz w:val="24"/>
          <w:szCs w:val="24"/>
          <w:highlight w:val="cyan"/>
          <w:lang w:val="en-CA"/>
        </w:rPr>
        <w:t>dividend paying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stocks</w:t>
      </w:r>
    </w:p>
    <w:p w:rsidR="00E80E0D" w:rsidRPr="00E80E0D" w:rsidRDefault="00E80E0D" w:rsidP="00E80E0D">
      <w:pPr>
        <w:rPr>
          <w:rFonts w:ascii="Times New Roman" w:hAnsi="Times New Roman" w:cs="Times New Roman"/>
          <w:sz w:val="24"/>
          <w:szCs w:val="24"/>
          <w:highlight w:val="yellow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c</w:t>
      </w:r>
      <w:proofErr w:type="gramEnd"/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≥ max (S</w:t>
      </w:r>
      <w:r w:rsidRPr="00E80E0D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0</w:t>
      </w:r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– D – </w:t>
      </w:r>
      <w:proofErr w:type="spellStart"/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Ke</w:t>
      </w:r>
      <w:r w:rsidRPr="00E80E0D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n-CA"/>
        </w:rPr>
        <w:t>–rT</w:t>
      </w:r>
      <w:proofErr w:type="spellEnd"/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, 0)</w:t>
      </w:r>
    </w:p>
    <w:p w:rsidR="00E80E0D" w:rsidRDefault="00E80E0D" w:rsidP="00E80E0D">
      <w:pPr>
        <w:rPr>
          <w:rFonts w:ascii="Times New Roman" w:hAnsi="Times New Roman" w:cs="Times New Roman"/>
          <w:sz w:val="24"/>
          <w:szCs w:val="24"/>
          <w:lang w:val="en-CA"/>
        </w:rPr>
      </w:pPr>
      <w:r w:rsidRPr="00E80E0D">
        <w:rPr>
          <w:rFonts w:ascii="Times New Roman" w:hAnsi="Times New Roman" w:cs="Times New Roman"/>
          <w:sz w:val="24"/>
          <w:szCs w:val="24"/>
          <w:lang w:val="en-CA"/>
        </w:rPr>
        <w:tab/>
      </w:r>
      <w:proofErr w:type="gramStart"/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p</w:t>
      </w:r>
      <w:proofErr w:type="gramEnd"/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≥ max (D + </w:t>
      </w:r>
      <w:proofErr w:type="spellStart"/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Ke</w:t>
      </w:r>
      <w:r w:rsidRPr="00E80E0D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n-CA"/>
        </w:rPr>
        <w:t>–rT</w:t>
      </w:r>
      <w:proofErr w:type="spellEnd"/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– S</w:t>
      </w:r>
      <w:r w:rsidRPr="00E80E0D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0</w:t>
      </w:r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, 0)</w:t>
      </w:r>
    </w:p>
    <w:p w:rsidR="00E80E0D" w:rsidRDefault="00E80E0D" w:rsidP="00E80E0D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 xml:space="preserve">Put-call parity on </w:t>
      </w:r>
      <w:r w:rsidRPr="00E80E0D">
        <w:rPr>
          <w:rFonts w:ascii="Times New Roman" w:hAnsi="Times New Roman" w:cs="Times New Roman"/>
          <w:sz w:val="24"/>
          <w:szCs w:val="24"/>
          <w:highlight w:val="cyan"/>
          <w:lang w:val="en-CA"/>
        </w:rPr>
        <w:t>dividend paying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stocks</w:t>
      </w:r>
    </w:p>
    <w:p w:rsidR="00E80E0D" w:rsidRDefault="00E80E0D" w:rsidP="00E80E0D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European options</w:t>
      </w:r>
    </w:p>
    <w:p w:rsidR="00E80E0D" w:rsidRDefault="00E80E0D" w:rsidP="00E80E0D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</w:r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c + D + </w:t>
      </w:r>
      <w:proofErr w:type="spellStart"/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>Ke</w:t>
      </w:r>
      <w:r w:rsidRPr="00E80E0D">
        <w:rPr>
          <w:rFonts w:ascii="Times New Roman" w:hAnsi="Times New Roman" w:cs="Times New Roman"/>
          <w:sz w:val="24"/>
          <w:szCs w:val="24"/>
          <w:highlight w:val="yellow"/>
          <w:vertAlign w:val="superscript"/>
          <w:lang w:val="en-CA"/>
        </w:rPr>
        <w:t>–rT</w:t>
      </w:r>
      <w:proofErr w:type="spellEnd"/>
      <w:r w:rsidRPr="00E80E0D">
        <w:rPr>
          <w:rFonts w:ascii="Times New Roman" w:hAnsi="Times New Roman" w:cs="Times New Roman"/>
          <w:sz w:val="24"/>
          <w:szCs w:val="24"/>
          <w:highlight w:val="yellow"/>
          <w:lang w:val="en-CA"/>
        </w:rPr>
        <w:t xml:space="preserve"> = p + S</w:t>
      </w:r>
      <w:r w:rsidRPr="00E80E0D">
        <w:rPr>
          <w:rFonts w:ascii="Times New Roman" w:hAnsi="Times New Roman" w:cs="Times New Roman"/>
          <w:sz w:val="24"/>
          <w:szCs w:val="24"/>
          <w:highlight w:val="yellow"/>
          <w:vertAlign w:val="subscript"/>
          <w:lang w:val="en-CA"/>
        </w:rPr>
        <w:t>0</w:t>
      </w:r>
    </w:p>
    <w:p w:rsidR="00E80E0D" w:rsidRDefault="00E80E0D" w:rsidP="00E80E0D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  <w:t>American options</w:t>
      </w:r>
    </w:p>
    <w:p w:rsidR="00E80E0D" w:rsidRPr="00950AA8" w:rsidRDefault="00E80E0D" w:rsidP="00E80E0D">
      <w:pPr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ab/>
      </w:r>
      <w:r>
        <w:rPr>
          <w:rFonts w:ascii="Times New Roman" w:hAnsi="Times New Roman" w:cs="Times New Roman"/>
          <w:sz w:val="24"/>
          <w:szCs w:val="24"/>
          <w:lang w:val="en-CA"/>
        </w:rPr>
        <w:tab/>
        <w:t>S</w:t>
      </w:r>
      <w:r w:rsidRPr="00E80E0D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0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– D – K ≤ C – P ≤ S</w:t>
      </w:r>
      <w:r w:rsidRPr="00E80E0D">
        <w:rPr>
          <w:rFonts w:ascii="Times New Roman" w:hAnsi="Times New Roman" w:cs="Times New Roman"/>
          <w:sz w:val="24"/>
          <w:szCs w:val="24"/>
          <w:vertAlign w:val="subscript"/>
          <w:lang w:val="en-CA"/>
        </w:rPr>
        <w:t>0</w:t>
      </w:r>
      <w:r>
        <w:rPr>
          <w:rFonts w:ascii="Times New Roman" w:hAnsi="Times New Roman" w:cs="Times New Roman"/>
          <w:sz w:val="24"/>
          <w:szCs w:val="24"/>
          <w:lang w:val="en-CA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Ke</w:t>
      </w:r>
      <w:r w:rsidRPr="00E80E0D">
        <w:rPr>
          <w:rFonts w:ascii="Times New Roman" w:hAnsi="Times New Roman" w:cs="Times New Roman"/>
          <w:sz w:val="24"/>
          <w:szCs w:val="24"/>
          <w:vertAlign w:val="superscript"/>
          <w:lang w:val="en-CA"/>
        </w:rPr>
        <w:t>–rT</w:t>
      </w:r>
      <w:proofErr w:type="spellEnd"/>
    </w:p>
    <w:sectPr w:rsidR="00E80E0D" w:rsidRPr="00950AA8" w:rsidSect="00146F3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96224"/>
    <w:multiLevelType w:val="hybridMultilevel"/>
    <w:tmpl w:val="3B5A7862"/>
    <w:lvl w:ilvl="0" w:tplc="E00E04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4662217"/>
    <w:multiLevelType w:val="hybridMultilevel"/>
    <w:tmpl w:val="58901F0E"/>
    <w:lvl w:ilvl="0" w:tplc="4AD6696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785" w:hanging="360"/>
      </w:pPr>
    </w:lvl>
    <w:lvl w:ilvl="2" w:tplc="0C0C001B" w:tentative="1">
      <w:start w:val="1"/>
      <w:numFmt w:val="lowerRoman"/>
      <w:lvlText w:val="%3."/>
      <w:lvlJc w:val="right"/>
      <w:pPr>
        <w:ind w:left="2505" w:hanging="180"/>
      </w:pPr>
    </w:lvl>
    <w:lvl w:ilvl="3" w:tplc="0C0C000F" w:tentative="1">
      <w:start w:val="1"/>
      <w:numFmt w:val="decimal"/>
      <w:lvlText w:val="%4."/>
      <w:lvlJc w:val="left"/>
      <w:pPr>
        <w:ind w:left="3225" w:hanging="360"/>
      </w:pPr>
    </w:lvl>
    <w:lvl w:ilvl="4" w:tplc="0C0C0019" w:tentative="1">
      <w:start w:val="1"/>
      <w:numFmt w:val="lowerLetter"/>
      <w:lvlText w:val="%5."/>
      <w:lvlJc w:val="left"/>
      <w:pPr>
        <w:ind w:left="3945" w:hanging="360"/>
      </w:pPr>
    </w:lvl>
    <w:lvl w:ilvl="5" w:tplc="0C0C001B" w:tentative="1">
      <w:start w:val="1"/>
      <w:numFmt w:val="lowerRoman"/>
      <w:lvlText w:val="%6."/>
      <w:lvlJc w:val="right"/>
      <w:pPr>
        <w:ind w:left="4665" w:hanging="180"/>
      </w:pPr>
    </w:lvl>
    <w:lvl w:ilvl="6" w:tplc="0C0C000F" w:tentative="1">
      <w:start w:val="1"/>
      <w:numFmt w:val="decimal"/>
      <w:lvlText w:val="%7."/>
      <w:lvlJc w:val="left"/>
      <w:pPr>
        <w:ind w:left="5385" w:hanging="360"/>
      </w:pPr>
    </w:lvl>
    <w:lvl w:ilvl="7" w:tplc="0C0C0019" w:tentative="1">
      <w:start w:val="1"/>
      <w:numFmt w:val="lowerLetter"/>
      <w:lvlText w:val="%8."/>
      <w:lvlJc w:val="left"/>
      <w:pPr>
        <w:ind w:left="6105" w:hanging="360"/>
      </w:pPr>
    </w:lvl>
    <w:lvl w:ilvl="8" w:tplc="0C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6B67500"/>
    <w:multiLevelType w:val="hybridMultilevel"/>
    <w:tmpl w:val="31E43D7A"/>
    <w:lvl w:ilvl="0" w:tplc="29D8D10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651209"/>
    <w:multiLevelType w:val="hybridMultilevel"/>
    <w:tmpl w:val="CCC89EFC"/>
    <w:lvl w:ilvl="0" w:tplc="B01EF0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DE41CD4"/>
    <w:multiLevelType w:val="hybridMultilevel"/>
    <w:tmpl w:val="E84C4C3C"/>
    <w:lvl w:ilvl="0" w:tplc="8750AF4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46F36"/>
    <w:rsid w:val="0013561F"/>
    <w:rsid w:val="00146F36"/>
    <w:rsid w:val="001A79E7"/>
    <w:rsid w:val="005077BD"/>
    <w:rsid w:val="005F65E6"/>
    <w:rsid w:val="00950AA8"/>
    <w:rsid w:val="00977061"/>
    <w:rsid w:val="00A31B4A"/>
    <w:rsid w:val="00A81D69"/>
    <w:rsid w:val="00A9671E"/>
    <w:rsid w:val="00B7732F"/>
    <w:rsid w:val="00B93DDE"/>
    <w:rsid w:val="00D61970"/>
    <w:rsid w:val="00E80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77B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31B4A"/>
    <w:pPr>
      <w:ind w:left="720"/>
      <w:contextualSpacing/>
    </w:pPr>
  </w:style>
  <w:style w:type="table" w:styleId="Grilledutableau">
    <w:name w:val="Table Grid"/>
    <w:basedOn w:val="TableauNormal"/>
    <w:uiPriority w:val="59"/>
    <w:rsid w:val="00A31B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400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Ordi</dc:creator>
  <cp:lastModifiedBy>Ordi</cp:lastModifiedBy>
  <cp:revision>6</cp:revision>
  <cp:lastPrinted>2012-12-20T07:45:00Z</cp:lastPrinted>
  <dcterms:created xsi:type="dcterms:W3CDTF">2012-12-20T04:11:00Z</dcterms:created>
  <dcterms:modified xsi:type="dcterms:W3CDTF">2012-12-20T07:45:00Z</dcterms:modified>
</cp:coreProperties>
</file>