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C1EA11" w14:textId="77777777" w:rsidR="00ED18C0" w:rsidRDefault="00747C0A" w:rsidP="00747C0A">
      <w:pPr>
        <w:pStyle w:val="Sansinterligne"/>
        <w:rPr>
          <w:rFonts w:ascii="Arial" w:hAnsi="Arial" w:cs="Arial"/>
          <w:b/>
          <w:sz w:val="28"/>
          <w:u w:val="single"/>
        </w:rPr>
      </w:pPr>
      <w:r>
        <w:rPr>
          <w:rFonts w:ascii="Arial" w:hAnsi="Arial" w:cs="Arial"/>
          <w:b/>
          <w:sz w:val="28"/>
          <w:u w:val="single"/>
        </w:rPr>
        <w:t>Chapitre 8 : Application : les coûts de la taxation</w:t>
      </w:r>
    </w:p>
    <w:p w14:paraId="4A3D4E17" w14:textId="77777777" w:rsidR="00747C0A" w:rsidRDefault="00880375" w:rsidP="00747C0A">
      <w:pPr>
        <w:pStyle w:val="Sansinterligne"/>
        <w:rPr>
          <w:rFonts w:ascii="Arial" w:hAnsi="Arial" w:cs="Arial"/>
          <w:sz w:val="22"/>
        </w:rPr>
      </w:pPr>
      <w:r>
        <w:rPr>
          <w:rFonts w:ascii="Arial" w:hAnsi="Arial" w:cs="Arial"/>
          <w:sz w:val="22"/>
        </w:rPr>
        <w:t>Nous avons constaté qu’une taxe à la consommation modifie le prix et la quantité vendue d’un produit, alors que le jeu de l’offre et de la demande répartit le fardeau fiscal entre les acheteurs et les vendeurs.</w:t>
      </w:r>
    </w:p>
    <w:p w14:paraId="2CE99FE0" w14:textId="77777777" w:rsidR="00880375" w:rsidRDefault="00880375" w:rsidP="00747C0A">
      <w:pPr>
        <w:pStyle w:val="Sansinterligne"/>
        <w:rPr>
          <w:rFonts w:ascii="Arial" w:hAnsi="Arial" w:cs="Arial"/>
          <w:sz w:val="22"/>
        </w:rPr>
      </w:pPr>
      <w:r>
        <w:rPr>
          <w:rFonts w:ascii="Arial" w:hAnsi="Arial" w:cs="Arial"/>
          <w:sz w:val="22"/>
        </w:rPr>
        <w:t>Notre analyse montrera que les coûts qu’une taxe entraîne pour les acheteurs et les vendeurs excèdent les recettes fiscales perçues par le gouvernement.</w:t>
      </w:r>
    </w:p>
    <w:p w14:paraId="19A70DD9" w14:textId="77777777" w:rsidR="00880375" w:rsidRDefault="00880375" w:rsidP="00747C0A">
      <w:pPr>
        <w:pStyle w:val="Sansinterligne"/>
        <w:rPr>
          <w:rFonts w:ascii="Arial" w:hAnsi="Arial" w:cs="Arial"/>
          <w:sz w:val="22"/>
        </w:rPr>
      </w:pPr>
    </w:p>
    <w:p w14:paraId="38CAFD86" w14:textId="77777777" w:rsidR="00880375" w:rsidRDefault="00880375" w:rsidP="00747C0A">
      <w:pPr>
        <w:pStyle w:val="Sansinterligne"/>
        <w:rPr>
          <w:rFonts w:ascii="Arial" w:hAnsi="Arial" w:cs="Arial"/>
          <w:b/>
        </w:rPr>
      </w:pPr>
      <w:r>
        <w:rPr>
          <w:rFonts w:ascii="Arial" w:hAnsi="Arial" w:cs="Arial"/>
          <w:b/>
        </w:rPr>
        <w:t>LA PERTE SÈCHE ASSOCIÉ À UNE TAXE</w:t>
      </w:r>
    </w:p>
    <w:p w14:paraId="5E6CC04A" w14:textId="77777777" w:rsidR="00880375" w:rsidRDefault="00880375" w:rsidP="00747C0A">
      <w:pPr>
        <w:pStyle w:val="Sansinterligne"/>
        <w:rPr>
          <w:rFonts w:ascii="Arial" w:hAnsi="Arial" w:cs="Arial"/>
          <w:sz w:val="22"/>
        </w:rPr>
      </w:pPr>
      <w:r>
        <w:rPr>
          <w:rFonts w:ascii="Arial" w:hAnsi="Arial" w:cs="Arial"/>
          <w:sz w:val="22"/>
        </w:rPr>
        <w:t>En raison de cette distorsion, la quantité vendue est inférieure à ce qu’elle aurait été s’il n’y avait pas eu de taxe.</w:t>
      </w:r>
    </w:p>
    <w:p w14:paraId="0D19C315" w14:textId="77777777" w:rsidR="00880375" w:rsidRDefault="00880375" w:rsidP="00747C0A">
      <w:pPr>
        <w:pStyle w:val="Sansinterligne"/>
        <w:rPr>
          <w:rFonts w:ascii="Arial" w:hAnsi="Arial" w:cs="Arial"/>
          <w:sz w:val="22"/>
        </w:rPr>
      </w:pPr>
    </w:p>
    <w:p w14:paraId="305DBB32" w14:textId="77777777" w:rsidR="00880375" w:rsidRDefault="00880375" w:rsidP="00747C0A">
      <w:pPr>
        <w:pStyle w:val="Sansinterligne"/>
        <w:rPr>
          <w:rFonts w:ascii="Arial" w:hAnsi="Arial" w:cs="Arial"/>
          <w:b/>
          <w:sz w:val="22"/>
        </w:rPr>
      </w:pPr>
      <w:r>
        <w:rPr>
          <w:rFonts w:ascii="Arial" w:hAnsi="Arial" w:cs="Arial"/>
          <w:b/>
          <w:sz w:val="22"/>
        </w:rPr>
        <w:t>Les effets d’une taxe sur le bien-être</w:t>
      </w:r>
    </w:p>
    <w:p w14:paraId="16E33A58" w14:textId="5667941A" w:rsidR="00880375" w:rsidRDefault="000C7541" w:rsidP="00747C0A">
      <w:pPr>
        <w:pStyle w:val="Sansinterligne"/>
        <w:rPr>
          <w:rFonts w:ascii="Arial" w:hAnsi="Arial" w:cs="Arial"/>
          <w:sz w:val="22"/>
        </w:rPr>
      </w:pPr>
      <w:r>
        <w:rPr>
          <w:rFonts w:ascii="Arial" w:hAnsi="Arial" w:cs="Arial"/>
          <w:sz w:val="22"/>
        </w:rPr>
        <w:t>Le surplus du consommateur permet de mesurer le bien-être des acheteurs – c’est-à-dire la somme que ces derniers consentent à débourser pour ce bien, moins la somme réellement payée.  Le surplus du producteur se mesure de la même façon – la somme que les vendeurs perçoivent, moins leurs coûts.</w:t>
      </w:r>
    </w:p>
    <w:p w14:paraId="220935F4" w14:textId="77777777" w:rsidR="000C7541" w:rsidRDefault="000C7541" w:rsidP="00747C0A">
      <w:pPr>
        <w:pStyle w:val="Sansinterligne"/>
        <w:rPr>
          <w:rFonts w:ascii="Arial" w:hAnsi="Arial" w:cs="Arial"/>
          <w:sz w:val="22"/>
        </w:rPr>
      </w:pPr>
    </w:p>
    <w:p w14:paraId="5EA987B4" w14:textId="093C7F12" w:rsidR="000C7541" w:rsidRDefault="000C7541" w:rsidP="00747C0A">
      <w:pPr>
        <w:pStyle w:val="Sansinterligne"/>
        <w:rPr>
          <w:rFonts w:ascii="Arial" w:hAnsi="Arial" w:cs="Arial"/>
          <w:b/>
          <w:sz w:val="22"/>
        </w:rPr>
      </w:pPr>
      <w:r>
        <w:rPr>
          <w:rFonts w:ascii="Arial" w:hAnsi="Arial" w:cs="Arial"/>
          <w:b/>
          <w:sz w:val="22"/>
        </w:rPr>
        <w:t>Modification du bien-être</w:t>
      </w:r>
    </w:p>
    <w:p w14:paraId="01CF4FFE" w14:textId="10436DF2" w:rsidR="000C7541" w:rsidRDefault="000C7541" w:rsidP="00747C0A">
      <w:pPr>
        <w:pStyle w:val="Sansinterligne"/>
        <w:rPr>
          <w:rFonts w:ascii="Arial" w:hAnsi="Arial" w:cs="Arial"/>
          <w:i/>
          <w:sz w:val="22"/>
        </w:rPr>
      </w:pPr>
      <w:r>
        <w:rPr>
          <w:rFonts w:ascii="Arial" w:hAnsi="Arial" w:cs="Arial"/>
          <w:i/>
          <w:sz w:val="22"/>
        </w:rPr>
        <w:t>Perte sèche : diminution du surplus total résultant d’une distorsion (par exemple : une taxe) introduite sur le marché.</w:t>
      </w:r>
    </w:p>
    <w:p w14:paraId="18FF2BE3" w14:textId="19F05DED" w:rsidR="000C7541" w:rsidRDefault="000C7541" w:rsidP="00747C0A">
      <w:pPr>
        <w:pStyle w:val="Sansinterligne"/>
        <w:rPr>
          <w:rFonts w:ascii="Arial" w:hAnsi="Arial" w:cs="Arial"/>
          <w:sz w:val="22"/>
        </w:rPr>
      </w:pPr>
      <w:r>
        <w:rPr>
          <w:rFonts w:ascii="Arial" w:hAnsi="Arial" w:cs="Arial"/>
          <w:sz w:val="22"/>
        </w:rPr>
        <w:t xml:space="preserve">C’est sans surprise que nous constatons que la taxe détériore le sort </w:t>
      </w:r>
      <w:proofErr w:type="gramStart"/>
      <w:r>
        <w:rPr>
          <w:rFonts w:ascii="Arial" w:hAnsi="Arial" w:cs="Arial"/>
          <w:sz w:val="22"/>
        </w:rPr>
        <w:t>des acheteur</w:t>
      </w:r>
      <w:proofErr w:type="gramEnd"/>
      <w:r>
        <w:rPr>
          <w:rFonts w:ascii="Arial" w:hAnsi="Arial" w:cs="Arial"/>
          <w:sz w:val="22"/>
        </w:rPr>
        <w:t xml:space="preserve"> et des vendeurs et améliore celui du gouvernement.</w:t>
      </w:r>
    </w:p>
    <w:p w14:paraId="0C970D92" w14:textId="5C747391" w:rsidR="000C7541" w:rsidRDefault="000C7541" w:rsidP="00747C0A">
      <w:pPr>
        <w:pStyle w:val="Sansinterligne"/>
        <w:rPr>
          <w:rFonts w:ascii="Arial" w:hAnsi="Arial" w:cs="Arial"/>
          <w:sz w:val="22"/>
        </w:rPr>
      </w:pPr>
      <w:r>
        <w:rPr>
          <w:rFonts w:ascii="Arial" w:hAnsi="Arial" w:cs="Arial"/>
          <w:sz w:val="22"/>
        </w:rPr>
        <w:t>Ainsi, les pertes des vendeurs et des acheteurs liées à la taxe excèdent les recettes perçues par le gouvernement.</w:t>
      </w:r>
    </w:p>
    <w:p w14:paraId="3550164E" w14:textId="0E02E314" w:rsidR="000C7541" w:rsidRDefault="000C7541" w:rsidP="00747C0A">
      <w:pPr>
        <w:pStyle w:val="Sansinterligne"/>
        <w:rPr>
          <w:rFonts w:ascii="Arial" w:hAnsi="Arial" w:cs="Arial"/>
          <w:sz w:val="22"/>
        </w:rPr>
      </w:pPr>
      <w:r>
        <w:rPr>
          <w:rFonts w:ascii="Arial" w:hAnsi="Arial" w:cs="Arial"/>
          <w:sz w:val="22"/>
        </w:rPr>
        <w:t>Quand une taxe augmente le prix payé par les acheteurs tout en réduisant le prix perçu par les vendeurs, elle incite les acheteurs à consommer moins et les vendeurs</w:t>
      </w:r>
      <w:r w:rsidR="00CA7CF2">
        <w:rPr>
          <w:rFonts w:ascii="Arial" w:hAnsi="Arial" w:cs="Arial"/>
          <w:sz w:val="22"/>
        </w:rPr>
        <w:t xml:space="preserve"> à produire moins qu’ils ne le feraient normalement.</w:t>
      </w:r>
    </w:p>
    <w:p w14:paraId="62BFB8E4" w14:textId="77777777" w:rsidR="00DB0C10" w:rsidRDefault="00DB0C10" w:rsidP="00747C0A">
      <w:pPr>
        <w:pStyle w:val="Sansinterligne"/>
        <w:rPr>
          <w:rFonts w:ascii="Arial" w:hAnsi="Arial" w:cs="Arial"/>
          <w:sz w:val="22"/>
        </w:rPr>
      </w:pPr>
    </w:p>
    <w:p w14:paraId="7024E475" w14:textId="36055B03" w:rsidR="00DB0C10" w:rsidRDefault="00DB0C10" w:rsidP="00747C0A">
      <w:pPr>
        <w:pStyle w:val="Sansinterligne"/>
        <w:rPr>
          <w:rFonts w:ascii="Arial" w:hAnsi="Arial" w:cs="Arial"/>
          <w:b/>
          <w:sz w:val="22"/>
        </w:rPr>
      </w:pPr>
      <w:r>
        <w:rPr>
          <w:rFonts w:ascii="Arial" w:hAnsi="Arial" w:cs="Arial"/>
          <w:b/>
          <w:sz w:val="22"/>
        </w:rPr>
        <w:t>La perte sèche et les gains tirés de l’échange</w:t>
      </w:r>
    </w:p>
    <w:p w14:paraId="39561235" w14:textId="5B9EEE70" w:rsidR="00DB0C10" w:rsidRDefault="00DB0C10" w:rsidP="00747C0A">
      <w:pPr>
        <w:pStyle w:val="Sansinterligne"/>
        <w:rPr>
          <w:rFonts w:ascii="Arial" w:hAnsi="Arial" w:cs="Arial"/>
          <w:sz w:val="22"/>
        </w:rPr>
      </w:pPr>
      <w:r>
        <w:rPr>
          <w:rFonts w:ascii="Arial" w:hAnsi="Arial" w:cs="Arial"/>
          <w:sz w:val="22"/>
        </w:rPr>
        <w:t>Les taxes provoquent des pertes sèches, car elles empêchent les acheteurs et les vendeurs de réaliser des gains résultant de l’échange.</w:t>
      </w:r>
    </w:p>
    <w:p w14:paraId="1C1B3B1B" w14:textId="3E78A34D" w:rsidR="00DB0C10" w:rsidRDefault="00DB0C10" w:rsidP="00747C0A">
      <w:pPr>
        <w:pStyle w:val="Sansinterligne"/>
        <w:rPr>
          <w:rFonts w:ascii="Arial" w:hAnsi="Arial" w:cs="Arial"/>
          <w:sz w:val="22"/>
        </w:rPr>
      </w:pPr>
      <w:r>
        <w:rPr>
          <w:rFonts w:ascii="Arial" w:hAnsi="Arial" w:cs="Arial"/>
          <w:sz w:val="22"/>
        </w:rPr>
        <w:t>Si l’on se rappelle que la courbe de demande reflète la valeur d’un bien pour les consommateurs et que la courbe d’offre reflète le coût pour les producteurs.</w:t>
      </w:r>
    </w:p>
    <w:p w14:paraId="72FBBC6D" w14:textId="351D84A2" w:rsidR="00DB0C10" w:rsidRDefault="00DB0C10" w:rsidP="00747C0A">
      <w:pPr>
        <w:pStyle w:val="Sansinterligne"/>
        <w:rPr>
          <w:rFonts w:ascii="Arial" w:hAnsi="Arial" w:cs="Arial"/>
          <w:sz w:val="22"/>
        </w:rPr>
      </w:pPr>
      <w:r>
        <w:rPr>
          <w:rFonts w:ascii="Arial" w:hAnsi="Arial" w:cs="Arial"/>
          <w:sz w:val="22"/>
        </w:rPr>
        <w:t>La perte sèche correspond à la perte de surplus liée au fait que la taxe élimine une partie des échanges mutuellement avantageux.</w:t>
      </w:r>
    </w:p>
    <w:p w14:paraId="09E705A6" w14:textId="77777777" w:rsidR="00757523" w:rsidRDefault="00757523" w:rsidP="00747C0A">
      <w:pPr>
        <w:pStyle w:val="Sansinterligne"/>
        <w:rPr>
          <w:rFonts w:ascii="Arial" w:hAnsi="Arial" w:cs="Arial"/>
          <w:sz w:val="22"/>
        </w:rPr>
      </w:pPr>
    </w:p>
    <w:p w14:paraId="7ED05D49" w14:textId="4791F8FD" w:rsidR="00757523" w:rsidRDefault="00757523" w:rsidP="00747C0A">
      <w:pPr>
        <w:pStyle w:val="Sansinterligne"/>
        <w:rPr>
          <w:rFonts w:ascii="Arial" w:hAnsi="Arial" w:cs="Arial"/>
          <w:b/>
        </w:rPr>
      </w:pPr>
      <w:r>
        <w:rPr>
          <w:rFonts w:ascii="Arial" w:hAnsi="Arial" w:cs="Arial"/>
          <w:b/>
        </w:rPr>
        <w:t>LES DÉTERMINANTS DES PERTES SÈCHES</w:t>
      </w:r>
    </w:p>
    <w:p w14:paraId="1A97AB43" w14:textId="07197680" w:rsidR="00757523" w:rsidRDefault="00757523" w:rsidP="00747C0A">
      <w:pPr>
        <w:pStyle w:val="Sansinterligne"/>
        <w:rPr>
          <w:rFonts w:ascii="Arial" w:hAnsi="Arial" w:cs="Arial"/>
          <w:sz w:val="22"/>
        </w:rPr>
      </w:pPr>
      <w:r>
        <w:rPr>
          <w:rFonts w:ascii="Arial" w:hAnsi="Arial" w:cs="Arial"/>
          <w:sz w:val="22"/>
        </w:rPr>
        <w:t>Il est facile de comprendre ce qui se passe.  Une taxe crée</w:t>
      </w:r>
      <w:r w:rsidR="00300902">
        <w:rPr>
          <w:rFonts w:ascii="Arial" w:hAnsi="Arial" w:cs="Arial"/>
          <w:sz w:val="22"/>
        </w:rPr>
        <w:t xml:space="preserve"> une perte sèche parce qu’elle incite les vendeurs et les acheteurs à modifier leur comportement.</w:t>
      </w:r>
    </w:p>
    <w:p w14:paraId="1F9DE2FB" w14:textId="348287AD" w:rsidR="00300902" w:rsidRDefault="00300902" w:rsidP="00747C0A">
      <w:pPr>
        <w:pStyle w:val="Sansinterligne"/>
        <w:rPr>
          <w:rFonts w:ascii="Arial" w:hAnsi="Arial" w:cs="Arial"/>
          <w:sz w:val="22"/>
        </w:rPr>
      </w:pPr>
      <w:r>
        <w:rPr>
          <w:rFonts w:ascii="Arial" w:hAnsi="Arial" w:cs="Arial"/>
          <w:sz w:val="22"/>
        </w:rPr>
        <w:t>Plus l’offre et la demande sont élastiques, plus la perte sèche provoquée par la taxe sera importante.</w:t>
      </w:r>
    </w:p>
    <w:p w14:paraId="06BDA57E" w14:textId="508C40D5" w:rsidR="00300902" w:rsidRDefault="00300902" w:rsidP="00747C0A">
      <w:pPr>
        <w:pStyle w:val="Sansinterligne"/>
        <w:rPr>
          <w:rFonts w:ascii="Arial" w:hAnsi="Arial" w:cs="Arial"/>
          <w:sz w:val="22"/>
        </w:rPr>
      </w:pPr>
      <w:r>
        <w:rPr>
          <w:rFonts w:ascii="Arial" w:hAnsi="Arial" w:cs="Arial"/>
          <w:sz w:val="22"/>
        </w:rPr>
        <w:t>La quantité de travail offerte dépend du salaire, c’est-à-dire que l’offre est relativement élastique.</w:t>
      </w:r>
    </w:p>
    <w:p w14:paraId="623CC631" w14:textId="77777777" w:rsidR="00300902" w:rsidRDefault="00300902" w:rsidP="00747C0A">
      <w:pPr>
        <w:pStyle w:val="Sansinterligne"/>
        <w:rPr>
          <w:rFonts w:ascii="Arial" w:hAnsi="Arial" w:cs="Arial"/>
          <w:sz w:val="22"/>
        </w:rPr>
      </w:pPr>
    </w:p>
    <w:p w14:paraId="2FA00EF6" w14:textId="2A6AB634" w:rsidR="00300902" w:rsidRDefault="00300902" w:rsidP="00747C0A">
      <w:pPr>
        <w:pStyle w:val="Sansinterligne"/>
        <w:rPr>
          <w:rFonts w:ascii="Arial" w:hAnsi="Arial" w:cs="Arial"/>
          <w:b/>
        </w:rPr>
      </w:pPr>
      <w:r>
        <w:rPr>
          <w:rFonts w:ascii="Arial" w:hAnsi="Arial" w:cs="Arial"/>
          <w:b/>
        </w:rPr>
        <w:t>LA PERTE SÈCHE, LES RECETTES FISCALES ET LE TAUX DE TAXATION</w:t>
      </w:r>
    </w:p>
    <w:p w14:paraId="44BF7763" w14:textId="2A7E559F" w:rsidR="00DC6249" w:rsidRDefault="00DC6249" w:rsidP="00747C0A">
      <w:pPr>
        <w:pStyle w:val="Sansinterligne"/>
        <w:rPr>
          <w:rFonts w:ascii="Arial" w:hAnsi="Arial" w:cs="Arial"/>
          <w:sz w:val="22"/>
        </w:rPr>
      </w:pPr>
      <w:r>
        <w:rPr>
          <w:rFonts w:ascii="Arial" w:hAnsi="Arial" w:cs="Arial"/>
          <w:sz w:val="22"/>
        </w:rPr>
        <w:t>La perte sèche – la réduction du surplus total attribuable à une taxe réduit la taille du marché – équivaut à la surface du triangle situé entre les courbes de demande et d’offre.</w:t>
      </w:r>
    </w:p>
    <w:p w14:paraId="0DFFD440" w14:textId="7333BCDA" w:rsidR="00DC6249" w:rsidRDefault="00DC6249" w:rsidP="00747C0A">
      <w:pPr>
        <w:pStyle w:val="Sansinterligne"/>
        <w:rPr>
          <w:rFonts w:ascii="Arial" w:hAnsi="Arial" w:cs="Arial"/>
          <w:sz w:val="22"/>
        </w:rPr>
      </w:pPr>
      <w:r>
        <w:rPr>
          <w:rFonts w:ascii="Arial" w:hAnsi="Arial" w:cs="Arial"/>
          <w:sz w:val="22"/>
        </w:rPr>
        <w:t>Les recettes fiscales correspondent au produit de la taxe par la quantité vendue.</w:t>
      </w:r>
    </w:p>
    <w:p w14:paraId="4BA77B58" w14:textId="314FAB59" w:rsidR="00DC6249" w:rsidRDefault="00DC6249" w:rsidP="00747C0A">
      <w:pPr>
        <w:pStyle w:val="Sansinterligne"/>
        <w:rPr>
          <w:rFonts w:ascii="Arial" w:hAnsi="Arial" w:cs="Arial"/>
          <w:sz w:val="22"/>
        </w:rPr>
      </w:pPr>
      <w:r>
        <w:rPr>
          <w:rFonts w:ascii="Arial" w:hAnsi="Arial" w:cs="Arial"/>
          <w:sz w:val="22"/>
        </w:rPr>
        <w:t>L’augmentation du montant de la taxe entraine une hausse rapide de la perte sèche.  Les recettes fiscales progressent d’abord en fonction de la lourdeur e la taxe, mais lorsque celle-ci atteint un certain montant, le marché se contracte et les recettes fiscales commencent à chuter.</w:t>
      </w:r>
    </w:p>
    <w:p w14:paraId="4BCFCF4C" w14:textId="786658F3" w:rsidR="00023830" w:rsidRDefault="00023830" w:rsidP="00747C0A">
      <w:pPr>
        <w:pStyle w:val="Sansinterligne"/>
        <w:rPr>
          <w:rFonts w:ascii="Arial" w:hAnsi="Arial" w:cs="Arial"/>
          <w:b/>
          <w:sz w:val="22"/>
        </w:rPr>
      </w:pPr>
      <w:r>
        <w:rPr>
          <w:rFonts w:ascii="Arial" w:hAnsi="Arial" w:cs="Arial"/>
          <w:b/>
          <w:sz w:val="22"/>
        </w:rPr>
        <w:lastRenderedPageBreak/>
        <w:t xml:space="preserve">La courbe de </w:t>
      </w:r>
      <w:proofErr w:type="spellStart"/>
      <w:r>
        <w:rPr>
          <w:rFonts w:ascii="Arial" w:hAnsi="Arial" w:cs="Arial"/>
          <w:b/>
          <w:sz w:val="22"/>
        </w:rPr>
        <w:t>Laffer</w:t>
      </w:r>
      <w:proofErr w:type="spellEnd"/>
      <w:r>
        <w:rPr>
          <w:rFonts w:ascii="Arial" w:hAnsi="Arial" w:cs="Arial"/>
          <w:b/>
          <w:sz w:val="22"/>
        </w:rPr>
        <w:t xml:space="preserve"> et l’économie de l’offre</w:t>
      </w:r>
    </w:p>
    <w:p w14:paraId="4147BE8F" w14:textId="5776CC0C" w:rsidR="00023830" w:rsidRDefault="00023830" w:rsidP="00747C0A">
      <w:pPr>
        <w:pStyle w:val="Sansinterligne"/>
        <w:rPr>
          <w:rFonts w:ascii="Arial" w:hAnsi="Arial" w:cs="Arial"/>
          <w:sz w:val="22"/>
        </w:rPr>
      </w:pPr>
      <w:r>
        <w:rPr>
          <w:rFonts w:ascii="Arial" w:hAnsi="Arial" w:cs="Arial"/>
          <w:sz w:val="22"/>
        </w:rPr>
        <w:t>Il prétendait</w:t>
      </w:r>
      <w:r w:rsidR="004F18AB">
        <w:rPr>
          <w:rFonts w:ascii="Arial" w:hAnsi="Arial" w:cs="Arial"/>
          <w:sz w:val="22"/>
        </w:rPr>
        <w:t xml:space="preserve"> que des impôts</w:t>
      </w:r>
      <w:r w:rsidR="009E5C72">
        <w:rPr>
          <w:rFonts w:ascii="Arial" w:hAnsi="Arial" w:cs="Arial"/>
          <w:sz w:val="22"/>
        </w:rPr>
        <w:t xml:space="preserve"> aussi lourds décourageraient les gens de travailler.  En allégeant la fiscalité, on les inciterait à faire plus d’effort</w:t>
      </w:r>
      <w:r w:rsidR="00135B0B">
        <w:rPr>
          <w:rFonts w:ascii="Arial" w:hAnsi="Arial" w:cs="Arial"/>
          <w:sz w:val="22"/>
        </w:rPr>
        <w:t>, ce qui augmenterait le bien-être</w:t>
      </w:r>
      <w:r w:rsidR="00D8011A">
        <w:rPr>
          <w:rFonts w:ascii="Arial" w:hAnsi="Arial" w:cs="Arial"/>
          <w:sz w:val="22"/>
        </w:rPr>
        <w:t xml:space="preserve"> économique et, éventuellement, les recettes fiscales. Les idées de </w:t>
      </w:r>
      <w:proofErr w:type="spellStart"/>
      <w:r w:rsidR="00D8011A">
        <w:rPr>
          <w:rFonts w:ascii="Arial" w:hAnsi="Arial" w:cs="Arial"/>
          <w:sz w:val="22"/>
        </w:rPr>
        <w:t>Laffer</w:t>
      </w:r>
      <w:proofErr w:type="spellEnd"/>
      <w:r w:rsidR="00D8011A">
        <w:rPr>
          <w:rFonts w:ascii="Arial" w:hAnsi="Arial" w:cs="Arial"/>
          <w:sz w:val="22"/>
        </w:rPr>
        <w:t xml:space="preserve"> et de </w:t>
      </w:r>
      <w:proofErr w:type="spellStart"/>
      <w:r w:rsidR="00D8011A">
        <w:rPr>
          <w:rFonts w:ascii="Arial" w:hAnsi="Arial" w:cs="Arial"/>
          <w:sz w:val="22"/>
        </w:rPr>
        <w:t>Reagen</w:t>
      </w:r>
      <w:proofErr w:type="spellEnd"/>
      <w:r w:rsidR="00D8011A">
        <w:rPr>
          <w:rFonts w:ascii="Arial" w:hAnsi="Arial" w:cs="Arial"/>
          <w:sz w:val="22"/>
        </w:rPr>
        <w:t xml:space="preserve"> furent baptisées économie de l’offre.</w:t>
      </w:r>
    </w:p>
    <w:p w14:paraId="6373404E" w14:textId="4F1A8953" w:rsidR="00D8011A" w:rsidRDefault="00D8011A" w:rsidP="00747C0A">
      <w:pPr>
        <w:pStyle w:val="Sansinterligne"/>
        <w:rPr>
          <w:rFonts w:ascii="Arial" w:hAnsi="Arial" w:cs="Arial"/>
          <w:sz w:val="22"/>
        </w:rPr>
      </w:pPr>
      <w:r>
        <w:rPr>
          <w:rFonts w:ascii="Arial" w:hAnsi="Arial" w:cs="Arial"/>
          <w:sz w:val="22"/>
        </w:rPr>
        <w:t xml:space="preserve">L’argument de </w:t>
      </w:r>
      <w:proofErr w:type="spellStart"/>
      <w:r>
        <w:rPr>
          <w:rFonts w:ascii="Arial" w:hAnsi="Arial" w:cs="Arial"/>
          <w:sz w:val="22"/>
        </w:rPr>
        <w:t>Laffer</w:t>
      </w:r>
      <w:proofErr w:type="spellEnd"/>
      <w:r>
        <w:rPr>
          <w:rFonts w:ascii="Arial" w:hAnsi="Arial" w:cs="Arial"/>
          <w:sz w:val="22"/>
        </w:rPr>
        <w:t xml:space="preserve"> semble plus approprié aux nations ayant un fardeau fiscal bien supérieur à celui des Etats-Unis.</w:t>
      </w:r>
    </w:p>
    <w:p w14:paraId="48131369" w14:textId="72BB7560" w:rsidR="00D8011A" w:rsidRDefault="00D8011A" w:rsidP="00747C0A">
      <w:pPr>
        <w:pStyle w:val="Sansinterligne"/>
        <w:rPr>
          <w:rFonts w:ascii="Arial" w:hAnsi="Arial" w:cs="Arial"/>
          <w:sz w:val="22"/>
        </w:rPr>
      </w:pPr>
      <w:r>
        <w:rPr>
          <w:rFonts w:ascii="Arial" w:hAnsi="Arial" w:cs="Arial"/>
          <w:sz w:val="22"/>
        </w:rPr>
        <w:t xml:space="preserve">Le taux d’imposition au Canada </w:t>
      </w:r>
      <w:proofErr w:type="gramStart"/>
      <w:r>
        <w:rPr>
          <w:rFonts w:ascii="Arial" w:hAnsi="Arial" w:cs="Arial"/>
          <w:sz w:val="22"/>
        </w:rPr>
        <w:t>sont</w:t>
      </w:r>
      <w:proofErr w:type="gramEnd"/>
      <w:r>
        <w:rPr>
          <w:rFonts w:ascii="Arial" w:hAnsi="Arial" w:cs="Arial"/>
          <w:sz w:val="22"/>
        </w:rPr>
        <w:t xml:space="preserve"> supérieurs à ceux des Etats-Unis.  Par conséquent, une réduction d’impôt ne suffirait probablement pas à produire une augmentation des recettes fiscales.</w:t>
      </w:r>
    </w:p>
    <w:p w14:paraId="40E8953C" w14:textId="4636D1F6" w:rsidR="00924852" w:rsidRDefault="00924852" w:rsidP="00747C0A">
      <w:pPr>
        <w:pStyle w:val="Sansinterligne"/>
        <w:rPr>
          <w:rFonts w:ascii="Arial" w:hAnsi="Arial" w:cs="Arial"/>
          <w:sz w:val="22"/>
        </w:rPr>
      </w:pPr>
      <w:r>
        <w:rPr>
          <w:rFonts w:ascii="Arial" w:hAnsi="Arial" w:cs="Arial"/>
          <w:sz w:val="22"/>
        </w:rPr>
        <w:t>Comme les gens se déplacent plus facilement entre les provinces qu’entre les pays, l’offre de main-d’œuvre est toujours plus élastique dans une province que dans l’ensemble du Canada.</w:t>
      </w:r>
    </w:p>
    <w:p w14:paraId="4021AC13" w14:textId="5F4CEDAE" w:rsidR="00924852" w:rsidRDefault="00924852" w:rsidP="00747C0A">
      <w:pPr>
        <w:pStyle w:val="Sansinterligne"/>
        <w:rPr>
          <w:rFonts w:ascii="Arial" w:hAnsi="Arial" w:cs="Arial"/>
          <w:sz w:val="22"/>
        </w:rPr>
      </w:pPr>
      <w:r>
        <w:rPr>
          <w:rFonts w:ascii="Arial" w:hAnsi="Arial" w:cs="Arial"/>
          <w:sz w:val="22"/>
        </w:rPr>
        <w:t xml:space="preserve">Plus l’offre et </w:t>
      </w:r>
      <w:proofErr w:type="gramStart"/>
      <w:r>
        <w:rPr>
          <w:rFonts w:ascii="Arial" w:hAnsi="Arial" w:cs="Arial"/>
          <w:sz w:val="22"/>
        </w:rPr>
        <w:t>le</w:t>
      </w:r>
      <w:proofErr w:type="gramEnd"/>
      <w:r>
        <w:rPr>
          <w:rFonts w:ascii="Arial" w:hAnsi="Arial" w:cs="Arial"/>
          <w:sz w:val="22"/>
        </w:rPr>
        <w:t xml:space="preserve"> demande sont élastiques, plus une taxe aura un impact important sur le comportement, et plus il est probable qu’un allègement fiscal se soldera par un accroissement des recettes fiscales.</w:t>
      </w:r>
    </w:p>
    <w:p w14:paraId="0FD57539" w14:textId="77777777" w:rsidR="00463038" w:rsidRDefault="00463038" w:rsidP="00747C0A">
      <w:pPr>
        <w:pStyle w:val="Sansinterligne"/>
        <w:rPr>
          <w:rFonts w:ascii="Arial" w:hAnsi="Arial" w:cs="Arial"/>
          <w:sz w:val="22"/>
        </w:rPr>
      </w:pPr>
    </w:p>
    <w:p w14:paraId="0AFEC854" w14:textId="279DD270" w:rsidR="00463038" w:rsidRDefault="00463038" w:rsidP="00747C0A">
      <w:pPr>
        <w:pStyle w:val="Sansinterligne"/>
        <w:rPr>
          <w:rFonts w:ascii="Arial" w:hAnsi="Arial" w:cs="Arial"/>
          <w:b/>
        </w:rPr>
      </w:pPr>
      <w:r>
        <w:rPr>
          <w:rFonts w:ascii="Arial" w:hAnsi="Arial" w:cs="Arial"/>
          <w:b/>
        </w:rPr>
        <w:t>RÉSUMÉ</w:t>
      </w:r>
    </w:p>
    <w:p w14:paraId="6B57EFF7" w14:textId="14CCEEFB" w:rsidR="00463038" w:rsidRDefault="00FB5D31" w:rsidP="00FB5D31">
      <w:pPr>
        <w:pStyle w:val="Sansinterligne"/>
        <w:numPr>
          <w:ilvl w:val="0"/>
          <w:numId w:val="1"/>
        </w:numPr>
        <w:rPr>
          <w:rFonts w:ascii="Arial" w:hAnsi="Arial" w:cs="Arial"/>
          <w:sz w:val="22"/>
        </w:rPr>
      </w:pPr>
      <w:r>
        <w:rPr>
          <w:rFonts w:ascii="Arial" w:hAnsi="Arial" w:cs="Arial"/>
          <w:sz w:val="22"/>
        </w:rPr>
        <w:t xml:space="preserve">La taxation d’un produit réduit le bien-être des acheteurs et des vendeurs.  Cette réduction du surplus du consommateur et du surplus du producteur excède généralement les recettes fiscales perçues par l’État. Une chute du surplus total – la somme du surplus du consommateur, du surplus du producteur et des recettes </w:t>
      </w:r>
      <w:proofErr w:type="spellStart"/>
      <w:r>
        <w:rPr>
          <w:rFonts w:ascii="Arial" w:hAnsi="Arial" w:cs="Arial"/>
          <w:sz w:val="22"/>
        </w:rPr>
        <w:t>ficales</w:t>
      </w:r>
      <w:proofErr w:type="spellEnd"/>
      <w:r>
        <w:rPr>
          <w:rFonts w:ascii="Arial" w:hAnsi="Arial" w:cs="Arial"/>
          <w:sz w:val="22"/>
        </w:rPr>
        <w:t xml:space="preserve"> – représente la perte sèche engendrée par une taxe.</w:t>
      </w:r>
    </w:p>
    <w:p w14:paraId="44D404E7" w14:textId="0C46798E" w:rsidR="00FB5D31" w:rsidRDefault="00FB5D31" w:rsidP="00FB5D31">
      <w:pPr>
        <w:pStyle w:val="Sansinterligne"/>
        <w:numPr>
          <w:ilvl w:val="0"/>
          <w:numId w:val="1"/>
        </w:numPr>
        <w:rPr>
          <w:rFonts w:ascii="Arial" w:hAnsi="Arial" w:cs="Arial"/>
          <w:sz w:val="22"/>
        </w:rPr>
      </w:pPr>
      <w:r>
        <w:rPr>
          <w:rFonts w:ascii="Arial" w:hAnsi="Arial" w:cs="Arial"/>
          <w:sz w:val="22"/>
        </w:rPr>
        <w:t>Les taxes engendrent cette perte sèche parce qu’elle réduise la consommation et la production et parce que cette modification des comportements se traduit par une contraction du marché sous le niveau qui maximiserait le surplus total.  Comme les élasticités de l’offre et de la demande mesurent la réaction des agents à la présence d’une taxe, plus ces élasticités seront élevées, plus la perte sèche sera grande.</w:t>
      </w:r>
    </w:p>
    <w:p w14:paraId="7603D670" w14:textId="77777777" w:rsidR="00FB5D31" w:rsidRPr="00463038" w:rsidRDefault="00FB5D31" w:rsidP="00FB5D31">
      <w:pPr>
        <w:pStyle w:val="Sansinterligne"/>
        <w:numPr>
          <w:ilvl w:val="0"/>
          <w:numId w:val="1"/>
        </w:numPr>
        <w:rPr>
          <w:rFonts w:ascii="Arial" w:hAnsi="Arial" w:cs="Arial"/>
          <w:sz w:val="22"/>
        </w:rPr>
      </w:pPr>
      <w:bookmarkStart w:id="0" w:name="_GoBack"/>
      <w:bookmarkEnd w:id="0"/>
    </w:p>
    <w:sectPr w:rsidR="00FB5D31" w:rsidRPr="00463038" w:rsidSect="0033081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E2743"/>
    <w:multiLevelType w:val="hybridMultilevel"/>
    <w:tmpl w:val="DF1859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C0A"/>
    <w:rsid w:val="00023830"/>
    <w:rsid w:val="000C7541"/>
    <w:rsid w:val="00135B0B"/>
    <w:rsid w:val="00300902"/>
    <w:rsid w:val="00330812"/>
    <w:rsid w:val="00463038"/>
    <w:rsid w:val="004F18AB"/>
    <w:rsid w:val="00747C0A"/>
    <w:rsid w:val="00757523"/>
    <w:rsid w:val="00880375"/>
    <w:rsid w:val="00924852"/>
    <w:rsid w:val="009E5C72"/>
    <w:rsid w:val="00CA7CF2"/>
    <w:rsid w:val="00D8011A"/>
    <w:rsid w:val="00DB0C10"/>
    <w:rsid w:val="00DC6249"/>
    <w:rsid w:val="00ED18C0"/>
    <w:rsid w:val="00FB5D3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BF622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747C0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747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2</Pages>
  <Words>746</Words>
  <Characters>4105</Characters>
  <Application>Microsoft Macintosh Word</Application>
  <DocSecurity>0</DocSecurity>
  <Lines>34</Lines>
  <Paragraphs>9</Paragraphs>
  <ScaleCrop>false</ScaleCrop>
  <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6</cp:revision>
  <dcterms:created xsi:type="dcterms:W3CDTF">2014-02-03T16:45:00Z</dcterms:created>
  <dcterms:modified xsi:type="dcterms:W3CDTF">2014-02-03T19:12:00Z</dcterms:modified>
</cp:coreProperties>
</file>