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F92" w:rsidRDefault="008963ED" w:rsidP="008963ED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PSYCHOLOGY OF AGING –PSY 3128 C</w:t>
      </w:r>
    </w:p>
    <w:p w:rsidR="008963ED" w:rsidRDefault="008963ED" w:rsidP="008963ED">
      <w:pP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1.THEMES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 xml:space="preserve"> AND ISSUES IN AGING</w:t>
      </w:r>
    </w:p>
    <w:p w:rsidR="008963ED" w:rsidRDefault="008963ED" w:rsidP="008963ED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A-Definition of age</w:t>
      </w:r>
    </w:p>
    <w:p w:rsidR="008963ED" w:rsidRDefault="008963ED" w:rsidP="008963E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*Chronological age:</w:t>
      </w:r>
      <w:r w:rsidR="00B75C8B">
        <w:rPr>
          <w:rFonts w:ascii="Times New Roman" w:hAnsi="Times New Roman" w:cs="Times New Roman"/>
          <w:sz w:val="24"/>
          <w:szCs w:val="24"/>
          <w:lang w:val="en-CA"/>
        </w:rPr>
        <w:t xml:space="preserve"> number of years since birth</w:t>
      </w:r>
    </w:p>
    <w:p w:rsidR="00B75C8B" w:rsidRDefault="00B75C8B" w:rsidP="008963ED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75C8B">
        <w:rPr>
          <w:rFonts w:ascii="Times New Roman" w:hAnsi="Times New Roman" w:cs="Times New Roman"/>
          <w:sz w:val="24"/>
          <w:szCs w:val="24"/>
          <w:lang w:val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4622</wp:posOffset>
            </wp:positionV>
            <wp:extent cx="6560288" cy="1520456"/>
            <wp:effectExtent l="0" t="0" r="0" b="3810"/>
            <wp:wrapNone/>
            <wp:docPr id="54274" name="Picture 2" descr="G:\Aging\ChronologicalAge_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4" name="Picture 2" descr="G:\Aging\ChronologicalAge_we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0288" cy="15204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C8B" w:rsidRPr="00B75C8B" w:rsidRDefault="00B75C8B" w:rsidP="00B75C8B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B75C8B" w:rsidRPr="00B75C8B" w:rsidRDefault="00B75C8B" w:rsidP="00B75C8B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B75C8B" w:rsidRPr="00B75C8B" w:rsidRDefault="00B75C8B" w:rsidP="00B75C8B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B75C8B" w:rsidRDefault="00B75C8B" w:rsidP="00B75C8B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B75C8B" w:rsidRDefault="00B75C8B" w:rsidP="00B75C8B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-Young-old: 65-74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-Old-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old :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75-84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-Oldest-old: 85+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-Centenarians: 100+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Supercentenarians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: 110+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B-Indices of aging: Other than chronological age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*Functional age: categorize people not on their age but how they function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1.Biological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age: use biological measures such as blood pressure to calculate biological age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2.Psychological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age: use psychological measures such as cognitive functioning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3.Social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age: use social roles such as whether they are retired or a grandparent.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Still these always have to be re-adjusted.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Further age distinctions: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>Personal aging: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Changes related to aging that occur within the individual</w:t>
      </w:r>
    </w:p>
    <w:p w:rsid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>Social aging: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D55635">
        <w:rPr>
          <w:rFonts w:ascii="Times New Roman" w:hAnsi="Times New Roman" w:cs="Times New Roman"/>
          <w:sz w:val="24"/>
          <w:szCs w:val="24"/>
          <w:lang w:val="en-CA"/>
        </w:rPr>
        <w:t>Changes related to changes in the environment</w:t>
      </w:r>
    </w:p>
    <w:p w:rsidR="00D55635" w:rsidRDefault="00D5563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1.Normative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age-graded: aging s influenced by what is the norm at various ages (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in western society we retire around age 65)</w:t>
      </w:r>
    </w:p>
    <w:p w:rsidR="00D55635" w:rsidRDefault="00D5563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2.Normative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history-graded: aging is influenced by events that happen to everyone (e.g. war, natural disasters).</w:t>
      </w:r>
    </w:p>
    <w:p w:rsidR="00D55635" w:rsidRDefault="00D5563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3.Nonormative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: aging is influenced by things that cannot be predicted (e.g. car accident)</w:t>
      </w:r>
    </w:p>
    <w:p w:rsidR="00D55635" w:rsidRDefault="00D55635" w:rsidP="00B75C8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Historical influences on aging:</w:t>
      </w:r>
    </w:p>
    <w:p w:rsidR="00D55635" w:rsidRDefault="00D5563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lastRenderedPageBreak/>
        <w:t>Education: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educational attainment has increased across birth cohorts, GI Bill, changes in the curriculum and pedagogy</w:t>
      </w:r>
    </w:p>
    <w:p w:rsidR="00D55635" w:rsidRDefault="00D5563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 xml:space="preserve">Occupational Status: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change in retirement age, increase in woman’s work participation, increased work complexity</w:t>
      </w:r>
    </w:p>
    <w:p w:rsidR="00D55635" w:rsidRDefault="00D5563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 xml:space="preserve">Changes in health and health behaviours –societal interventions: </w:t>
      </w:r>
      <w:r>
        <w:rPr>
          <w:rFonts w:ascii="Times New Roman" w:hAnsi="Times New Roman" w:cs="Times New Roman"/>
          <w:sz w:val="24"/>
          <w:szCs w:val="24"/>
          <w:lang w:val="en-CA"/>
        </w:rPr>
        <w:t>retirement and pension plan</w:t>
      </w:r>
    </w:p>
    <w:p w:rsidR="00D55635" w:rsidRDefault="0022664A" w:rsidP="00B75C8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C-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Biopsychosocial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perspective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Biological :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physiological factors, genetics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Psychological: emotions, thoughts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Social: Culture, social context</w:t>
      </w:r>
    </w:p>
    <w:p w:rsidR="00627815" w:rsidRDefault="0062781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Ex:</w:t>
      </w:r>
    </w:p>
    <w:p w:rsidR="00627815" w:rsidRDefault="0062781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Elizabeth is an 84-yr-old woman who reports being distressed. She mentions not having any friends and family come visit her anymore.  What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biopsychosocial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component is likely promoting her sense of distress?</w:t>
      </w:r>
    </w:p>
    <w:p w:rsidR="00627815" w:rsidRDefault="00627815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Why is the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biopsychosocial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perspective important?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D- FOUR PRINCIPLES OF AGING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1.Changes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are continuous over the life span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2.Individuality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matters: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-inter-individual differences: differences between people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-intra-individual differences: differences within the same person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3.Only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the survivors grow old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4. “Normal” aging is different from disease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>Normal aging: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-also called primary aging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-changes related to aging that are universal and progressive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-e.g. cognitive changes, wrinkles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i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>Impaired aging (disease):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-also called secondary aging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-abnormal changes that have an impact on a segment of older adults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-e.g. dementia, cancer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>Optimal aging: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-also called successful aging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-aging process is slowed down because individual engages in preventive strategies</w:t>
      </w:r>
    </w:p>
    <w:p w:rsidR="0022664A" w:rsidRDefault="0022664A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ab/>
        <w:t>-e.g. individual engages in cognitively stimulating activities and physical activity</w:t>
      </w:r>
    </w:p>
    <w:p w:rsidR="0022664A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Factors that influence developmental change: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Gender &amp; Sex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-</w:t>
      </w:r>
      <w:r>
        <w:rPr>
          <w:rFonts w:ascii="Times New Roman" w:hAnsi="Times New Roman" w:cs="Times New Roman"/>
          <w:sz w:val="24"/>
          <w:szCs w:val="24"/>
          <w:lang w:val="en-CA"/>
        </w:rPr>
        <w:t>physiological factors related to sex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-social role differences between men and women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Ethnicity: 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-</w:t>
      </w:r>
      <w:r>
        <w:rPr>
          <w:rFonts w:ascii="Times New Roman" w:hAnsi="Times New Roman" w:cs="Times New Roman"/>
          <w:sz w:val="24"/>
          <w:szCs w:val="24"/>
          <w:lang w:val="en-CA"/>
        </w:rPr>
        <w:t>genetic inheritance related to ethnicity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-traditions and values inherent to certain cultures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Socioeconomic status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Religion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E- CANADA’S POPULATION OF OLDER ADULTS</w:t>
      </w:r>
    </w:p>
    <w:p w:rsidR="0022664A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Statistics Canada 2012 report: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-the promotion of older adults is growing rapidly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-it is projected that the number of older adults in Canada will more than double between 2005 and 2036</w:t>
      </w:r>
    </w:p>
    <w:p w:rsidR="0061629B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61629B">
        <w:rPr>
          <w:rFonts w:ascii="Times New Roman" w:hAnsi="Times New Roman" w:cs="Times New Roman"/>
          <w:sz w:val="24"/>
          <w:szCs w:val="24"/>
          <w:lang w:val="en-CA"/>
        </w:rPr>
        <w:drawing>
          <wp:anchor distT="0" distB="0" distL="114300" distR="114300" simplePos="0" relativeHeight="251659264" behindDoc="1" locked="0" layoutInCell="1" allowOverlap="1" wp14:anchorId="6BCD9754" wp14:editId="49336F3F">
            <wp:simplePos x="0" y="0"/>
            <wp:positionH relativeFrom="column">
              <wp:posOffset>-287655</wp:posOffset>
            </wp:positionH>
            <wp:positionV relativeFrom="paragraph">
              <wp:posOffset>267970</wp:posOffset>
            </wp:positionV>
            <wp:extent cx="5943600" cy="2905760"/>
            <wp:effectExtent l="0" t="0" r="0" b="8890"/>
            <wp:wrapNone/>
            <wp:docPr id="2050" name="Picture 2" descr="Age pyramid of population estimates as of July 1, 1982 and 2012, Canada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Age pyramid of population estimates as of July 1, 1982 and 2012, Canada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0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Age pyramid of population:</w:t>
      </w:r>
    </w:p>
    <w:p w:rsidR="0061629B" w:rsidRPr="0061629B" w:rsidRDefault="0061629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B75C8B" w:rsidRPr="00B75C8B" w:rsidRDefault="00B75C8B" w:rsidP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B75C8B" w:rsidRDefault="00B75C8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Canada’s median age: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-median age = 40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yrs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; a 6.4 years increase since 1992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-median age will continue to increase</w:t>
      </w:r>
    </w:p>
    <w:p w:rsidR="0061629B" w:rsidRDefault="0061629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Median age by gender:</w:t>
      </w:r>
    </w:p>
    <w:p w:rsidR="0061629B" w:rsidRDefault="0061629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61629B">
        <w:rPr>
          <w:rFonts w:ascii="Times New Roman" w:hAnsi="Times New Roman" w:cs="Times New Roman"/>
          <w:b/>
          <w:sz w:val="24"/>
          <w:szCs w:val="24"/>
          <w:lang w:val="en-CA"/>
        </w:rPr>
        <w:lastRenderedPageBreak/>
        <w:drawing>
          <wp:inline distT="0" distB="0" distL="0" distR="0" wp14:anchorId="0144C43A" wp14:editId="46288B5C">
            <wp:extent cx="5943600" cy="3155950"/>
            <wp:effectExtent l="0" t="0" r="0" b="6350"/>
            <wp:docPr id="37892" name="Picture 4" descr="Median age by gender, 1982 to 2012, Canada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2" name="Picture 4" descr="Median age by gender, 1982 to 2012, Canada"/>
                    <pic:cNvPicPr>
                      <a:picLocks noGrp="1"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29B" w:rsidRDefault="0061629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Proportion of population aged less than 15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yrs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old and more than 65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CA"/>
        </w:rPr>
        <w:t>yrs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 old</w:t>
      </w:r>
    </w:p>
    <w:p w:rsidR="0061629B" w:rsidRDefault="0061629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61629B">
        <w:rPr>
          <w:rFonts w:ascii="Times New Roman" w:hAnsi="Times New Roman" w:cs="Times New Roman"/>
          <w:b/>
          <w:sz w:val="24"/>
          <w:szCs w:val="24"/>
          <w:lang w:val="en-CA"/>
        </w:rPr>
        <w:drawing>
          <wp:inline distT="0" distB="0" distL="0" distR="0" wp14:anchorId="729ADA3C" wp14:editId="39B328CF">
            <wp:extent cx="5943600" cy="3141980"/>
            <wp:effectExtent l="0" t="0" r="0" b="1270"/>
            <wp:docPr id="39938" name="Picture 2" descr="Proportion of population aged less than 15 years old and 65 years old and over, 1982 to 2036, Canada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38" name="Picture 2" descr="Proportion of population aged less than 15 years old and 65 years old and over, 1982 to 2036, Canada"/>
                    <pic:cNvPicPr>
                      <a:picLocks noGrp="1"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4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Profile of the older adults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More women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then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men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-greater number of older women than older men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-median age is higher for women (41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yrs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) than men (39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yrs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)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-more men die younger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population of old-old compared to young-old is increasing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International Comparisons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-the population is also getting older around the world</w:t>
      </w:r>
    </w:p>
    <w:p w:rsidR="0061629B" w:rsidRDefault="0061629B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-2010: 531 million over the age of 65</w:t>
      </w:r>
    </w:p>
    <w:p w:rsidR="0061629B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-2050: predicted to be 1.53 billion</w:t>
      </w:r>
    </w:p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-the percentage growth is expected to be especially pronounced in developing countries</w:t>
      </w:r>
    </w:p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Reasons for increases in 65 and older population:</w:t>
      </w:r>
    </w:p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-baby boomers</w:t>
      </w:r>
    </w:p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-increased life expectancy)/decreased mortality rate</w:t>
      </w:r>
    </w:p>
    <w:tbl>
      <w:tblPr>
        <w:tblpPr w:leftFromText="180" w:rightFromText="180" w:vertAnchor="text" w:tblpY="269"/>
        <w:tblW w:w="31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00"/>
        <w:gridCol w:w="720"/>
        <w:gridCol w:w="1000"/>
      </w:tblGrid>
      <w:tr w:rsidR="00912759" w:rsidRPr="00912759" w:rsidTr="00912759">
        <w:trPr>
          <w:trHeight w:val="487"/>
        </w:trPr>
        <w:tc>
          <w:tcPr>
            <w:tcW w:w="312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 xml:space="preserve">Life expectancy at birth, by sex 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 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Males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Females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 xml:space="preserve">Canada 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 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 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1920 to 1922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59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61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1930 to 1932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60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62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1940 to 1942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63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66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1950 to 1952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66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71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1960 to 1962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68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74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1970 to 1972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69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76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1980 to 1982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72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79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1990 to 1992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75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81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2000 to 2002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77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82</w:t>
            </w:r>
          </w:p>
        </w:tc>
      </w:tr>
      <w:tr w:rsidR="00912759" w:rsidRPr="00912759" w:rsidTr="00912759">
        <w:trPr>
          <w:trHeight w:val="487"/>
        </w:trPr>
        <w:tc>
          <w:tcPr>
            <w:tcW w:w="1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2007 to 2009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79 </w:t>
            </w:r>
          </w:p>
        </w:tc>
        <w:tc>
          <w:tcPr>
            <w:tcW w:w="1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32" w:type="dxa"/>
              <w:left w:w="64" w:type="dxa"/>
              <w:bottom w:w="32" w:type="dxa"/>
              <w:right w:w="64" w:type="dxa"/>
            </w:tcMar>
            <w:vAlign w:val="bottom"/>
            <w:hideMark/>
          </w:tcPr>
          <w:p w:rsidR="00912759" w:rsidRPr="00912759" w:rsidRDefault="00912759" w:rsidP="00912759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  <w:lang w:val="en-CA" w:eastAsia="en-CA"/>
              </w:rPr>
            </w:pPr>
            <w:r w:rsidRPr="00912759">
              <w:rPr>
                <w:rFonts w:ascii="Arial" w:eastAsia="Times New Roman" w:hAnsi="Arial" w:cs="Arial"/>
                <w:color w:val="000000" w:themeColor="dark1"/>
                <w:kern w:val="24"/>
                <w:sz w:val="21"/>
                <w:szCs w:val="21"/>
                <w:lang w:val="en-CA" w:eastAsia="en-CA"/>
              </w:rPr>
              <w:t>83 </w:t>
            </w:r>
          </w:p>
        </w:tc>
      </w:tr>
    </w:tbl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</w:p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-e.g. improved living conditions, medical advances, vaccinations, increased access to services</w:t>
      </w:r>
    </w:p>
    <w:p w:rsidR="00912759" w:rsidRPr="00912759" w:rsidRDefault="0091275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-decreasing birth rate</w:t>
      </w:r>
    </w:p>
    <w:p w:rsidR="00912759" w:rsidRDefault="0011727D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F- WHAT ARE THE IMPLICATIONS OF AN AGING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CA"/>
        </w:rPr>
        <w:t>POPULATION:</w:t>
      </w:r>
      <w:proofErr w:type="gramEnd"/>
    </w:p>
    <w:p w:rsidR="0011727D" w:rsidRDefault="0011727D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G-AGEISM</w:t>
      </w:r>
    </w:p>
    <w:p w:rsidR="0011727D" w:rsidRP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i/>
          <w:sz w:val="24"/>
          <w:szCs w:val="24"/>
          <w:lang w:val="en-CA"/>
        </w:rPr>
        <w:t xml:space="preserve">*Ageism: </w:t>
      </w:r>
      <w:r>
        <w:rPr>
          <w:rFonts w:ascii="Times New Roman" w:hAnsi="Times New Roman" w:cs="Times New Roman"/>
          <w:sz w:val="24"/>
          <w:szCs w:val="24"/>
          <w:lang w:val="en-CA"/>
        </w:rPr>
        <w:t>set of beliefs, attitudes and actions that discriminate people based on their age.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-underutilization of older peoples’ knowledge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-medical schools underemphasize geriatrics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older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adults receive less aggressive treatment- dismissed as normal aging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-abuse and neglect in nursing homes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-older adults in the media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More subtle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-talking exaggeratedly slow and loud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-distancing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Effects on older adults themselves: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-low self-esteem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-some will do just about anything to stay looking young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-internalize negative age stereotypes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Pessimism based on intergenerational interdependence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-resource threat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-benevolent prejudices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-prescriptive stereotypes</w:t>
      </w:r>
    </w:p>
    <w:p w:rsidR="0011727D" w:rsidRDefault="0011727D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-age progressions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Optimism based on intergenerational interdependence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age-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specific interests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-improved elder image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-increased contact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-less cognitive impairment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-elder altruism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Combating ageism: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-changing older adult’s self-perception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-priming of positive age stereotypes</w:t>
      </w:r>
    </w:p>
    <w:p w:rsidR="00F32D3F" w:rsidRDefault="00F32D3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-increased research on optimal aging</w:t>
      </w:r>
    </w:p>
    <w:p w:rsidR="00627815" w:rsidRDefault="00294D73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CA"/>
        </w:rPr>
        <w:t>2. METHODOLOGICAL ISSUES IN AGING</w:t>
      </w:r>
    </w:p>
    <w:p w:rsidR="00294D73" w:rsidRDefault="00294D7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A- ETHICAL ISSUES IN RESEARCH 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-Any research project involving human subjects, whether funded or not, must receive the approval of the Research Ethics Board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-ensure the rights of research participants are protected 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-e.g. Guatemala syphilis study scandal</w:t>
      </w:r>
    </w:p>
    <w:p w:rsidR="00294D73" w:rsidRDefault="00294D7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B-ROLE OF ETHICS BOARD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Research project description &amp; importance of the new knowledge gained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-describe the project and its objectives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-situate the project in the scholarly literature and provide the rationale for the study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-describe the anticipated contribution of the research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Possible physical and psychological risks</w:t>
      </w:r>
    </w:p>
    <w:p w:rsidR="00294D73" w:rsidRDefault="00294D73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-risk of physical harm and discomfort</w:t>
      </w:r>
    </w:p>
    <w:p w:rsidR="009979E1" w:rsidRDefault="009979E1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-risk of psychological or emotional harm or discomfort</w:t>
      </w:r>
    </w:p>
    <w:p w:rsidR="009979E1" w:rsidRDefault="009979E1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-legal and social repercussions</w:t>
      </w:r>
    </w:p>
    <w:p w:rsidR="009979E1" w:rsidRDefault="009979E1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-economic inconveniences</w:t>
      </w:r>
    </w:p>
    <w:p w:rsidR="009979E1" w:rsidRDefault="009979E1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lastRenderedPageBreak/>
        <w:t>Guarantee fair and impartial selection of subjects:</w:t>
      </w:r>
    </w:p>
    <w:p w:rsidR="009979E1" w:rsidRDefault="009979E1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-will all eligible individuals who volunteer be included in the study?</w:t>
      </w:r>
    </w:p>
    <w:p w:rsidR="009979E1" w:rsidRDefault="009979E1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-who will be recruiting participants?</w:t>
      </w:r>
    </w:p>
    <w:p w:rsidR="009979E1" w:rsidRDefault="009979E1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Privacy of participants:</w:t>
      </w:r>
    </w:p>
    <w:p w:rsidR="009979E1" w:rsidRDefault="009979E1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-anonymity:</w:t>
      </w:r>
      <w:r w:rsidR="005F26CF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gramStart"/>
      <w:r w:rsidR="005F26CF">
        <w:rPr>
          <w:rFonts w:ascii="Times New Roman" w:hAnsi="Times New Roman" w:cs="Times New Roman"/>
          <w:sz w:val="24"/>
          <w:szCs w:val="24"/>
          <w:lang w:val="en-CA"/>
        </w:rPr>
        <w:t>participants</w:t>
      </w:r>
      <w:proofErr w:type="gramEnd"/>
      <w:r w:rsidR="005F26CF">
        <w:rPr>
          <w:rFonts w:ascii="Times New Roman" w:hAnsi="Times New Roman" w:cs="Times New Roman"/>
          <w:sz w:val="24"/>
          <w:szCs w:val="24"/>
          <w:lang w:val="en-CA"/>
        </w:rPr>
        <w:t xml:space="preserve"> names are not associated with their responses</w:t>
      </w:r>
    </w:p>
    <w:p w:rsidR="005F26CF" w:rsidRDefault="005F26C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-will any information be collected which would permit specific research participants to be identified through identifiers such as their name, address, social insurance number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?</w:t>
      </w:r>
    </w:p>
    <w:p w:rsidR="005F26CF" w:rsidRDefault="005F26C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-please describe how the identity of the individuals will be safeguarded</w:t>
      </w:r>
    </w:p>
    <w:p w:rsidR="005F26CF" w:rsidRDefault="005F26C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Confidentiality of data:</w:t>
      </w:r>
    </w:p>
    <w:p w:rsidR="005F26CF" w:rsidRDefault="005F26C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-describe the physical (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locked office) and technical (e.g. encryption) safeguards that will be used to securely store all sources of date</w:t>
      </w:r>
    </w:p>
    <w:p w:rsidR="005F26CF" w:rsidRDefault="005F26C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-indicate how long data will be conserved</w:t>
      </w:r>
    </w:p>
    <w:p w:rsidR="005F26CF" w:rsidRDefault="005F26C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Free and informed consent:</w:t>
      </w:r>
    </w:p>
    <w:p w:rsidR="005F26CF" w:rsidRDefault="005F26CF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-individuals agree to participate in research voluntarily and that each participant understands as fully as possible the purpose of the research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-can withdraw from study at anytime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-describe the procedures that will be followed to obtain informed consent form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-could participants feel pressure to participate or perceive that they may be penalized?</w:t>
      </w:r>
      <w:proofErr w:type="gramEnd"/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Partial Disclosure/Deception: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-when incomplete disclosure of relevant information or an element of deception is necessary for the successful conduct of the research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-debriefing: information at study’s completion about its true purpose</w:t>
      </w:r>
    </w:p>
    <w:p w:rsidR="00B65712" w:rsidRDefault="00B6571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C-ETHICS SPECIFIC TO OLDER ADULTS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Consent by older participants: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-impaired cognitive functioning, hearing, speech, vision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-use strategies to make sure they understand the procedure and the risks involved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-having a memory problem does not automatically mean they cannot give consent</w:t>
      </w:r>
    </w:p>
    <w:p w:rsidR="00B65712" w:rsidRPr="00B65712" w:rsidRDefault="00B65712">
      <w:pPr>
        <w:spacing w:line="240" w:lineRule="auto"/>
        <w:rPr>
          <w:rFonts w:ascii="Times New Roman" w:hAnsi="Times New Roman" w:cs="Times New Roman"/>
          <w:i/>
          <w:sz w:val="24"/>
          <w:szCs w:val="24"/>
          <w:lang w:val="en-CA"/>
        </w:rPr>
      </w:pPr>
      <w:r w:rsidRPr="00B65712">
        <w:rPr>
          <w:rFonts w:ascii="Times New Roman" w:hAnsi="Times New Roman" w:cs="Times New Roman"/>
          <w:i/>
          <w:sz w:val="24"/>
          <w:szCs w:val="24"/>
          <w:lang w:val="en-CA"/>
        </w:rPr>
        <w:t>-3 levels of capacity to consent: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-understanding and consent is clear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-it is impossible to judge whether the person understood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-understanding should be aided by family members or carers</w:t>
      </w:r>
    </w:p>
    <w:p w:rsidR="00B65712" w:rsidRDefault="00B65712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D- EXPERIMENTAL DESIGNS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-dependent variable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-independent variable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-manipulation of the independent variable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-random assignment to treatment and control group or levels of exposure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e.g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. drug trials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Challenges: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 want to look at the effect of age on depression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 want to look at the effect of depression on social support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 want to look at the effect of abuse on depression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Quasi-experimental design: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 randomization is needed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-control for as many confounding variables as possible</w:t>
      </w:r>
    </w:p>
    <w:p w:rsidR="00B65712" w:rsidRDefault="00B65712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 causation claims can be made</w:t>
      </w:r>
    </w:p>
    <w:p w:rsidR="00B65712" w:rsidRDefault="00BB128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Laboratory Studies</w:t>
      </w:r>
    </w:p>
    <w:p w:rsidR="00BB1289" w:rsidRDefault="00BB128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-participants are tested in a systematic fashion using standardized procedures</w:t>
      </w:r>
    </w:p>
    <w:p w:rsidR="00BB1289" w:rsidRDefault="00BB1289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-may not generalize to real-world</w:t>
      </w:r>
    </w:p>
    <w:p w:rsidR="00BB1289" w:rsidRDefault="00BB1289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Q</w:t>
      </w:r>
      <w:r w:rsidR="0059560C">
        <w:rPr>
          <w:rFonts w:ascii="Times New Roman" w:hAnsi="Times New Roman" w:cs="Times New Roman"/>
          <w:sz w:val="24"/>
          <w:szCs w:val="24"/>
          <w:u w:val="single"/>
          <w:lang w:val="en-CA"/>
        </w:rPr>
        <w:t>ualitative Research</w:t>
      </w:r>
      <w:r w:rsidR="0059560C">
        <w:rPr>
          <w:rFonts w:ascii="Times New Roman" w:hAnsi="Times New Roman" w:cs="Times New Roman"/>
          <w:sz w:val="24"/>
          <w:szCs w:val="24"/>
          <w:u w:val="single"/>
          <w:lang w:val="en-CA"/>
        </w:rPr>
        <w:br/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-analysis of any unstructured data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-not numerical in nature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-allows for examination of open-ended questions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-achieve a deeper understanding of issues/rich descriptive detail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Archival Research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-the use of existing resources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-e.g. newspapers, magazine reports, government data or reports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-can be more easily accessible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 control over the information and how it was collected</w:t>
      </w:r>
    </w:p>
    <w:p w:rsidR="00B65712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Survey Research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-specific questions are asked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-survey: set of questions used to measure the participants’ attitudes, beliefs, health, work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environement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…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-Questionnaire: the participants read the questions and write their answers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ab/>
        <w:t xml:space="preserve">-Interview (telephone or in-person): the researcher reads the questions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and  records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the answers</w:t>
      </w:r>
    </w:p>
    <w:p w:rsidR="0059560C" w:rsidRDefault="0059560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Online surveys- Advantages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-certain populations may be made more accessible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-cross-cultural samples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-Internet surveys may achieve larger sample sizes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-the costs of email surveys are not dependent on the number of participants solicited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-possible to recruit from the whole population, rather than a randomly selected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sample  (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>e.g. email  list of university students)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-less time consuming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 need for printing or postage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-precision of data compilations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Challenges: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-sample representativeness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-response and nonresponse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-controlling testing conditions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Case reports: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-in-depth analysis of particular individuals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-can use multiple sources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-often used in early stages of research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-limitations: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-poor representation, cannot generalize beyond the participants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 xml:space="preserve">-poor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replicability</w:t>
      </w:r>
      <w:proofErr w:type="spellEnd"/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-no causal inferences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-relies heavily on the judgement of the researcher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Focus groups: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-meeting of a group of respondents oriented towards a specific topic</w:t>
      </w:r>
    </w:p>
    <w:p w:rsid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-useful to use prior to conducting more systematic investigation</w:t>
      </w: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Observational research:</w:t>
      </w: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 research method in which conclusions are drawn about behaviour through examination in particular setting</w:t>
      </w: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-direct observation, videotaping, participant observation</w:t>
      </w: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lastRenderedPageBreak/>
        <w:t>Correlational Research</w:t>
      </w: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-measure strength &amp; direction of relationship between 2 or more variables</w:t>
      </w: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-variables are not manipulated</w:t>
      </w: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-does not establish causality</w:t>
      </w:r>
    </w:p>
    <w:p w:rsid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-measurement procedure is decided before data collection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243444</wp:posOffset>
                </wp:positionH>
                <wp:positionV relativeFrom="paragraph">
                  <wp:posOffset>97806</wp:posOffset>
                </wp:positionV>
                <wp:extent cx="985652" cy="0"/>
                <wp:effectExtent l="0" t="76200" r="24130" b="1143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5652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9.15pt;margin-top:7.7pt;width:77.6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val="en-CA"/>
        </w:rPr>
        <w:t>A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B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B8E16E" wp14:editId="6BAD2455">
                <wp:simplePos x="0" y="0"/>
                <wp:positionH relativeFrom="column">
                  <wp:posOffset>169545</wp:posOffset>
                </wp:positionH>
                <wp:positionV relativeFrom="paragraph">
                  <wp:posOffset>102235</wp:posOffset>
                </wp:positionV>
                <wp:extent cx="985520" cy="0"/>
                <wp:effectExtent l="0" t="76200" r="24130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55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13.35pt;margin-top:8.05pt;width:77.6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B </w: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A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57B5E1" wp14:editId="7BE9733E">
                <wp:simplePos x="0" y="0"/>
                <wp:positionH relativeFrom="column">
                  <wp:posOffset>172085</wp:posOffset>
                </wp:positionH>
                <wp:positionV relativeFrom="paragraph">
                  <wp:posOffset>133985</wp:posOffset>
                </wp:positionV>
                <wp:extent cx="1056640" cy="225425"/>
                <wp:effectExtent l="0" t="57150" r="10160" b="222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6640" cy="225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13.55pt;margin-top:10.55pt;width:83.2pt;height:17.7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A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6B5CD0" wp14:editId="73D46E1A">
                <wp:simplePos x="0" y="0"/>
                <wp:positionH relativeFrom="column">
                  <wp:posOffset>172192</wp:posOffset>
                </wp:positionH>
                <wp:positionV relativeFrom="paragraph">
                  <wp:posOffset>141052</wp:posOffset>
                </wp:positionV>
                <wp:extent cx="1140031" cy="225632"/>
                <wp:effectExtent l="0" t="0" r="79375" b="984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0031" cy="2256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13.55pt;margin-top:11.1pt;width:89.75pt;height:1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val="en-CA"/>
        </w:rPr>
        <w:t>C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B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Correlation between hostility and blood pressure</w:t>
      </w:r>
    </w:p>
    <w:p w:rsidR="00482CA4" w:rsidRP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482CA4">
        <w:rPr>
          <w:rFonts w:ascii="Times New Roman" w:hAnsi="Times New Roman" w:cs="Times New Roman"/>
          <w:b/>
          <w:sz w:val="24"/>
          <w:szCs w:val="24"/>
          <w:lang w:val="en-CA"/>
        </w:rPr>
        <w:drawing>
          <wp:inline distT="0" distB="0" distL="0" distR="0" wp14:anchorId="586C15C9" wp14:editId="458CAC24">
            <wp:extent cx="4797425" cy="3124200"/>
            <wp:effectExtent l="0" t="0" r="3175" b="0"/>
            <wp:docPr id="6" name="Picture 2" descr="hostility type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ostility type a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 b="49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425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Multivariate correlational designs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-Relationship among more than 2 variables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-Control for confounds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Differential Research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-2 or more groups that are differentiated by a qualitative or quantitative variables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-participants are assigned to groups based on pre-existing characteristics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 manipulation of IV, only measuring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 causality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-artifacts and confounding variables</w:t>
      </w:r>
    </w:p>
    <w:p w:rsidR="00482CA4" w:rsidRDefault="00482CA4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CA"/>
        </w:rPr>
        <w:t>*Confounding: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When 2 variables vary simultaneously during a study, thus not allowing us to determine which of these variables are responsible</w:t>
      </w:r>
      <w:r w:rsidR="005C139D">
        <w:rPr>
          <w:rFonts w:ascii="Times New Roman" w:hAnsi="Times New Roman" w:cs="Times New Roman"/>
          <w:sz w:val="24"/>
          <w:szCs w:val="24"/>
          <w:lang w:val="en-CA"/>
        </w:rPr>
        <w:t xml:space="preserve"> for the change in the DV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             -e.g. Measure the effect of age on memory using 2 different measures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CA"/>
        </w:rPr>
        <w:t>*Artifact: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Effect of an independent variable that is actually the effect of another variable not properly controlled for.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           -it is a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results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of confounding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Cross sectional design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Advantages: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-quick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-inexpensive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-newer, better measures can be used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Challenges: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 causal effect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-no directionality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-compare individuals of different ages at one point in time</w:t>
      </w:r>
    </w:p>
    <w:p w:rsidR="005C139D" w:rsidRDefault="005C139D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-age</w:t>
      </w:r>
      <w:r w:rsidR="00CF6037">
        <w:rPr>
          <w:rFonts w:ascii="Times New Roman" w:hAnsi="Times New Roman" w:cs="Times New Roman"/>
          <w:sz w:val="24"/>
          <w:szCs w:val="24"/>
          <w:lang w:val="en-CA"/>
        </w:rPr>
        <w:t xml:space="preserve"> differences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-cannot untangle cohort effect from age effect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-selective survival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-what </w:t>
      </w:r>
      <w:proofErr w:type="gramStart"/>
      <w:r>
        <w:rPr>
          <w:rFonts w:ascii="Times New Roman" w:hAnsi="Times New Roman" w:cs="Times New Roman"/>
          <w:sz w:val="24"/>
          <w:szCs w:val="24"/>
          <w:lang w:val="en-CA"/>
        </w:rPr>
        <w:t>are range</w:t>
      </w:r>
      <w:proofErr w:type="gramEnd"/>
      <w:r>
        <w:rPr>
          <w:rFonts w:ascii="Times New Roman" w:hAnsi="Times New Roman" w:cs="Times New Roman"/>
          <w:sz w:val="24"/>
          <w:szCs w:val="24"/>
          <w:lang w:val="en-CA"/>
        </w:rPr>
        <w:t xml:space="preserve"> should be used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-differences in experience with testing between younger and older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sampls</w:t>
      </w:r>
      <w:proofErr w:type="spellEnd"/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-applicability of measures for different age samples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CA"/>
        </w:rPr>
        <w:t>Longitudinal Design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Advantages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-follow people repeatedly over time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-how individuals change over time (intra-individual differences) rather than individual differences</w:t>
      </w:r>
    </w:p>
    <w:p w:rsidR="00CF6037" w:rsidRPr="00CF6037" w:rsidRDefault="00CF6037" w:rsidP="00CF6037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hyperlink r:id="rId12" w:history="1">
        <w:r w:rsidRPr="00CF6037">
          <w:rPr>
            <w:rStyle w:val="Hyperlink"/>
            <w:rFonts w:ascii="Times New Roman" w:hAnsi="Times New Roman" w:cs="Times New Roman"/>
            <w:sz w:val="24"/>
            <w:szCs w:val="24"/>
            <w:lang w:val="en-CA"/>
          </w:rPr>
          <w:t>www.youtube.com/watch?feature=player_embedded&amp;v=2wNJxJBuAOY</w:t>
        </w:r>
      </w:hyperlink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CLSA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Challenges: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-length of time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-selective attrition: loss of participants from original sample</w:t>
      </w:r>
    </w:p>
    <w:p w:rsidR="00CF6037" w:rsidRDefault="00CF6037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 xml:space="preserve">         -examine whether attrition was</w:t>
      </w:r>
      <w:r w:rsidR="00882F0E">
        <w:rPr>
          <w:rFonts w:ascii="Times New Roman" w:hAnsi="Times New Roman" w:cs="Times New Roman"/>
          <w:sz w:val="24"/>
          <w:szCs w:val="24"/>
          <w:lang w:val="en-CA"/>
        </w:rPr>
        <w:t xml:space="preserve"> random</w:t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        -used techniques to enhance long-term participation</w:t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-practice effect can lead to improved performance</w:t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        -use alternate form of tests</w:t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-outdated tests</w:t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         -change to newer measures</w:t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-untangling the effect of aging vs. historical time</w:t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Problem with selective attrition</w:t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882F0E">
        <w:rPr>
          <w:rFonts w:ascii="Times New Roman" w:hAnsi="Times New Roman" w:cs="Times New Roman"/>
          <w:b/>
          <w:sz w:val="24"/>
          <w:szCs w:val="24"/>
          <w:lang w:val="en-CA"/>
        </w:rPr>
        <w:drawing>
          <wp:inline distT="0" distB="0" distL="0" distR="0" wp14:anchorId="20757328" wp14:editId="54CF93D5">
            <wp:extent cx="5943600" cy="2971800"/>
            <wp:effectExtent l="0" t="0" r="19050" b="19050"/>
            <wp:docPr id="1" name="Chart 1">
              <a:hlinkClick xmlns:a="http://schemas.openxmlformats.org/drawingml/2006/main" r:id="" action="ppaction://hlinksldjump?num=26"/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Longitudinal designs- include different cohorts</w:t>
      </w:r>
    </w:p>
    <w:tbl>
      <w:tblPr>
        <w:tblW w:w="12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24"/>
        <w:gridCol w:w="2424"/>
        <w:gridCol w:w="2424"/>
        <w:gridCol w:w="2424"/>
        <w:gridCol w:w="2444"/>
      </w:tblGrid>
      <w:tr w:rsidR="00882F0E" w:rsidRPr="00882F0E" w:rsidTr="00882F0E">
        <w:trPr>
          <w:trHeight w:val="1969"/>
        </w:trPr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00CC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Year of birth (Cohort)</w:t>
            </w:r>
          </w:p>
        </w:tc>
        <w:tc>
          <w:tcPr>
            <w:tcW w:w="9700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FFFFFF"/>
            </w:tcBorders>
            <w:shd w:val="clear" w:color="auto" w:fill="00CC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F0E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Year of Testing (Time of Measurement)</w:t>
            </w:r>
          </w:p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1980          1990           2000           2010   </w:t>
            </w:r>
          </w:p>
        </w:tc>
      </w:tr>
      <w:tr w:rsidR="00882F0E" w:rsidRPr="00882F0E" w:rsidTr="00882F0E">
        <w:trPr>
          <w:trHeight w:val="818"/>
        </w:trPr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1940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40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50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60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70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</w:tr>
      <w:tr w:rsidR="00882F0E" w:rsidRPr="00882F0E" w:rsidTr="00882F0E">
        <w:trPr>
          <w:trHeight w:val="818"/>
        </w:trPr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1930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50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60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70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80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</w:tr>
      <w:tr w:rsidR="00882F0E" w:rsidRPr="00882F0E" w:rsidTr="00882F0E">
        <w:trPr>
          <w:trHeight w:val="818"/>
        </w:trPr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1920</w:t>
            </w:r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60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70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80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  <w:tc>
          <w:tcPr>
            <w:tcW w:w="2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882F0E" w:rsidRDefault="00882F0E" w:rsidP="00882F0E">
            <w:pPr>
              <w:tabs>
                <w:tab w:val="left" w:pos="2132"/>
              </w:tabs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CA"/>
              </w:rPr>
            </w:pPr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90 </w:t>
            </w:r>
            <w:proofErr w:type="spellStart"/>
            <w:r w:rsidRPr="00882F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yrs</w:t>
            </w:r>
            <w:proofErr w:type="spellEnd"/>
          </w:p>
        </w:tc>
      </w:tr>
    </w:tbl>
    <w:p w:rsid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lastRenderedPageBreak/>
        <w:t>Longitudinal designs- include different cohorts sequentially</w:t>
      </w:r>
    </w:p>
    <w:p w:rsidR="00882F0E" w:rsidRPr="00882F0E" w:rsidRDefault="00882F0E" w:rsidP="00482CA4">
      <w:pPr>
        <w:tabs>
          <w:tab w:val="left" w:pos="2132"/>
        </w:tabs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  <w:r w:rsidRPr="00882F0E">
        <w:rPr>
          <w:rFonts w:ascii="Times New Roman" w:hAnsi="Times New Roman" w:cs="Times New Roman"/>
          <w:sz w:val="24"/>
          <w:szCs w:val="24"/>
          <w:lang w:val="en-CA"/>
        </w:rPr>
        <w:drawing>
          <wp:inline distT="0" distB="0" distL="0" distR="0" wp14:anchorId="00D1AB9A" wp14:editId="06B0DB8F">
            <wp:extent cx="5943600" cy="3257550"/>
            <wp:effectExtent l="0" t="0" r="0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82CA4" w:rsidRPr="00482CA4" w:rsidRDefault="00482CA4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59560C" w:rsidRP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p w:rsidR="0059560C" w:rsidRPr="0059560C" w:rsidRDefault="0059560C">
      <w:pPr>
        <w:spacing w:line="240" w:lineRule="auto"/>
        <w:rPr>
          <w:rFonts w:ascii="Times New Roman" w:hAnsi="Times New Roman" w:cs="Times New Roman"/>
          <w:sz w:val="24"/>
          <w:szCs w:val="24"/>
          <w:lang w:val="en-CA"/>
        </w:rPr>
      </w:pPr>
    </w:p>
    <w:sectPr w:rsidR="0059560C" w:rsidRPr="0059560C" w:rsidSect="0059560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188" w:rsidRDefault="00E34188" w:rsidP="0061629B">
      <w:pPr>
        <w:spacing w:after="0" w:line="240" w:lineRule="auto"/>
      </w:pPr>
      <w:r>
        <w:separator/>
      </w:r>
    </w:p>
  </w:endnote>
  <w:endnote w:type="continuationSeparator" w:id="0">
    <w:p w:rsidR="00E34188" w:rsidRDefault="00E34188" w:rsidP="00616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188" w:rsidRDefault="00E34188" w:rsidP="0061629B">
      <w:pPr>
        <w:spacing w:after="0" w:line="240" w:lineRule="auto"/>
      </w:pPr>
      <w:r>
        <w:separator/>
      </w:r>
    </w:p>
  </w:footnote>
  <w:footnote w:type="continuationSeparator" w:id="0">
    <w:p w:rsidR="00E34188" w:rsidRDefault="00E34188" w:rsidP="006162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ED"/>
    <w:rsid w:val="0011727D"/>
    <w:rsid w:val="0022664A"/>
    <w:rsid w:val="00294D73"/>
    <w:rsid w:val="00316F92"/>
    <w:rsid w:val="00482CA4"/>
    <w:rsid w:val="0059560C"/>
    <w:rsid w:val="005C139D"/>
    <w:rsid w:val="005F26CF"/>
    <w:rsid w:val="0061629B"/>
    <w:rsid w:val="00627815"/>
    <w:rsid w:val="00882F0E"/>
    <w:rsid w:val="008963ED"/>
    <w:rsid w:val="00912759"/>
    <w:rsid w:val="009979E1"/>
    <w:rsid w:val="00B65712"/>
    <w:rsid w:val="00B75C8B"/>
    <w:rsid w:val="00BB1289"/>
    <w:rsid w:val="00CF6037"/>
    <w:rsid w:val="00D55635"/>
    <w:rsid w:val="00E34188"/>
    <w:rsid w:val="00F3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5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C8B"/>
    <w:rPr>
      <w:rFonts w:ascii="Tahoma" w:hAnsi="Tahoma" w:cs="Tahoma"/>
      <w:sz w:val="16"/>
      <w:szCs w:val="16"/>
      <w:lang w:val="fr-CA"/>
    </w:rPr>
  </w:style>
  <w:style w:type="paragraph" w:styleId="Header">
    <w:name w:val="header"/>
    <w:basedOn w:val="Normal"/>
    <w:link w:val="HeaderChar"/>
    <w:uiPriority w:val="99"/>
    <w:unhideWhenUsed/>
    <w:rsid w:val="006162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29B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6162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29B"/>
    <w:rPr>
      <w:lang w:val="fr-CA"/>
    </w:rPr>
  </w:style>
  <w:style w:type="paragraph" w:styleId="NormalWeb">
    <w:name w:val="Normal (Web)"/>
    <w:basedOn w:val="Normal"/>
    <w:uiPriority w:val="99"/>
    <w:unhideWhenUsed/>
    <w:rsid w:val="00912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Hyperlink">
    <w:name w:val="Hyperlink"/>
    <w:basedOn w:val="DefaultParagraphFont"/>
    <w:uiPriority w:val="99"/>
    <w:unhideWhenUsed/>
    <w:rsid w:val="00CF60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5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C8B"/>
    <w:rPr>
      <w:rFonts w:ascii="Tahoma" w:hAnsi="Tahoma" w:cs="Tahoma"/>
      <w:sz w:val="16"/>
      <w:szCs w:val="16"/>
      <w:lang w:val="fr-CA"/>
    </w:rPr>
  </w:style>
  <w:style w:type="paragraph" w:styleId="Header">
    <w:name w:val="header"/>
    <w:basedOn w:val="Normal"/>
    <w:link w:val="HeaderChar"/>
    <w:uiPriority w:val="99"/>
    <w:unhideWhenUsed/>
    <w:rsid w:val="006162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29B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6162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29B"/>
    <w:rPr>
      <w:lang w:val="fr-CA"/>
    </w:rPr>
  </w:style>
  <w:style w:type="paragraph" w:styleId="NormalWeb">
    <w:name w:val="Normal (Web)"/>
    <w:basedOn w:val="Normal"/>
    <w:uiPriority w:val="99"/>
    <w:unhideWhenUsed/>
    <w:rsid w:val="00912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Hyperlink">
    <w:name w:val="Hyperlink"/>
    <w:basedOn w:val="DefaultParagraphFont"/>
    <w:uiPriority w:val="99"/>
    <w:unhideWhenUsed/>
    <w:rsid w:val="00CF60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youtube.com/watch?feature=player_embedded&amp;v=2wNJxJBuAOY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3388507888126994E-2"/>
          <c:y val="6.2462739032621069E-2"/>
          <c:w val="0.66840360680721367"/>
          <c:h val="0.80457349081364826"/>
        </c:manualLayout>
      </c:layout>
      <c:lineChart>
        <c:grouping val="standard"/>
        <c:varyColors val="0"/>
        <c:ser>
          <c:idx val="0"/>
          <c:order val="0"/>
          <c:tx>
            <c:strRef>
              <c:f>Sheet1!$E$12</c:f>
              <c:strCache>
                <c:ptCount val="1"/>
                <c:pt idx="0">
                  <c:v>Will die</c:v>
                </c:pt>
              </c:strCache>
            </c:strRef>
          </c:tx>
          <c:spPr>
            <a:ln w="57150">
              <a:solidFill>
                <a:schemeClr val="tx2">
                  <a:lumMod val="60000"/>
                  <a:lumOff val="40000"/>
                </a:schemeClr>
              </a:solidFill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marker>
            <c:symbol val="none"/>
          </c:marker>
          <c:cat>
            <c:strRef>
              <c:f>Sheet1!$F$11:$I$11</c:f>
              <c:strCache>
                <c:ptCount val="4"/>
                <c:pt idx="0">
                  <c:v>Time 1</c:v>
                </c:pt>
                <c:pt idx="1">
                  <c:v>Time 2</c:v>
                </c:pt>
                <c:pt idx="2">
                  <c:v>Time 3</c:v>
                </c:pt>
                <c:pt idx="3">
                  <c:v>Time 4</c:v>
                </c:pt>
              </c:strCache>
            </c:strRef>
          </c:cat>
          <c:val>
            <c:numRef>
              <c:f>Sheet1!$F$12:$I$12</c:f>
              <c:numCache>
                <c:formatCode>General</c:formatCode>
                <c:ptCount val="4"/>
                <c:pt idx="0">
                  <c:v>20.02</c:v>
                </c:pt>
                <c:pt idx="1">
                  <c:v>17.3</c:v>
                </c:pt>
                <c:pt idx="2">
                  <c:v>14.12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Sheet1!$E$13</c:f>
              <c:strCache>
                <c:ptCount val="1"/>
                <c:pt idx="0">
                  <c:v>Will survive</c:v>
                </c:pt>
              </c:strCache>
            </c:strRef>
          </c:tx>
          <c:spPr>
            <a:ln w="53975"/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marker>
            <c:symbol val="none"/>
          </c:marker>
          <c:cat>
            <c:strRef>
              <c:f>Sheet1!$F$11:$I$11</c:f>
              <c:strCache>
                <c:ptCount val="4"/>
                <c:pt idx="0">
                  <c:v>Time 1</c:v>
                </c:pt>
                <c:pt idx="1">
                  <c:v>Time 2</c:v>
                </c:pt>
                <c:pt idx="2">
                  <c:v>Time 3</c:v>
                </c:pt>
                <c:pt idx="3">
                  <c:v>Time 4</c:v>
                </c:pt>
              </c:strCache>
            </c:strRef>
          </c:cat>
          <c:val>
            <c:numRef>
              <c:f>Sheet1!$F$13:$I$13</c:f>
              <c:numCache>
                <c:formatCode>General</c:formatCode>
                <c:ptCount val="4"/>
                <c:pt idx="0">
                  <c:v>25.66</c:v>
                </c:pt>
                <c:pt idx="1">
                  <c:v>25.66</c:v>
                </c:pt>
                <c:pt idx="2">
                  <c:v>25.66</c:v>
                </c:pt>
                <c:pt idx="3">
                  <c:v>25.66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Sheet1!$E$14</c:f>
              <c:strCache>
                <c:ptCount val="1"/>
                <c:pt idx="0">
                  <c:v>Average</c:v>
                </c:pt>
              </c:strCache>
            </c:strRef>
          </c:tx>
          <c:spPr>
            <a:ln w="50800">
              <a:solidFill>
                <a:schemeClr val="accent3">
                  <a:lumMod val="75000"/>
                </a:schemeClr>
              </a:solidFill>
              <a:prstDash val="dash"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marker>
            <c:symbol val="none"/>
          </c:marker>
          <c:cat>
            <c:strRef>
              <c:f>Sheet1!$F$11:$I$11</c:f>
              <c:strCache>
                <c:ptCount val="4"/>
                <c:pt idx="0">
                  <c:v>Time 1</c:v>
                </c:pt>
                <c:pt idx="1">
                  <c:v>Time 2</c:v>
                </c:pt>
                <c:pt idx="2">
                  <c:v>Time 3</c:v>
                </c:pt>
                <c:pt idx="3">
                  <c:v>Time 4</c:v>
                </c:pt>
              </c:strCache>
            </c:strRef>
          </c:cat>
          <c:val>
            <c:numRef>
              <c:f>Sheet1!$F$14:$I$14</c:f>
              <c:numCache>
                <c:formatCode>General</c:formatCode>
                <c:ptCount val="4"/>
                <c:pt idx="0">
                  <c:v>22.84</c:v>
                </c:pt>
                <c:pt idx="1">
                  <c:v>21.479999999999986</c:v>
                </c:pt>
                <c:pt idx="2">
                  <c:v>19.89</c:v>
                </c:pt>
                <c:pt idx="3">
                  <c:v>25.66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8107264"/>
        <c:axId val="88126592"/>
      </c:lineChart>
      <c:catAx>
        <c:axId val="88107264"/>
        <c:scaling>
          <c:orientation val="minMax"/>
        </c:scaling>
        <c:delete val="0"/>
        <c:axPos val="b"/>
        <c:majorTickMark val="out"/>
        <c:minorTickMark val="none"/>
        <c:tickLblPos val="nextTo"/>
        <c:crossAx val="88126592"/>
        <c:crosses val="autoZero"/>
        <c:auto val="1"/>
        <c:lblAlgn val="ctr"/>
        <c:lblOffset val="100"/>
        <c:noMultiLvlLbl val="0"/>
      </c:catAx>
      <c:valAx>
        <c:axId val="88126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1072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7727598566308411"/>
          <c:y val="0.37609275403074632"/>
          <c:w val="0.31197132616487527"/>
          <c:h val="0.24781425759280135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800"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13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</dc:creator>
  <cp:lastModifiedBy>Isa</cp:lastModifiedBy>
  <cp:revision>4</cp:revision>
  <dcterms:created xsi:type="dcterms:W3CDTF">2013-01-29T00:11:00Z</dcterms:created>
  <dcterms:modified xsi:type="dcterms:W3CDTF">2013-01-29T03:24:00Z</dcterms:modified>
</cp:coreProperties>
</file>