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F13" w:rsidRDefault="00C37BE6" w:rsidP="001570E2">
      <w:pPr>
        <w:spacing w:before="240"/>
        <w:jc w:val="both"/>
        <w:rPr>
          <w:rFonts w:ascii="Times New Roman" w:hAnsi="Times New Roman" w:cs="Times New Roman"/>
          <w:b/>
          <w:sz w:val="24"/>
          <w:szCs w:val="24"/>
          <w:lang w:val="en-CA"/>
        </w:rPr>
      </w:pPr>
      <w:r>
        <w:rPr>
          <w:rFonts w:ascii="Times New Roman" w:hAnsi="Times New Roman" w:cs="Times New Roman"/>
          <w:sz w:val="24"/>
          <w:szCs w:val="24"/>
          <w:lang w:val="en-CA"/>
        </w:rPr>
        <w:t>wiw</w:t>
      </w:r>
      <w:bookmarkStart w:id="0" w:name="_GoBack"/>
      <w:bookmarkEnd w:id="0"/>
      <w:r w:rsidR="00054F13">
        <w:rPr>
          <w:rFonts w:ascii="Times New Roman" w:hAnsi="Times New Roman" w:cs="Times New Roman"/>
          <w:sz w:val="24"/>
          <w:szCs w:val="24"/>
          <w:lang w:val="en-CA"/>
        </w:rPr>
        <w:t xml:space="preserve"> </w:t>
      </w:r>
      <w:r w:rsidR="00070696">
        <w:rPr>
          <w:rFonts w:ascii="Times New Roman" w:hAnsi="Times New Roman" w:cs="Times New Roman"/>
          <w:b/>
          <w:sz w:val="24"/>
          <w:szCs w:val="24"/>
          <w:lang w:val="en-CA"/>
        </w:rPr>
        <w:t xml:space="preserve">Introduction </w:t>
      </w:r>
    </w:p>
    <w:p w:rsidR="00070696" w:rsidRDefault="00070696"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Noah’s eldest son Shem is the ancestor of both Jews and Arabs. Arabs trace their heritage to Ismael, Abraham’s first son born of Hagar, Sarah’s handmaiden. Jews trace themselves to Isaac, son of Abraham and Sarah.</w:t>
      </w:r>
    </w:p>
    <w:p w:rsidR="00070696" w:rsidRDefault="00070696"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Christians remained after the Muslim conquests; Nestorians in Persia and Iraq, and Maronites in Mount Lebanon. </w:t>
      </w:r>
    </w:p>
    <w:p w:rsidR="00070696" w:rsidRDefault="00070696"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According to </w:t>
      </w:r>
      <w:r>
        <w:rPr>
          <w:rFonts w:ascii="Times New Roman" w:hAnsi="Times New Roman" w:cs="Times New Roman"/>
          <w:i/>
          <w:sz w:val="24"/>
          <w:szCs w:val="24"/>
          <w:lang w:val="en-CA"/>
        </w:rPr>
        <w:t>halacha</w:t>
      </w:r>
      <w:r>
        <w:rPr>
          <w:rFonts w:ascii="Times New Roman" w:hAnsi="Times New Roman" w:cs="Times New Roman"/>
          <w:sz w:val="24"/>
          <w:szCs w:val="24"/>
          <w:lang w:val="en-CA"/>
        </w:rPr>
        <w:t xml:space="preserve">, the Jewish law, the term “Jew” can be applied to those who have a Jewish mother, or have converted to Judaism. The term Anti-Semitism was fired used by German racist Wilhelm Marr in 1879. </w:t>
      </w:r>
      <w:r w:rsidR="00B86425">
        <w:rPr>
          <w:rFonts w:ascii="Times New Roman" w:hAnsi="Times New Roman" w:cs="Times New Roman"/>
          <w:sz w:val="24"/>
          <w:szCs w:val="24"/>
          <w:lang w:val="en-CA"/>
        </w:rPr>
        <w:t xml:space="preserve">The Torah, or Pentateuch, consists of the first five books of Moses. </w:t>
      </w:r>
      <w:r w:rsidR="00B86425" w:rsidRPr="00B86425">
        <w:rPr>
          <w:rFonts w:ascii="Times New Roman" w:hAnsi="Times New Roman" w:cs="Times New Roman"/>
          <w:i/>
          <w:sz w:val="24"/>
          <w:szCs w:val="24"/>
          <w:lang w:val="en-CA"/>
        </w:rPr>
        <w:t>Eretz Yisrael</w:t>
      </w:r>
      <w:r w:rsidR="00B86425">
        <w:rPr>
          <w:rFonts w:ascii="Times New Roman" w:hAnsi="Times New Roman" w:cs="Times New Roman"/>
          <w:sz w:val="24"/>
          <w:szCs w:val="24"/>
          <w:lang w:val="en-CA"/>
        </w:rPr>
        <w:t xml:space="preserve"> consisted of the northern kingdom (Samaria was conquered in 721 B.C. by the Assyrians) and the southern kingdom (Judea was conquered in 586 B.C. by the Babylonians). The Israel slogan “Masada shall never fail again” demonstrates their determination for sovereignty. The oral law of the Rabbis was later codified as the </w:t>
      </w:r>
      <w:r w:rsidR="00B86425">
        <w:rPr>
          <w:rFonts w:ascii="Times New Roman" w:hAnsi="Times New Roman" w:cs="Times New Roman"/>
          <w:i/>
          <w:sz w:val="24"/>
          <w:szCs w:val="24"/>
          <w:lang w:val="en-CA"/>
        </w:rPr>
        <w:t xml:space="preserve">Mishnah </w:t>
      </w:r>
      <w:r w:rsidR="00B86425">
        <w:rPr>
          <w:rFonts w:ascii="Times New Roman" w:hAnsi="Times New Roman" w:cs="Times New Roman"/>
          <w:sz w:val="24"/>
          <w:szCs w:val="24"/>
          <w:lang w:val="en-CA"/>
        </w:rPr>
        <w:t xml:space="preserve">and the </w:t>
      </w:r>
      <w:r w:rsidR="00B86425">
        <w:rPr>
          <w:rFonts w:ascii="Times New Roman" w:hAnsi="Times New Roman" w:cs="Times New Roman"/>
          <w:i/>
          <w:sz w:val="24"/>
          <w:szCs w:val="24"/>
          <w:lang w:val="en-CA"/>
        </w:rPr>
        <w:t>Gemara</w:t>
      </w:r>
      <w:r w:rsidR="00B86425">
        <w:rPr>
          <w:rFonts w:ascii="Times New Roman" w:hAnsi="Times New Roman" w:cs="Times New Roman"/>
          <w:sz w:val="24"/>
          <w:szCs w:val="24"/>
          <w:lang w:val="en-CA"/>
        </w:rPr>
        <w:t xml:space="preserve">, forming the </w:t>
      </w:r>
      <w:r w:rsidR="00B86425">
        <w:rPr>
          <w:rFonts w:ascii="Times New Roman" w:hAnsi="Times New Roman" w:cs="Times New Roman"/>
          <w:i/>
          <w:sz w:val="24"/>
          <w:szCs w:val="24"/>
          <w:lang w:val="en-CA"/>
        </w:rPr>
        <w:t>Talmud</w:t>
      </w:r>
      <w:r w:rsidR="00B86425">
        <w:rPr>
          <w:rFonts w:ascii="Times New Roman" w:hAnsi="Times New Roman" w:cs="Times New Roman"/>
          <w:sz w:val="24"/>
          <w:szCs w:val="24"/>
          <w:lang w:val="en-CA"/>
        </w:rPr>
        <w:t xml:space="preserve">. </w:t>
      </w:r>
    </w:p>
    <w:p w:rsidR="00B86425" w:rsidRDefault="00B86425"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Islam has no centralised authority; the </w:t>
      </w:r>
      <w:r>
        <w:rPr>
          <w:rFonts w:ascii="Times New Roman" w:hAnsi="Times New Roman" w:cs="Times New Roman"/>
          <w:i/>
          <w:sz w:val="24"/>
          <w:szCs w:val="24"/>
          <w:lang w:val="en-CA"/>
        </w:rPr>
        <w:t xml:space="preserve">ulema </w:t>
      </w:r>
      <w:r>
        <w:rPr>
          <w:rFonts w:ascii="Times New Roman" w:hAnsi="Times New Roman" w:cs="Times New Roman"/>
          <w:sz w:val="24"/>
          <w:szCs w:val="24"/>
          <w:lang w:val="en-CA"/>
        </w:rPr>
        <w:t>(theologians, jurists, and teachers) serve this function.</w:t>
      </w:r>
      <w:r w:rsidR="00786DE5">
        <w:rPr>
          <w:rFonts w:ascii="Times New Roman" w:hAnsi="Times New Roman" w:cs="Times New Roman"/>
          <w:sz w:val="24"/>
          <w:szCs w:val="24"/>
          <w:lang w:val="en-CA"/>
        </w:rPr>
        <w:t xml:space="preserve"> One of the duties of Muslims is to extend Islam. </w:t>
      </w:r>
      <w:r w:rsidR="00786DE5">
        <w:rPr>
          <w:rFonts w:ascii="Times New Roman" w:hAnsi="Times New Roman" w:cs="Times New Roman"/>
          <w:i/>
          <w:sz w:val="24"/>
          <w:szCs w:val="24"/>
          <w:lang w:val="en-CA"/>
        </w:rPr>
        <w:t xml:space="preserve">Dar-al-Harb </w:t>
      </w:r>
      <w:r w:rsidR="00786DE5">
        <w:rPr>
          <w:rFonts w:ascii="Times New Roman" w:hAnsi="Times New Roman" w:cs="Times New Roman"/>
          <w:sz w:val="24"/>
          <w:szCs w:val="24"/>
          <w:lang w:val="en-CA"/>
        </w:rPr>
        <w:t xml:space="preserve">(House of War) and </w:t>
      </w:r>
      <w:r w:rsidR="00786DE5">
        <w:rPr>
          <w:rFonts w:ascii="Times New Roman" w:hAnsi="Times New Roman" w:cs="Times New Roman"/>
          <w:i/>
          <w:sz w:val="24"/>
          <w:szCs w:val="24"/>
          <w:lang w:val="en-CA"/>
        </w:rPr>
        <w:t>Dar-al-Islam</w:t>
      </w:r>
      <w:r w:rsidR="00786DE5">
        <w:rPr>
          <w:rFonts w:ascii="Times New Roman" w:hAnsi="Times New Roman" w:cs="Times New Roman"/>
          <w:sz w:val="24"/>
          <w:szCs w:val="24"/>
          <w:lang w:val="en-CA"/>
        </w:rPr>
        <w:t xml:space="preserve"> (House of Submission) </w:t>
      </w:r>
    </w:p>
    <w:p w:rsidR="00F44678" w:rsidRDefault="00F44678" w:rsidP="001570E2">
      <w:pPr>
        <w:spacing w:before="240"/>
        <w:jc w:val="both"/>
        <w:rPr>
          <w:rFonts w:ascii="Times New Roman" w:hAnsi="Times New Roman" w:cs="Times New Roman"/>
          <w:sz w:val="24"/>
          <w:szCs w:val="24"/>
          <w:lang w:val="en-CA"/>
        </w:rPr>
      </w:pPr>
      <w:r>
        <w:rPr>
          <w:rFonts w:ascii="Times New Roman" w:hAnsi="Times New Roman" w:cs="Times New Roman"/>
          <w:b/>
          <w:sz w:val="24"/>
          <w:szCs w:val="24"/>
          <w:lang w:val="en-CA"/>
        </w:rPr>
        <w:t>Chapter I – Palestine under the Ottoman Empire</w:t>
      </w:r>
    </w:p>
    <w:p w:rsidR="00F44678" w:rsidRDefault="00F44678"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reign of the Ottoman Empire lasted from 1516 to 1918, and the territory was divided under </w:t>
      </w:r>
      <w:r w:rsidRPr="00F44678">
        <w:rPr>
          <w:rFonts w:ascii="Times New Roman" w:hAnsi="Times New Roman" w:cs="Times New Roman"/>
          <w:i/>
          <w:sz w:val="24"/>
          <w:szCs w:val="24"/>
          <w:lang w:val="en-CA"/>
        </w:rPr>
        <w:t>sanjak</w:t>
      </w:r>
      <w:r>
        <w:rPr>
          <w:rFonts w:ascii="Times New Roman" w:hAnsi="Times New Roman" w:cs="Times New Roman"/>
          <w:sz w:val="24"/>
          <w:szCs w:val="24"/>
          <w:lang w:val="en-CA"/>
        </w:rPr>
        <w:t xml:space="preserve"> administrative units, rather than being a province per se. It was not until the rule of Abdul Hamid II (1876-1909) that there was significant economic development in the region, which was composed of around 446,000 Arabs, the proportion of the land being owned by peasants, </w:t>
      </w:r>
      <w:r>
        <w:rPr>
          <w:rFonts w:ascii="Times New Roman" w:hAnsi="Times New Roman" w:cs="Times New Roman"/>
          <w:i/>
          <w:sz w:val="24"/>
          <w:szCs w:val="24"/>
          <w:lang w:val="en-CA"/>
        </w:rPr>
        <w:t>fellahin</w:t>
      </w:r>
      <w:r>
        <w:rPr>
          <w:rFonts w:ascii="Times New Roman" w:hAnsi="Times New Roman" w:cs="Times New Roman"/>
          <w:sz w:val="24"/>
          <w:szCs w:val="24"/>
          <w:lang w:val="en-CA"/>
        </w:rPr>
        <w:t xml:space="preserve">, being limited to 20 % in the Galilee and 50 % in Judea. 16 % of the population was Christian. The Jewish population numbered 15,000 and while it was given some degrees of autonomy, they were subject to the status of second-class citizens, </w:t>
      </w:r>
      <w:r>
        <w:rPr>
          <w:rFonts w:ascii="Times New Roman" w:hAnsi="Times New Roman" w:cs="Times New Roman"/>
          <w:i/>
          <w:sz w:val="24"/>
          <w:szCs w:val="24"/>
          <w:lang w:val="en-CA"/>
        </w:rPr>
        <w:t>dhimmis</w:t>
      </w:r>
      <w:r>
        <w:rPr>
          <w:rFonts w:ascii="Times New Roman" w:hAnsi="Times New Roman" w:cs="Times New Roman"/>
          <w:sz w:val="24"/>
          <w:szCs w:val="24"/>
          <w:lang w:val="en-CA"/>
        </w:rPr>
        <w:t xml:space="preserve">; however the Tanzimat (1839-1876) reforms improved their rights. Europeans like Henry John Temple, Viscount Palmerston, British foreign secretary, became interested in providing them with protection.  The assassination of Czar Alexander II in 1881 led to a wave of pogroms, and subsequent deportations. Those who stayed behind formed radical societies, like the </w:t>
      </w:r>
      <w:r w:rsidRPr="00F44678">
        <w:rPr>
          <w:rFonts w:ascii="Times New Roman" w:hAnsi="Times New Roman" w:cs="Times New Roman"/>
          <w:i/>
          <w:sz w:val="24"/>
          <w:szCs w:val="24"/>
          <w:lang w:val="en-CA"/>
        </w:rPr>
        <w:t>Yidisher Arbeter Bund</w:t>
      </w:r>
      <w:r w:rsidR="00C34DB3">
        <w:rPr>
          <w:rFonts w:ascii="Times New Roman" w:hAnsi="Times New Roman" w:cs="Times New Roman"/>
          <w:sz w:val="24"/>
          <w:szCs w:val="24"/>
          <w:lang w:val="en-CA"/>
        </w:rPr>
        <w:t xml:space="preserve">, or “General Union of Jewish Workers of Lithuania, Poland, and Russia,” founded in 1897 in Vilna. Leo Pinkster advocated a secular and socialist Jewish state in his 1882 book </w:t>
      </w:r>
      <w:r w:rsidR="00C34DB3">
        <w:rPr>
          <w:rFonts w:ascii="Times New Roman" w:hAnsi="Times New Roman" w:cs="Times New Roman"/>
          <w:i/>
          <w:sz w:val="24"/>
          <w:szCs w:val="24"/>
          <w:lang w:val="en-CA"/>
        </w:rPr>
        <w:t>Auto-Emancipation</w:t>
      </w:r>
      <w:r w:rsidR="00C34DB3">
        <w:rPr>
          <w:rFonts w:ascii="Times New Roman" w:hAnsi="Times New Roman" w:cs="Times New Roman"/>
          <w:sz w:val="24"/>
          <w:szCs w:val="24"/>
          <w:lang w:val="en-CA"/>
        </w:rPr>
        <w:t xml:space="preserve">. Theodor Herzl was shocked by the anti-Semitism displayed during the Dreyfus trial, in which a French army officer was fraudulently charged with treason in 1894, his sentence being finally lifted in 1906, following the confession of one of the </w:t>
      </w:r>
      <w:r w:rsidR="00C34DB3">
        <w:rPr>
          <w:rFonts w:ascii="Times New Roman" w:hAnsi="Times New Roman" w:cs="Times New Roman"/>
          <w:sz w:val="24"/>
          <w:szCs w:val="24"/>
          <w:lang w:val="en-CA"/>
        </w:rPr>
        <w:lastRenderedPageBreak/>
        <w:t xml:space="preserve">accusers. Herzl advocated a Jewish state in his 1889 book </w:t>
      </w:r>
      <w:r w:rsidR="00C34DB3">
        <w:rPr>
          <w:rFonts w:ascii="Times New Roman" w:hAnsi="Times New Roman" w:cs="Times New Roman"/>
          <w:i/>
          <w:sz w:val="24"/>
          <w:szCs w:val="24"/>
          <w:lang w:val="en-CA"/>
        </w:rPr>
        <w:t>Der Judenstaat</w:t>
      </w:r>
      <w:r w:rsidR="00C34DB3">
        <w:rPr>
          <w:rFonts w:ascii="Times New Roman" w:hAnsi="Times New Roman" w:cs="Times New Roman"/>
          <w:sz w:val="24"/>
          <w:szCs w:val="24"/>
          <w:lang w:val="en-CA"/>
        </w:rPr>
        <w:t xml:space="preserve">. An earlier Zionist theoretician had been Moses Hess, who encapsulated the idea in books published in 1862 and 1867. The first Zionist congress was on August 29, 1897 in Basel, Switzerland, and it was attended by 204 delegates. The British offered the el-Arish region in the Sinai Peninsula in 1902 and Uganda in 1903 for such a purpose. Cyprus had also been considered in 1899. The Jewish National Fund was established in 1901 for the purchase of land, which was followed in 1908 by the Palestine Land Development Company to assists with the colonisation. In 1891, Asher Ginsberg denounced the notion of “a land without a people”, and instead urged that they acknowledge the Arabic character of the region. The first settlers arrived in Jaffa on July 7, 1882, a group composed of 13 men and one woman. By 1903, 90,000 acres of land had been purchased, and some 10,000 Jews had settled, supported financially by figures such as Baron Edmond de Rothschild, Sir Moses Montefiore, and Baron Maurice de Hirsh. Other initiatives included the </w:t>
      </w:r>
      <w:r w:rsidR="00C34DB3" w:rsidRPr="00C34DB3">
        <w:rPr>
          <w:rFonts w:ascii="Times New Roman" w:hAnsi="Times New Roman" w:cs="Times New Roman"/>
          <w:i/>
          <w:sz w:val="24"/>
          <w:szCs w:val="24"/>
          <w:lang w:val="en-CA"/>
        </w:rPr>
        <w:t>Paalei Zion</w:t>
      </w:r>
      <w:r w:rsidR="00C34DB3">
        <w:rPr>
          <w:rFonts w:ascii="Times New Roman" w:hAnsi="Times New Roman" w:cs="Times New Roman"/>
          <w:sz w:val="24"/>
          <w:szCs w:val="24"/>
          <w:lang w:val="en-CA"/>
        </w:rPr>
        <w:t xml:space="preserve"> (Labour Zionism) of David Ben-Gurion and Izhak Ben-Zvi. By 1914, out of a population of 722,000, 60,000 were Jews. There was a communal division between the new settlers and the existing communities of the </w:t>
      </w:r>
      <w:r w:rsidR="00C34DB3">
        <w:rPr>
          <w:rFonts w:ascii="Times New Roman" w:hAnsi="Times New Roman" w:cs="Times New Roman"/>
          <w:i/>
          <w:sz w:val="24"/>
          <w:szCs w:val="24"/>
          <w:lang w:val="en-CA"/>
        </w:rPr>
        <w:t>Yishuv</w:t>
      </w:r>
      <w:r w:rsidR="00C34DB3">
        <w:rPr>
          <w:rFonts w:ascii="Times New Roman" w:hAnsi="Times New Roman" w:cs="Times New Roman"/>
          <w:sz w:val="24"/>
          <w:szCs w:val="24"/>
          <w:lang w:val="en-CA"/>
        </w:rPr>
        <w:t xml:space="preserve">. The most vocal opponents of the immigration were Greek Orthodox Christians. </w:t>
      </w:r>
    </w:p>
    <w:p w:rsidR="00C34DB3" w:rsidRDefault="00C34DB3" w:rsidP="001570E2">
      <w:pPr>
        <w:spacing w:before="240"/>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Chapter II – Palestine </w:t>
      </w:r>
      <w:r w:rsidR="00300DD1">
        <w:rPr>
          <w:rFonts w:ascii="Times New Roman" w:hAnsi="Times New Roman" w:cs="Times New Roman"/>
          <w:b/>
          <w:sz w:val="24"/>
          <w:szCs w:val="24"/>
          <w:lang w:val="en-CA"/>
        </w:rPr>
        <w:t>during</w:t>
      </w:r>
      <w:r>
        <w:rPr>
          <w:rFonts w:ascii="Times New Roman" w:hAnsi="Times New Roman" w:cs="Times New Roman"/>
          <w:b/>
          <w:sz w:val="24"/>
          <w:szCs w:val="24"/>
          <w:lang w:val="en-CA"/>
        </w:rPr>
        <w:t xml:space="preserve"> the Mandate</w:t>
      </w:r>
    </w:p>
    <w:p w:rsidR="001D78DE" w:rsidRDefault="00C34DB3" w:rsidP="001570E2">
      <w:pPr>
        <w:spacing w:before="240"/>
        <w:jc w:val="both"/>
        <w:rPr>
          <w:rFonts w:ascii="Times New Roman" w:hAnsi="Times New Roman" w:cs="Times New Roman"/>
          <w:sz w:val="24"/>
          <w:szCs w:val="24"/>
          <w:lang w:val="en-CA"/>
        </w:rPr>
      </w:pPr>
      <w:proofErr w:type="spellStart"/>
      <w:r>
        <w:rPr>
          <w:rFonts w:ascii="Times New Roman" w:hAnsi="Times New Roman" w:cs="Times New Roman"/>
          <w:sz w:val="24"/>
          <w:szCs w:val="24"/>
          <w:lang w:val="en-CA"/>
        </w:rPr>
        <w:t>Sherif</w:t>
      </w:r>
      <w:proofErr w:type="spellEnd"/>
      <w:r>
        <w:rPr>
          <w:rFonts w:ascii="Times New Roman" w:hAnsi="Times New Roman" w:cs="Times New Roman"/>
          <w:sz w:val="24"/>
          <w:szCs w:val="24"/>
          <w:lang w:val="en-CA"/>
        </w:rPr>
        <w:t xml:space="preserve"> Hussein of Mecca discussed the conditions for an Arab uprising with Sir Henry McMahon. Al-</w:t>
      </w:r>
      <w:proofErr w:type="spellStart"/>
      <w:r w:rsidR="009C6D4A">
        <w:rPr>
          <w:rFonts w:ascii="Times New Roman" w:hAnsi="Times New Roman" w:cs="Times New Roman"/>
          <w:sz w:val="24"/>
          <w:szCs w:val="24"/>
          <w:lang w:val="en-CA"/>
        </w:rPr>
        <w:t>Fatat</w:t>
      </w:r>
      <w:proofErr w:type="spellEnd"/>
      <w:r w:rsidR="009C6D4A">
        <w:rPr>
          <w:rFonts w:ascii="Times New Roman" w:hAnsi="Times New Roman" w:cs="Times New Roman"/>
          <w:sz w:val="24"/>
          <w:szCs w:val="24"/>
          <w:lang w:val="en-CA"/>
        </w:rPr>
        <w:t xml:space="preserve"> and Al-</w:t>
      </w:r>
      <w:proofErr w:type="spellStart"/>
      <w:r w:rsidR="009C6D4A">
        <w:rPr>
          <w:rFonts w:ascii="Times New Roman" w:hAnsi="Times New Roman" w:cs="Times New Roman"/>
          <w:sz w:val="24"/>
          <w:szCs w:val="24"/>
          <w:lang w:val="en-CA"/>
        </w:rPr>
        <w:t>Ahd</w:t>
      </w:r>
      <w:proofErr w:type="spellEnd"/>
      <w:r w:rsidR="009C6D4A">
        <w:rPr>
          <w:rFonts w:ascii="Times New Roman" w:hAnsi="Times New Roman" w:cs="Times New Roman"/>
          <w:sz w:val="24"/>
          <w:szCs w:val="24"/>
          <w:lang w:val="en-CA"/>
        </w:rPr>
        <w:t xml:space="preserve"> were secret societies which were nationalistic, having been founded in 1911 and 1914 respectively. They produced the Damascus Protocol </w:t>
      </w:r>
      <w:proofErr w:type="spellStart"/>
      <w:proofErr w:type="gramStart"/>
      <w:r w:rsidR="009C6D4A">
        <w:rPr>
          <w:rFonts w:ascii="Times New Roman" w:hAnsi="Times New Roman" w:cs="Times New Roman"/>
          <w:sz w:val="24"/>
          <w:szCs w:val="24"/>
          <w:lang w:val="en-CA"/>
        </w:rPr>
        <w:t>fo</w:t>
      </w:r>
      <w:proofErr w:type="spellEnd"/>
      <w:proofErr w:type="gramEnd"/>
      <w:r w:rsidR="009C6D4A">
        <w:rPr>
          <w:rFonts w:ascii="Times New Roman" w:hAnsi="Times New Roman" w:cs="Times New Roman"/>
          <w:sz w:val="24"/>
          <w:szCs w:val="24"/>
          <w:lang w:val="en-CA"/>
        </w:rPr>
        <w:t xml:space="preserve"> 1915. The Balfour declaration was issued on November 2, 1917, but was ambiguous due to the opposition steaming from the British cabinet, amongst them Jewish Sir Edwin Montagu, who feared it would produce accusations of dual loyalty. Balfour had previously introduced a bill restricting Jewish immigration to the island in 1905. Chaim Weizmann and King Feisal met in London in 1918, leading to a provisional agreement in January 1919. Faisal wrote months later to Felix Frankfurter, saying that there was room in Syria for both national movements. An Arab congress later repudiated his dealings with the Zionists. The King-Crane commission confirmed the Arab rejection of Zionist goals. Palestine was first defined at the San Remo conference of April 1920, and encompassed contemporary Israel and Jordan. Transjordan consisted of 300,000 inhabitants in 1921. The Balfour declaration became international law in July 22 when it was ratified by the League of Nations. The Jewish community elected its own assembly, the </w:t>
      </w:r>
      <w:proofErr w:type="spellStart"/>
      <w:r w:rsidR="009C6D4A">
        <w:rPr>
          <w:rFonts w:ascii="Times New Roman" w:hAnsi="Times New Roman" w:cs="Times New Roman"/>
          <w:sz w:val="24"/>
          <w:szCs w:val="24"/>
          <w:lang w:val="en-CA"/>
        </w:rPr>
        <w:t>Vaad</w:t>
      </w:r>
      <w:proofErr w:type="spellEnd"/>
      <w:r w:rsidR="009C6D4A">
        <w:rPr>
          <w:rFonts w:ascii="Times New Roman" w:hAnsi="Times New Roman" w:cs="Times New Roman"/>
          <w:sz w:val="24"/>
          <w:szCs w:val="24"/>
          <w:lang w:val="en-CA"/>
        </w:rPr>
        <w:t xml:space="preserve"> </w:t>
      </w:r>
      <w:proofErr w:type="spellStart"/>
      <w:r w:rsidR="009C6D4A">
        <w:rPr>
          <w:rFonts w:ascii="Times New Roman" w:hAnsi="Times New Roman" w:cs="Times New Roman"/>
          <w:sz w:val="24"/>
          <w:szCs w:val="24"/>
          <w:lang w:val="en-CA"/>
        </w:rPr>
        <w:t>Leumi</w:t>
      </w:r>
      <w:proofErr w:type="spellEnd"/>
      <w:r w:rsidR="009C6D4A">
        <w:rPr>
          <w:rFonts w:ascii="Times New Roman" w:hAnsi="Times New Roman" w:cs="Times New Roman"/>
          <w:sz w:val="24"/>
          <w:szCs w:val="24"/>
          <w:lang w:val="en-CA"/>
        </w:rPr>
        <w:t xml:space="preserve">. Most of them were socialists, but in 1925, the revisionist Zionists of Vladimir Jabotinsky refused the 1921 partition that abrogated claims to the territory past the Jordan River. In 1931, they formed their own militia, the </w:t>
      </w:r>
      <w:proofErr w:type="spellStart"/>
      <w:r w:rsidR="009C6D4A">
        <w:rPr>
          <w:rFonts w:ascii="Times New Roman" w:hAnsi="Times New Roman" w:cs="Times New Roman"/>
          <w:sz w:val="24"/>
          <w:szCs w:val="24"/>
          <w:lang w:val="en-CA"/>
        </w:rPr>
        <w:t>Irgun</w:t>
      </w:r>
      <w:proofErr w:type="spellEnd"/>
      <w:r w:rsidR="009C6D4A">
        <w:rPr>
          <w:rFonts w:ascii="Times New Roman" w:hAnsi="Times New Roman" w:cs="Times New Roman"/>
          <w:sz w:val="24"/>
          <w:szCs w:val="24"/>
          <w:lang w:val="en-CA"/>
        </w:rPr>
        <w:t xml:space="preserve"> </w:t>
      </w:r>
      <w:proofErr w:type="spellStart"/>
      <w:r w:rsidR="009C6D4A">
        <w:rPr>
          <w:rFonts w:ascii="Times New Roman" w:hAnsi="Times New Roman" w:cs="Times New Roman"/>
          <w:sz w:val="24"/>
          <w:szCs w:val="24"/>
          <w:lang w:val="en-CA"/>
        </w:rPr>
        <w:t>Zvai</w:t>
      </w:r>
      <w:proofErr w:type="spellEnd"/>
      <w:r w:rsidR="009C6D4A">
        <w:rPr>
          <w:rFonts w:ascii="Times New Roman" w:hAnsi="Times New Roman" w:cs="Times New Roman"/>
          <w:sz w:val="24"/>
          <w:szCs w:val="24"/>
          <w:lang w:val="en-CA"/>
        </w:rPr>
        <w:t xml:space="preserve"> </w:t>
      </w:r>
      <w:proofErr w:type="spellStart"/>
      <w:r w:rsidR="009C6D4A">
        <w:rPr>
          <w:rFonts w:ascii="Times New Roman" w:hAnsi="Times New Roman" w:cs="Times New Roman"/>
          <w:sz w:val="24"/>
          <w:szCs w:val="24"/>
          <w:lang w:val="en-CA"/>
        </w:rPr>
        <w:t>Leumi</w:t>
      </w:r>
      <w:proofErr w:type="spellEnd"/>
      <w:r w:rsidR="009C6D4A">
        <w:rPr>
          <w:rFonts w:ascii="Times New Roman" w:hAnsi="Times New Roman" w:cs="Times New Roman"/>
          <w:sz w:val="24"/>
          <w:szCs w:val="24"/>
          <w:lang w:val="en-CA"/>
        </w:rPr>
        <w:t xml:space="preserve">, which became defunct in 1940 but was revived by Menachem Begin in 1942. Brit Shalom and </w:t>
      </w:r>
      <w:proofErr w:type="spellStart"/>
      <w:r w:rsidR="001D78DE" w:rsidRPr="001D78DE">
        <w:rPr>
          <w:rFonts w:ascii="Times New Roman" w:hAnsi="Times New Roman" w:cs="Times New Roman"/>
          <w:sz w:val="24"/>
          <w:szCs w:val="24"/>
          <w:lang w:val="en-CA"/>
        </w:rPr>
        <w:t>Hashomer</w:t>
      </w:r>
      <w:proofErr w:type="spellEnd"/>
      <w:r w:rsidR="001D78DE" w:rsidRPr="001D78DE">
        <w:rPr>
          <w:rFonts w:ascii="Times New Roman" w:hAnsi="Times New Roman" w:cs="Times New Roman"/>
          <w:sz w:val="24"/>
          <w:szCs w:val="24"/>
          <w:lang w:val="en-CA"/>
        </w:rPr>
        <w:t xml:space="preserve"> </w:t>
      </w:r>
      <w:proofErr w:type="spellStart"/>
      <w:r w:rsidR="001D78DE" w:rsidRPr="001D78DE">
        <w:rPr>
          <w:rFonts w:ascii="Times New Roman" w:hAnsi="Times New Roman" w:cs="Times New Roman"/>
          <w:sz w:val="24"/>
          <w:szCs w:val="24"/>
          <w:lang w:val="en-CA"/>
        </w:rPr>
        <w:t>Hatzair</w:t>
      </w:r>
      <w:proofErr w:type="spellEnd"/>
      <w:r w:rsidR="001D78DE" w:rsidRPr="001D78DE">
        <w:rPr>
          <w:rFonts w:ascii="Times New Roman" w:hAnsi="Times New Roman" w:cs="Times New Roman"/>
          <w:sz w:val="24"/>
          <w:szCs w:val="24"/>
          <w:lang w:val="en-CA"/>
        </w:rPr>
        <w:t xml:space="preserve"> </w:t>
      </w:r>
      <w:r w:rsidR="009C6D4A">
        <w:rPr>
          <w:rFonts w:ascii="Times New Roman" w:hAnsi="Times New Roman" w:cs="Times New Roman"/>
          <w:sz w:val="24"/>
          <w:szCs w:val="24"/>
          <w:lang w:val="en-CA"/>
        </w:rPr>
        <w:t xml:space="preserve">advocated a national state. On the Palestinian side, the two most influential families were the Husseini and the Nashashibi. In 1921, Sir Herbert Samuel </w:t>
      </w:r>
      <w:r w:rsidR="009C6D4A">
        <w:rPr>
          <w:rFonts w:ascii="Times New Roman" w:hAnsi="Times New Roman" w:cs="Times New Roman"/>
          <w:sz w:val="24"/>
          <w:szCs w:val="24"/>
          <w:lang w:val="en-CA"/>
        </w:rPr>
        <w:lastRenderedPageBreak/>
        <w:t xml:space="preserve">appointed Hajj Amin al-Husseini as grand mufti of Jerusalem and head of the Supreme Muslim Council. While supposed to be democratic election, Husseini received fewer votes than the top three candidates. In 1936, the Arab Higher Committee was established, but later banned by the British after escalating violence. The first major purchase of land of the Jewish National Fund took place in 1921, when twenty-two villages </w:t>
      </w:r>
      <w:r w:rsidR="001D78DE">
        <w:rPr>
          <w:rFonts w:ascii="Times New Roman" w:hAnsi="Times New Roman" w:cs="Times New Roman"/>
          <w:sz w:val="24"/>
          <w:szCs w:val="24"/>
          <w:lang w:val="en-CA"/>
        </w:rPr>
        <w:t xml:space="preserve">of the Jezreel Valley </w:t>
      </w:r>
      <w:r w:rsidR="009C6D4A">
        <w:rPr>
          <w:rFonts w:ascii="Times New Roman" w:hAnsi="Times New Roman" w:cs="Times New Roman"/>
          <w:sz w:val="24"/>
          <w:szCs w:val="24"/>
          <w:lang w:val="en-CA"/>
        </w:rPr>
        <w:t xml:space="preserve">were sold for </w:t>
      </w:r>
      <w:r w:rsidR="001D78DE">
        <w:rPr>
          <w:rFonts w:ascii="Times New Roman" w:hAnsi="Times New Roman" w:cs="Times New Roman"/>
          <w:sz w:val="24"/>
          <w:szCs w:val="24"/>
          <w:lang w:val="en-CA"/>
        </w:rPr>
        <w:t xml:space="preserve">£726,000, previously acquired for </w:t>
      </w:r>
      <w:r w:rsidR="001D78DE" w:rsidRPr="001D78DE">
        <w:rPr>
          <w:rFonts w:ascii="Times New Roman" w:hAnsi="Times New Roman" w:cs="Times New Roman"/>
          <w:sz w:val="24"/>
          <w:szCs w:val="24"/>
          <w:lang w:val="en-CA"/>
        </w:rPr>
        <w:t>£</w:t>
      </w:r>
      <w:r w:rsidR="001D78DE">
        <w:rPr>
          <w:rFonts w:ascii="Times New Roman" w:hAnsi="Times New Roman" w:cs="Times New Roman"/>
          <w:sz w:val="24"/>
          <w:szCs w:val="24"/>
          <w:lang w:val="en-CA"/>
        </w:rPr>
        <w:t xml:space="preserve">20,000 in 1872. That same year, Sir Thomas Haycraft concluded that the Arabs were responsible for the violence, but it was due to legitimate economic and political fears. The urbanisation of the Arabs was largely caused by the increased opportunities brought by Jewish capital. Sir Walter Shaw attributed the renewed violence to the same reasons than Haycraft in his March 31, 1930, report. </w:t>
      </w:r>
    </w:p>
    <w:p w:rsidR="001D78DE" w:rsidRDefault="001D78DE"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1936, the Jewish population stood at 400,000 or 30 %. A rebellion erupted following the death of Sheik </w:t>
      </w:r>
      <w:proofErr w:type="spellStart"/>
      <w:r>
        <w:rPr>
          <w:rFonts w:ascii="Times New Roman" w:hAnsi="Times New Roman" w:cs="Times New Roman"/>
          <w:sz w:val="24"/>
          <w:szCs w:val="24"/>
          <w:lang w:val="en-CA"/>
        </w:rPr>
        <w:t>Izz</w:t>
      </w:r>
      <w:proofErr w:type="spellEnd"/>
      <w:r>
        <w:rPr>
          <w:rFonts w:ascii="Times New Roman" w:hAnsi="Times New Roman" w:cs="Times New Roman"/>
          <w:sz w:val="24"/>
          <w:szCs w:val="24"/>
          <w:lang w:val="en-CA"/>
        </w:rPr>
        <w:t xml:space="preserve"> ad-Din al-</w:t>
      </w:r>
      <w:proofErr w:type="spellStart"/>
      <w:r>
        <w:rPr>
          <w:rFonts w:ascii="Times New Roman" w:hAnsi="Times New Roman" w:cs="Times New Roman"/>
          <w:sz w:val="24"/>
          <w:szCs w:val="24"/>
          <w:lang w:val="en-CA"/>
        </w:rPr>
        <w:t>Qassam</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Fawzi</w:t>
      </w:r>
      <w:proofErr w:type="spellEnd"/>
      <w:r>
        <w:rPr>
          <w:rFonts w:ascii="Times New Roman" w:hAnsi="Times New Roman" w:cs="Times New Roman"/>
          <w:sz w:val="24"/>
          <w:szCs w:val="24"/>
          <w:lang w:val="en-CA"/>
        </w:rPr>
        <w:t xml:space="preserve"> al-</w:t>
      </w:r>
      <w:proofErr w:type="spellStart"/>
      <w:r>
        <w:rPr>
          <w:rFonts w:ascii="Times New Roman" w:hAnsi="Times New Roman" w:cs="Times New Roman"/>
          <w:sz w:val="24"/>
          <w:szCs w:val="24"/>
          <w:lang w:val="en-CA"/>
        </w:rPr>
        <w:t>Qawuqji</w:t>
      </w:r>
      <w:proofErr w:type="spellEnd"/>
      <w:r>
        <w:rPr>
          <w:rFonts w:ascii="Times New Roman" w:hAnsi="Times New Roman" w:cs="Times New Roman"/>
          <w:sz w:val="24"/>
          <w:szCs w:val="24"/>
          <w:lang w:val="en-CA"/>
        </w:rPr>
        <w:t xml:space="preserve">, a Syrian leader, entered the country with Syrian, Iraqi, and Palestinian combatants. 5,000 Arabs were killed, 15,000 wounded and 5,600 arrested. In 1939, the British garrison was increased to 25,000 men and the Haganah was given arms and training by </w:t>
      </w:r>
      <w:proofErr w:type="spellStart"/>
      <w:r>
        <w:rPr>
          <w:rFonts w:ascii="Times New Roman" w:hAnsi="Times New Roman" w:cs="Times New Roman"/>
          <w:sz w:val="24"/>
          <w:szCs w:val="24"/>
          <w:lang w:val="en-CA"/>
        </w:rPr>
        <w:t>Orde</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Windgate</w:t>
      </w:r>
      <w:proofErr w:type="spellEnd"/>
      <w:r>
        <w:rPr>
          <w:rFonts w:ascii="Times New Roman" w:hAnsi="Times New Roman" w:cs="Times New Roman"/>
          <w:sz w:val="24"/>
          <w:szCs w:val="24"/>
          <w:lang w:val="en-CA"/>
        </w:rPr>
        <w:t xml:space="preserve">, amongst others; their forces numbered 15,000 men. An international conference on refugees took place in 1938 in </w:t>
      </w:r>
      <w:proofErr w:type="spellStart"/>
      <w:r>
        <w:rPr>
          <w:rFonts w:ascii="Times New Roman" w:hAnsi="Times New Roman" w:cs="Times New Roman"/>
          <w:sz w:val="24"/>
          <w:szCs w:val="24"/>
          <w:lang w:val="en-CA"/>
        </w:rPr>
        <w:t>Évian</w:t>
      </w:r>
      <w:proofErr w:type="spellEnd"/>
      <w:r>
        <w:rPr>
          <w:rFonts w:ascii="Times New Roman" w:hAnsi="Times New Roman" w:cs="Times New Roman"/>
          <w:sz w:val="24"/>
          <w:szCs w:val="24"/>
          <w:lang w:val="en-CA"/>
        </w:rPr>
        <w:t>-les-</w:t>
      </w:r>
      <w:proofErr w:type="spellStart"/>
      <w:r>
        <w:rPr>
          <w:rFonts w:ascii="Times New Roman" w:hAnsi="Times New Roman" w:cs="Times New Roman"/>
          <w:sz w:val="24"/>
          <w:szCs w:val="24"/>
          <w:lang w:val="en-CA"/>
        </w:rPr>
        <w:t>Bains</w:t>
      </w:r>
      <w:proofErr w:type="spellEnd"/>
      <w:r>
        <w:rPr>
          <w:rFonts w:ascii="Times New Roman" w:hAnsi="Times New Roman" w:cs="Times New Roman"/>
          <w:sz w:val="24"/>
          <w:szCs w:val="24"/>
          <w:lang w:val="en-CA"/>
        </w:rPr>
        <w:t xml:space="preserve">, France, and only the Dominican Republic agreed to lift its barriers against Jewish immigrants. That same year, Sir John </w:t>
      </w:r>
      <w:proofErr w:type="spellStart"/>
      <w:r>
        <w:rPr>
          <w:rFonts w:ascii="Times New Roman" w:hAnsi="Times New Roman" w:cs="Times New Roman"/>
          <w:sz w:val="24"/>
          <w:szCs w:val="24"/>
          <w:lang w:val="en-CA"/>
        </w:rPr>
        <w:t>Woodhead</w:t>
      </w:r>
      <w:proofErr w:type="spellEnd"/>
      <w:r>
        <w:rPr>
          <w:rFonts w:ascii="Times New Roman" w:hAnsi="Times New Roman" w:cs="Times New Roman"/>
          <w:sz w:val="24"/>
          <w:szCs w:val="24"/>
          <w:lang w:val="en-CA"/>
        </w:rPr>
        <w:t xml:space="preserve"> determined the partition plan as impractical.</w:t>
      </w:r>
    </w:p>
    <w:p w:rsidR="001D78DE" w:rsidRDefault="001D78DE" w:rsidP="001570E2">
      <w:pPr>
        <w:spacing w:before="240"/>
        <w:jc w:val="both"/>
        <w:rPr>
          <w:rFonts w:ascii="Times New Roman" w:hAnsi="Times New Roman" w:cs="Times New Roman"/>
          <w:b/>
          <w:sz w:val="24"/>
          <w:szCs w:val="24"/>
          <w:lang w:val="en-CA"/>
        </w:rPr>
      </w:pPr>
      <w:r>
        <w:rPr>
          <w:rFonts w:ascii="Times New Roman" w:hAnsi="Times New Roman" w:cs="Times New Roman"/>
          <w:b/>
          <w:sz w:val="24"/>
          <w:szCs w:val="24"/>
          <w:lang w:val="en-CA"/>
        </w:rPr>
        <w:t>Chapter III – World War II, the Jewish displayed persons, and the Partition of Palestine</w:t>
      </w:r>
    </w:p>
    <w:p w:rsidR="001D78DE" w:rsidRDefault="001D78DE"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November 1940, the ship </w:t>
      </w:r>
      <w:proofErr w:type="spellStart"/>
      <w:r>
        <w:rPr>
          <w:rFonts w:ascii="Times New Roman" w:hAnsi="Times New Roman" w:cs="Times New Roman"/>
          <w:i/>
          <w:sz w:val="24"/>
          <w:szCs w:val="24"/>
          <w:lang w:val="en-CA"/>
        </w:rPr>
        <w:t>Paria</w:t>
      </w:r>
      <w:proofErr w:type="spellEnd"/>
      <w:r>
        <w:rPr>
          <w:rFonts w:ascii="Times New Roman" w:hAnsi="Times New Roman" w:cs="Times New Roman"/>
          <w:sz w:val="24"/>
          <w:szCs w:val="24"/>
          <w:lang w:val="en-CA"/>
        </w:rPr>
        <w:t xml:space="preserve">, with over 1,200 “illegal refugees” was sabotaged by the Haganah, attempting to stop its homecoming, 200 drowned.  In February 1942, the </w:t>
      </w:r>
      <w:r>
        <w:rPr>
          <w:rFonts w:ascii="Times New Roman" w:hAnsi="Times New Roman" w:cs="Times New Roman"/>
          <w:i/>
          <w:sz w:val="24"/>
          <w:szCs w:val="24"/>
          <w:lang w:val="en-CA"/>
        </w:rPr>
        <w:t>Struma</w:t>
      </w:r>
      <w:r>
        <w:rPr>
          <w:rFonts w:ascii="Times New Roman" w:hAnsi="Times New Roman" w:cs="Times New Roman"/>
          <w:sz w:val="24"/>
          <w:szCs w:val="24"/>
          <w:lang w:val="en-CA"/>
        </w:rPr>
        <w:t xml:space="preserve"> was sabotaged for the same reasons by the </w:t>
      </w:r>
      <w:proofErr w:type="spellStart"/>
      <w:r>
        <w:rPr>
          <w:rFonts w:ascii="Times New Roman" w:hAnsi="Times New Roman" w:cs="Times New Roman"/>
          <w:sz w:val="24"/>
          <w:szCs w:val="24"/>
          <w:lang w:val="en-CA"/>
        </w:rPr>
        <w:t>Irgun</w:t>
      </w:r>
      <w:proofErr w:type="spellEnd"/>
      <w:r>
        <w:rPr>
          <w:rFonts w:ascii="Times New Roman" w:hAnsi="Times New Roman" w:cs="Times New Roman"/>
          <w:sz w:val="24"/>
          <w:szCs w:val="24"/>
          <w:lang w:val="en-CA"/>
        </w:rPr>
        <w:t xml:space="preserve">; all 768 occupants drowned except for one. 26,000 Palestinian Jews joined the war effort of the United Kingdom during the Second World War. </w:t>
      </w:r>
      <w:r w:rsidR="00560B10">
        <w:rPr>
          <w:rFonts w:ascii="Times New Roman" w:hAnsi="Times New Roman" w:cs="Times New Roman"/>
          <w:sz w:val="24"/>
          <w:szCs w:val="24"/>
          <w:lang w:val="en-CA"/>
        </w:rPr>
        <w:t xml:space="preserve">In 1945, Franklin Delano Roosevelt met with Saudi King Abdul Aziz </w:t>
      </w:r>
      <w:proofErr w:type="spellStart"/>
      <w:r w:rsidR="00560B10">
        <w:rPr>
          <w:rFonts w:ascii="Times New Roman" w:hAnsi="Times New Roman" w:cs="Times New Roman"/>
          <w:sz w:val="24"/>
          <w:szCs w:val="24"/>
          <w:lang w:val="en-CA"/>
        </w:rPr>
        <w:t>Ibn</w:t>
      </w:r>
      <w:proofErr w:type="spellEnd"/>
      <w:r w:rsidR="00560B10">
        <w:rPr>
          <w:rFonts w:ascii="Times New Roman" w:hAnsi="Times New Roman" w:cs="Times New Roman"/>
          <w:sz w:val="24"/>
          <w:szCs w:val="24"/>
          <w:lang w:val="en-CA"/>
        </w:rPr>
        <w:t xml:space="preserve"> Saud to reaffirm the friendship between both countries. </w:t>
      </w:r>
    </w:p>
    <w:p w:rsidR="00560B10" w:rsidRDefault="00560B10"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After the war, Jewish survivors could not return to their homes which were either occupied or destroyed. In July 1946, in Kielce, Poland, 130 returning refugees were killed. Earl G. </w:t>
      </w:r>
      <w:proofErr w:type="gramStart"/>
      <w:r>
        <w:rPr>
          <w:rFonts w:ascii="Times New Roman" w:hAnsi="Times New Roman" w:cs="Times New Roman"/>
          <w:sz w:val="24"/>
          <w:szCs w:val="24"/>
          <w:lang w:val="en-CA"/>
        </w:rPr>
        <w:t>Harrison,</w:t>
      </w:r>
      <w:proofErr w:type="gramEnd"/>
      <w:r>
        <w:rPr>
          <w:rFonts w:ascii="Times New Roman" w:hAnsi="Times New Roman" w:cs="Times New Roman"/>
          <w:sz w:val="24"/>
          <w:szCs w:val="24"/>
          <w:lang w:val="en-CA"/>
        </w:rPr>
        <w:t xml:space="preserve"> was commissioned by Harry S. Truman to find a solution, and he assessed that most of the refugees wanted to go to Palestine. British foreign secretary Ernest Bevin was worried about defending the oil fields of the Middle East from the Soviet Union, and as such opposed Jewish immigration to the region. The Joint Chief of Staff told Truman that it would take 100,000 troops to keep the peace in Palestine. On November 4, 1945, Bevin proposed an Anglo-American Committee of Enquiry, which recommended on May 1, 1946 that 100,000 refugees be admitted to Palestine. Between </w:t>
      </w:r>
      <w:r>
        <w:rPr>
          <w:rFonts w:ascii="Times New Roman" w:hAnsi="Times New Roman" w:cs="Times New Roman"/>
          <w:sz w:val="24"/>
          <w:szCs w:val="24"/>
          <w:lang w:val="en-CA"/>
        </w:rPr>
        <w:lastRenderedPageBreak/>
        <w:t xml:space="preserve">May 1945 and February 1946, only 6,000 Jews were admitted to the U.S. In August 1946, Nahum Goldman indicated that the Jewish Agency would approve of a partition. Shortly before the onset of the U.N partition, Abdullah met secretly with the Jewish Agency and they agreed on his annexation of Arab Palestine. </w:t>
      </w:r>
    </w:p>
    <w:p w:rsidR="00560B10" w:rsidRDefault="00560B10" w:rsidP="001570E2">
      <w:pPr>
        <w:spacing w:before="240"/>
        <w:jc w:val="both"/>
        <w:rPr>
          <w:rFonts w:ascii="Times New Roman" w:hAnsi="Times New Roman" w:cs="Times New Roman"/>
          <w:b/>
          <w:sz w:val="24"/>
          <w:szCs w:val="24"/>
          <w:lang w:val="en-CA"/>
        </w:rPr>
      </w:pPr>
      <w:r>
        <w:rPr>
          <w:rFonts w:ascii="Times New Roman" w:hAnsi="Times New Roman" w:cs="Times New Roman"/>
          <w:b/>
          <w:sz w:val="24"/>
          <w:szCs w:val="24"/>
          <w:lang w:val="en-CA"/>
        </w:rPr>
        <w:t>Chapter V – The Conflict Widens: Suez, 1956</w:t>
      </w:r>
    </w:p>
    <w:p w:rsidR="00560B10" w:rsidRDefault="00560B10"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December 1948, U.N General Assembly resolution 194 established the Palestine Conciliation Commission (PCC) for the refugees. The 1949 Rhodes armistice set up four demilitarised zones, but raids committed by Arabs continued to be frequent. The Mixed Armistice Commission attempted to resolve border disputes. Israel retaliated to the raids with “Unit 101” commanded by Ariel Sharon, which in October 1953 attacked the town of Qibya in Jordan. On Lake Tiberias, Syrian gun positions fired on Israeli fishermen. The Egyptian government encouraged further attacks by </w:t>
      </w:r>
      <w:r w:rsidR="00476EA4">
        <w:rPr>
          <w:rFonts w:ascii="Times New Roman" w:hAnsi="Times New Roman" w:cs="Times New Roman"/>
          <w:sz w:val="24"/>
          <w:szCs w:val="24"/>
          <w:lang w:val="en-CA"/>
        </w:rPr>
        <w:t xml:space="preserve">forming the </w:t>
      </w:r>
      <w:r w:rsidR="00476EA4">
        <w:rPr>
          <w:rFonts w:ascii="Times New Roman" w:hAnsi="Times New Roman" w:cs="Times New Roman"/>
          <w:i/>
          <w:sz w:val="24"/>
          <w:szCs w:val="24"/>
          <w:lang w:val="en-CA"/>
        </w:rPr>
        <w:t>Fedayeen</w:t>
      </w:r>
      <w:r w:rsidR="00476EA4">
        <w:rPr>
          <w:rFonts w:ascii="Times New Roman" w:hAnsi="Times New Roman" w:cs="Times New Roman"/>
          <w:sz w:val="24"/>
          <w:szCs w:val="24"/>
          <w:lang w:val="en-CA"/>
        </w:rPr>
        <w:t xml:space="preserve"> in August 1955. Many Israeli cities were within 18 miles of the Arab border, and their soldiers outnumbered the Israelis 8 to 1. In 1882, Great Britain occupied Egypt following </w:t>
      </w:r>
      <w:proofErr w:type="gramStart"/>
      <w:r w:rsidR="00476EA4">
        <w:rPr>
          <w:rFonts w:ascii="Times New Roman" w:hAnsi="Times New Roman" w:cs="Times New Roman"/>
          <w:sz w:val="24"/>
          <w:szCs w:val="24"/>
          <w:lang w:val="en-CA"/>
        </w:rPr>
        <w:t>a</w:t>
      </w:r>
      <w:proofErr w:type="gramEnd"/>
      <w:r w:rsidR="00476EA4">
        <w:rPr>
          <w:rFonts w:ascii="Times New Roman" w:hAnsi="Times New Roman" w:cs="Times New Roman"/>
          <w:sz w:val="24"/>
          <w:szCs w:val="24"/>
          <w:lang w:val="en-CA"/>
        </w:rPr>
        <w:t xml:space="preserve"> 1881 uprising led by colonel Ahmad Arabi. The country only received some formal independence over its internal affairs in 1922. A 1936 treaty provided for the withdrawal of all troops except the ones of the Canal Zone, and provided for a return in the case of an emergency. </w:t>
      </w:r>
    </w:p>
    <w:p w:rsidR="00476EA4" w:rsidRDefault="00476EA4"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September 1955, Nasser purchased 400 million of arms from Czechoslovakia. The USSR maintained friendly ties with Israel, being the first country to recognise its independence, but these suffered following the 1952 and 1953 anti-Semitic trials. </w:t>
      </w:r>
    </w:p>
    <w:p w:rsidR="00CF496A" w:rsidRDefault="00CF496A"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Nasser recognised China in May 1956. By 1953, American aid totaled 35% of all Israeli imports. In 1958, Syria and Egypt joined to create the United Arab Republic (UAR), with Yemen as federated partner. However, when Nasser announced that 90 % of the industry, manufacturing, and trade would be nationalised, Syria withdrew from the pact. A coup in 1966 brought to power General Salah </w:t>
      </w:r>
      <w:proofErr w:type="spellStart"/>
      <w:r>
        <w:rPr>
          <w:rFonts w:ascii="Times New Roman" w:hAnsi="Times New Roman" w:cs="Times New Roman"/>
          <w:sz w:val="24"/>
          <w:szCs w:val="24"/>
          <w:lang w:val="en-CA"/>
        </w:rPr>
        <w:t>Jadid</w:t>
      </w:r>
      <w:proofErr w:type="spellEnd"/>
      <w:r>
        <w:rPr>
          <w:rFonts w:ascii="Times New Roman" w:hAnsi="Times New Roman" w:cs="Times New Roman"/>
          <w:sz w:val="24"/>
          <w:szCs w:val="24"/>
          <w:lang w:val="en-CA"/>
        </w:rPr>
        <w:t xml:space="preserve">, a radical committed to fight Israel. In November 1966, the Soviet Union made Egypt and Syria sign a mutual defence treaty, to restrain Jadid’s bellicosity. Therefore, in May 1967, the Soviets passed on information about a heavy concentration of Israeli troops on Syria’s border, but American, UNTSO, and even Egyptian officials knew this was false. However, Nasser decided to act on it because he thought the U.S was trying to lure him indirectly into a conflict, and that the Russians would stand behind his actions. On May 14, Egyptian forces were put on high alert, and reached </w:t>
      </w:r>
      <w:proofErr w:type="spellStart"/>
      <w:r w:rsidRPr="00CF496A">
        <w:rPr>
          <w:rFonts w:ascii="Times New Roman" w:hAnsi="Times New Roman" w:cs="Times New Roman"/>
          <w:sz w:val="24"/>
          <w:szCs w:val="24"/>
          <w:lang w:val="en-CA"/>
        </w:rPr>
        <w:t>Sharm</w:t>
      </w:r>
      <w:proofErr w:type="spellEnd"/>
      <w:r w:rsidRPr="00CF496A">
        <w:rPr>
          <w:rFonts w:ascii="Times New Roman" w:hAnsi="Times New Roman" w:cs="Times New Roman"/>
          <w:sz w:val="24"/>
          <w:szCs w:val="24"/>
          <w:lang w:val="en-CA"/>
        </w:rPr>
        <w:t xml:space="preserve"> al-</w:t>
      </w:r>
      <w:proofErr w:type="spellStart"/>
      <w:r w:rsidRPr="00CF496A">
        <w:rPr>
          <w:rFonts w:ascii="Times New Roman" w:hAnsi="Times New Roman" w:cs="Times New Roman"/>
          <w:sz w:val="24"/>
          <w:szCs w:val="24"/>
          <w:lang w:val="en-CA"/>
        </w:rPr>
        <w:t>Shaykh</w:t>
      </w:r>
      <w:proofErr w:type="spellEnd"/>
      <w:r>
        <w:rPr>
          <w:rFonts w:ascii="Times New Roman" w:hAnsi="Times New Roman" w:cs="Times New Roman"/>
          <w:sz w:val="24"/>
          <w:szCs w:val="24"/>
          <w:lang w:val="en-CA"/>
        </w:rPr>
        <w:t xml:space="preserve"> on May 22. On May 30, King Hussein of Jordan signed a defence pact with Cairo. </w:t>
      </w:r>
    </w:p>
    <w:p w:rsidR="00CF496A" w:rsidRDefault="00CF496A" w:rsidP="001570E2">
      <w:pPr>
        <w:spacing w:before="240"/>
        <w:jc w:val="both"/>
        <w:rPr>
          <w:rFonts w:ascii="Times New Roman" w:hAnsi="Times New Roman" w:cs="Times New Roman"/>
          <w:sz w:val="24"/>
          <w:szCs w:val="24"/>
          <w:lang w:val="en-CA"/>
        </w:rPr>
      </w:pPr>
      <w:r>
        <w:rPr>
          <w:rFonts w:ascii="Times New Roman" w:hAnsi="Times New Roman" w:cs="Times New Roman"/>
          <w:b/>
          <w:sz w:val="24"/>
          <w:szCs w:val="24"/>
          <w:lang w:val="en-CA"/>
        </w:rPr>
        <w:t>Chapter VII – Holy Days and Holy War: October 1973</w:t>
      </w:r>
    </w:p>
    <w:p w:rsidR="00CF496A" w:rsidRDefault="00CF496A"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Moshe Dayan waited for a telephone call from King Hussein after the Israeli victory, believing that they could swap the occupied territories for peace, however such a call was never made. In 1968, at a meeting in Cairo, the PLO covenant was amended, and the organisation became a state within a state. In 1966, </w:t>
      </w:r>
      <w:r w:rsidRPr="00CF496A">
        <w:rPr>
          <w:rFonts w:ascii="Times New Roman" w:hAnsi="Times New Roman" w:cs="Times New Roman"/>
          <w:sz w:val="24"/>
          <w:szCs w:val="24"/>
          <w:lang w:val="en-CA"/>
        </w:rPr>
        <w:t>al-</w:t>
      </w:r>
      <w:proofErr w:type="spellStart"/>
      <w:r w:rsidRPr="00CF496A">
        <w:rPr>
          <w:rFonts w:ascii="Times New Roman" w:hAnsi="Times New Roman" w:cs="Times New Roman"/>
          <w:sz w:val="24"/>
          <w:szCs w:val="24"/>
          <w:lang w:val="en-CA"/>
        </w:rPr>
        <w:t>Shukeiri</w:t>
      </w:r>
      <w:proofErr w:type="spellEnd"/>
      <w:r>
        <w:rPr>
          <w:rFonts w:ascii="Times New Roman" w:hAnsi="Times New Roman" w:cs="Times New Roman"/>
          <w:sz w:val="24"/>
          <w:szCs w:val="24"/>
          <w:lang w:val="en-CA"/>
        </w:rPr>
        <w:t xml:space="preserve"> declared “We must liberate Amman before we liberate Tel Aviv.” Three airplanes were hijacked in Amman in September 1970 and the confrontation between the Jordanian armed forces and the </w:t>
      </w:r>
      <w:r>
        <w:rPr>
          <w:rFonts w:ascii="Times New Roman" w:hAnsi="Times New Roman" w:cs="Times New Roman"/>
          <w:i/>
          <w:sz w:val="24"/>
          <w:szCs w:val="24"/>
          <w:lang w:val="en-CA"/>
        </w:rPr>
        <w:t>Fedayeen</w:t>
      </w:r>
      <w:r>
        <w:rPr>
          <w:rFonts w:ascii="Times New Roman" w:hAnsi="Times New Roman" w:cs="Times New Roman"/>
          <w:sz w:val="24"/>
          <w:szCs w:val="24"/>
          <w:lang w:val="en-CA"/>
        </w:rPr>
        <w:t xml:space="preserve"> left 3,000 of the latter dead. </w:t>
      </w:r>
      <w:r w:rsidR="001959A5">
        <w:rPr>
          <w:rFonts w:ascii="Times New Roman" w:hAnsi="Times New Roman" w:cs="Times New Roman"/>
          <w:sz w:val="24"/>
          <w:szCs w:val="24"/>
          <w:lang w:val="en-CA"/>
        </w:rPr>
        <w:t xml:space="preserve">Jordan also turned back Syrian tanks due to Israel’s pressure on the United States. These events led to the formation of Black September, which murdered the prime minister of Jordan </w:t>
      </w:r>
      <w:proofErr w:type="spellStart"/>
      <w:r w:rsidR="001959A5" w:rsidRPr="001959A5">
        <w:rPr>
          <w:rFonts w:ascii="Times New Roman" w:hAnsi="Times New Roman" w:cs="Times New Roman"/>
          <w:sz w:val="24"/>
          <w:szCs w:val="24"/>
          <w:lang w:val="en-CA"/>
        </w:rPr>
        <w:t>Wasfi</w:t>
      </w:r>
      <w:proofErr w:type="spellEnd"/>
      <w:r w:rsidR="001959A5" w:rsidRPr="001959A5">
        <w:rPr>
          <w:rFonts w:ascii="Times New Roman" w:hAnsi="Times New Roman" w:cs="Times New Roman"/>
          <w:sz w:val="24"/>
          <w:szCs w:val="24"/>
          <w:lang w:val="en-CA"/>
        </w:rPr>
        <w:t xml:space="preserve"> al-Tal </w:t>
      </w:r>
      <w:r w:rsidR="001959A5">
        <w:rPr>
          <w:rFonts w:ascii="Times New Roman" w:hAnsi="Times New Roman" w:cs="Times New Roman"/>
          <w:sz w:val="24"/>
          <w:szCs w:val="24"/>
          <w:lang w:val="en-CA"/>
        </w:rPr>
        <w:t xml:space="preserve">in Cairo in November 1971.  Sadat pressed the 1973 war due to Washington’s and Moscow’s sudden disinterest in the region due to the 1972 détente. Israel did not expect war, with Moshe Dayan opposing chief of staff David Elazar’s call for mobilisation on October 6. Henry Kissinger believed that by stalling help to Israel’s requests of armaments and ammunition, this would restore the Arab’s honour and break the stalemate of the conflict. However, when he heard about Soviet airlifts, he decided to act on Israel’s favour.  The first call of a ceasefire on October 22 was ignored by both parties, and led to a second one on October 24, after the Soviets threatened to intervene. In 1974, at Rabat, the Arab states recognised the PLO as the “sole, legitimate representative of the Palestinian people.” On October 17, OPEC had imposed an embargo of petroleum on the United States, and on December 23, 1973, a fourfold increase of the price of the barrel, to $11.65, was announced. The embargo cost the U.S, 500,000 jobs and GNP loss of between 10 and 20 billion dollars. Europe was rewarded with an exception after the ECC urged Israel to end its occupation of the territories. On November 6, 1973, France had agreed to supply Iraq with nuclear technology in exchange of oil, and Saudi Arabia threatened further cut backs if Congress refused to sell it AWAC aircrafts. </w:t>
      </w:r>
    </w:p>
    <w:p w:rsidR="001959A5" w:rsidRDefault="001959A5" w:rsidP="001570E2">
      <w:pPr>
        <w:spacing w:before="240"/>
        <w:jc w:val="both"/>
        <w:rPr>
          <w:rFonts w:ascii="Times New Roman" w:hAnsi="Times New Roman" w:cs="Times New Roman"/>
          <w:b/>
          <w:sz w:val="24"/>
          <w:szCs w:val="24"/>
          <w:lang w:val="en-CA"/>
        </w:rPr>
      </w:pPr>
      <w:r>
        <w:rPr>
          <w:rFonts w:ascii="Times New Roman" w:hAnsi="Times New Roman" w:cs="Times New Roman"/>
          <w:b/>
          <w:sz w:val="24"/>
          <w:szCs w:val="24"/>
          <w:lang w:val="en-CA"/>
        </w:rPr>
        <w:t>Chapter VIII – The Search for Peace 1973-1979</w:t>
      </w:r>
    </w:p>
    <w:p w:rsidR="001959A5" w:rsidRDefault="001959A5"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On November 11, 1973, Kissinger secured a ceasefire between Israel and Egypt. In January 1974, he made both countries sign a disengagement accord, which made Israel withdraw from the Western bank of the Sinai Peninsula, established a UN buffer zone, and allowed non-military Israeli shipping through the canal. Ties between Washington and Cairo were also revived, after a seven year hiatus. A disengagement plan was also achieved wit</w:t>
      </w:r>
      <w:r w:rsidR="00456A19">
        <w:rPr>
          <w:rFonts w:ascii="Times New Roman" w:hAnsi="Times New Roman" w:cs="Times New Roman"/>
          <w:sz w:val="24"/>
          <w:szCs w:val="24"/>
          <w:lang w:val="en-CA"/>
        </w:rPr>
        <w:t xml:space="preserve">h Syria over the Golan Heights, and the UNDOF was deployed in the area. Hafez al-Assad pledged to prevent attacks of Palestinian groups from his country, in exchange of resumed diplomatic relations with Washington. </w:t>
      </w:r>
    </w:p>
    <w:p w:rsidR="00456A19" w:rsidRPr="001959A5" w:rsidRDefault="00456A19"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Unskilled workers in the West Bank benefited with the Israeli occupation, due to the social mobility of the Jewish community, which left many job opportunities. In 1974, Gush </w:t>
      </w:r>
      <w:proofErr w:type="spellStart"/>
      <w:r>
        <w:rPr>
          <w:rFonts w:ascii="Times New Roman" w:hAnsi="Times New Roman" w:cs="Times New Roman"/>
          <w:sz w:val="24"/>
          <w:szCs w:val="24"/>
          <w:lang w:val="en-CA"/>
        </w:rPr>
        <w:t>Emunim</w:t>
      </w:r>
      <w:proofErr w:type="spellEnd"/>
      <w:r>
        <w:rPr>
          <w:rFonts w:ascii="Times New Roman" w:hAnsi="Times New Roman" w:cs="Times New Roman"/>
          <w:sz w:val="24"/>
          <w:szCs w:val="24"/>
          <w:lang w:val="en-CA"/>
        </w:rPr>
        <w:t xml:space="preserve"> “the Bloc of the Faithful” emerged and called for the annexation of the territories, for mostly biblical motivations. </w:t>
      </w:r>
    </w:p>
    <w:sectPr w:rsidR="00456A19" w:rsidRPr="001959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CF2709"/>
    <w:multiLevelType w:val="hybridMultilevel"/>
    <w:tmpl w:val="C31CA1C0"/>
    <w:lvl w:ilvl="0" w:tplc="6C7C2DA0">
      <w:start w:val="1"/>
      <w:numFmt w:val="bullet"/>
      <w:lvlText w:val="-"/>
      <w:lvlJc w:val="left"/>
      <w:pPr>
        <w:ind w:left="720" w:hanging="360"/>
      </w:pPr>
      <w:rPr>
        <w:rFonts w:ascii="Arial" w:eastAsiaTheme="minorHAnsi"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54DB0BCB"/>
    <w:multiLevelType w:val="hybridMultilevel"/>
    <w:tmpl w:val="B5284DE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FAB"/>
    <w:rsid w:val="00006BC8"/>
    <w:rsid w:val="00054F13"/>
    <w:rsid w:val="00070696"/>
    <w:rsid w:val="000B038D"/>
    <w:rsid w:val="000B5953"/>
    <w:rsid w:val="00106452"/>
    <w:rsid w:val="001322AE"/>
    <w:rsid w:val="001570E2"/>
    <w:rsid w:val="00161023"/>
    <w:rsid w:val="001636DC"/>
    <w:rsid w:val="001959A5"/>
    <w:rsid w:val="001D78DE"/>
    <w:rsid w:val="00297CFE"/>
    <w:rsid w:val="00300DD1"/>
    <w:rsid w:val="00321DAF"/>
    <w:rsid w:val="003411B1"/>
    <w:rsid w:val="003D49F1"/>
    <w:rsid w:val="00456A19"/>
    <w:rsid w:val="00462000"/>
    <w:rsid w:val="00476EA4"/>
    <w:rsid w:val="004C6FF1"/>
    <w:rsid w:val="004E25D2"/>
    <w:rsid w:val="00541FD5"/>
    <w:rsid w:val="00560B10"/>
    <w:rsid w:val="00574DA1"/>
    <w:rsid w:val="005D1B75"/>
    <w:rsid w:val="00613618"/>
    <w:rsid w:val="00636886"/>
    <w:rsid w:val="00707740"/>
    <w:rsid w:val="00717C87"/>
    <w:rsid w:val="0074130B"/>
    <w:rsid w:val="0074387E"/>
    <w:rsid w:val="00750F0E"/>
    <w:rsid w:val="007544C9"/>
    <w:rsid w:val="00786DE5"/>
    <w:rsid w:val="00791022"/>
    <w:rsid w:val="007E7F13"/>
    <w:rsid w:val="007F410C"/>
    <w:rsid w:val="00815D77"/>
    <w:rsid w:val="008966A1"/>
    <w:rsid w:val="008C7BBB"/>
    <w:rsid w:val="00913C5C"/>
    <w:rsid w:val="00913F0B"/>
    <w:rsid w:val="00943BCE"/>
    <w:rsid w:val="00983D56"/>
    <w:rsid w:val="009A26F8"/>
    <w:rsid w:val="009B2794"/>
    <w:rsid w:val="009C6D4A"/>
    <w:rsid w:val="009E2C83"/>
    <w:rsid w:val="00AC080B"/>
    <w:rsid w:val="00B410F7"/>
    <w:rsid w:val="00B54A81"/>
    <w:rsid w:val="00B73C50"/>
    <w:rsid w:val="00B779CA"/>
    <w:rsid w:val="00B82CE6"/>
    <w:rsid w:val="00B86425"/>
    <w:rsid w:val="00BB4281"/>
    <w:rsid w:val="00C07911"/>
    <w:rsid w:val="00C34DB3"/>
    <w:rsid w:val="00C37BE6"/>
    <w:rsid w:val="00CB2F5D"/>
    <w:rsid w:val="00CB2FAB"/>
    <w:rsid w:val="00CF496A"/>
    <w:rsid w:val="00D11660"/>
    <w:rsid w:val="00D229A1"/>
    <w:rsid w:val="00D42064"/>
    <w:rsid w:val="00D85E7A"/>
    <w:rsid w:val="00EC5CAD"/>
    <w:rsid w:val="00F05271"/>
    <w:rsid w:val="00F44678"/>
    <w:rsid w:val="00F57F01"/>
    <w:rsid w:val="00FC1DC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6D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9C6D4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BC8"/>
    <w:pPr>
      <w:ind w:left="720"/>
      <w:contextualSpacing/>
    </w:pPr>
  </w:style>
  <w:style w:type="paragraph" w:styleId="NoSpacing">
    <w:name w:val="No Spacing"/>
    <w:uiPriority w:val="1"/>
    <w:qFormat/>
    <w:rsid w:val="00F05271"/>
    <w:pPr>
      <w:spacing w:after="0" w:line="240" w:lineRule="auto"/>
    </w:pPr>
  </w:style>
  <w:style w:type="character" w:customStyle="1" w:styleId="Heading3Char">
    <w:name w:val="Heading 3 Char"/>
    <w:basedOn w:val="DefaultParagraphFont"/>
    <w:link w:val="Heading3"/>
    <w:uiPriority w:val="9"/>
    <w:rsid w:val="009C6D4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9C6D4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6D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9C6D4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BC8"/>
    <w:pPr>
      <w:ind w:left="720"/>
      <w:contextualSpacing/>
    </w:pPr>
  </w:style>
  <w:style w:type="paragraph" w:styleId="NoSpacing">
    <w:name w:val="No Spacing"/>
    <w:uiPriority w:val="1"/>
    <w:qFormat/>
    <w:rsid w:val="00F05271"/>
    <w:pPr>
      <w:spacing w:after="0" w:line="240" w:lineRule="auto"/>
    </w:pPr>
  </w:style>
  <w:style w:type="character" w:customStyle="1" w:styleId="Heading3Char">
    <w:name w:val="Heading 3 Char"/>
    <w:basedOn w:val="DefaultParagraphFont"/>
    <w:link w:val="Heading3"/>
    <w:uiPriority w:val="9"/>
    <w:rsid w:val="009C6D4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9C6D4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741267">
      <w:bodyDiv w:val="1"/>
      <w:marLeft w:val="0"/>
      <w:marRight w:val="0"/>
      <w:marTop w:val="0"/>
      <w:marBottom w:val="0"/>
      <w:divBdr>
        <w:top w:val="none" w:sz="0" w:space="0" w:color="auto"/>
        <w:left w:val="none" w:sz="0" w:space="0" w:color="auto"/>
        <w:bottom w:val="none" w:sz="0" w:space="0" w:color="auto"/>
        <w:right w:val="none" w:sz="0" w:space="0" w:color="auto"/>
      </w:divBdr>
    </w:div>
    <w:div w:id="593395189">
      <w:bodyDiv w:val="1"/>
      <w:marLeft w:val="0"/>
      <w:marRight w:val="0"/>
      <w:marTop w:val="0"/>
      <w:marBottom w:val="0"/>
      <w:divBdr>
        <w:top w:val="none" w:sz="0" w:space="0" w:color="auto"/>
        <w:left w:val="none" w:sz="0" w:space="0" w:color="auto"/>
        <w:bottom w:val="none" w:sz="0" w:space="0" w:color="auto"/>
        <w:right w:val="none" w:sz="0" w:space="0" w:color="auto"/>
      </w:divBdr>
    </w:div>
    <w:div w:id="641354481">
      <w:bodyDiv w:val="1"/>
      <w:marLeft w:val="0"/>
      <w:marRight w:val="0"/>
      <w:marTop w:val="0"/>
      <w:marBottom w:val="0"/>
      <w:divBdr>
        <w:top w:val="none" w:sz="0" w:space="0" w:color="auto"/>
        <w:left w:val="none" w:sz="0" w:space="0" w:color="auto"/>
        <w:bottom w:val="none" w:sz="0" w:space="0" w:color="auto"/>
        <w:right w:val="none" w:sz="0" w:space="0" w:color="auto"/>
      </w:divBdr>
    </w:div>
    <w:div w:id="678197497">
      <w:bodyDiv w:val="1"/>
      <w:marLeft w:val="0"/>
      <w:marRight w:val="0"/>
      <w:marTop w:val="0"/>
      <w:marBottom w:val="0"/>
      <w:divBdr>
        <w:top w:val="none" w:sz="0" w:space="0" w:color="auto"/>
        <w:left w:val="none" w:sz="0" w:space="0" w:color="auto"/>
        <w:bottom w:val="none" w:sz="0" w:space="0" w:color="auto"/>
        <w:right w:val="none" w:sz="0" w:space="0" w:color="auto"/>
      </w:divBdr>
    </w:div>
    <w:div w:id="88880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3EDAAA7-62C6-4DB4-8FD9-260F019DB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5</Pages>
  <Words>2271</Words>
  <Characters>12496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Mathieu</dc:creator>
  <cp:keywords/>
  <dc:description/>
  <cp:lastModifiedBy>Mathieu</cp:lastModifiedBy>
  <cp:revision>29</cp:revision>
  <dcterms:created xsi:type="dcterms:W3CDTF">2011-09-15T21:05:00Z</dcterms:created>
  <dcterms:modified xsi:type="dcterms:W3CDTF">2013-04-02T14:29:00Z</dcterms:modified>
</cp:coreProperties>
</file>