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2D8A" w:rsidRPr="00742D8A" w:rsidRDefault="00742D8A" w:rsidP="00742D8A">
      <w:pPr>
        <w:jc w:val="center"/>
        <w:rPr>
          <w:rFonts w:ascii="Arial" w:hAnsi="Arial" w:cs="Arial"/>
          <w:b/>
          <w:sz w:val="40"/>
          <w:szCs w:val="40"/>
          <w:u w:val="single"/>
        </w:rPr>
      </w:pPr>
      <w:r w:rsidRPr="00742D8A">
        <w:rPr>
          <w:rFonts w:ascii="Arial" w:hAnsi="Arial" w:cs="Arial"/>
          <w:b/>
          <w:sz w:val="40"/>
          <w:szCs w:val="40"/>
          <w:u w:val="single"/>
        </w:rPr>
        <w:t>Chapter 9: Perception</w:t>
      </w:r>
    </w:p>
    <w:p w:rsidR="00742D8A" w:rsidRPr="00742D8A" w:rsidRDefault="00742D8A" w:rsidP="00742D8A">
      <w:pPr>
        <w:rPr>
          <w:rFonts w:ascii="Arial" w:hAnsi="Arial" w:cs="Arial"/>
          <w:sz w:val="24"/>
          <w:szCs w:val="24"/>
        </w:rPr>
      </w:pPr>
      <w:r w:rsidRPr="00742D8A">
        <w:rPr>
          <w:rFonts w:ascii="Arial" w:hAnsi="Arial" w:cs="Arial"/>
          <w:sz w:val="24"/>
          <w:szCs w:val="24"/>
        </w:rPr>
        <w:t xml:space="preserve">Early research based on cross-cultural data was mainly in the areas of sensation and perception. There was a tendency to generalize findings: “compensation hypotheses” suggested that (alleged) acute sensation of “primitives” was at the cost of development of cognition.   </w:t>
      </w:r>
    </w:p>
    <w:p w:rsidR="00742D8A" w:rsidRPr="00742D8A" w:rsidRDefault="00742D8A" w:rsidP="00742D8A">
      <w:pPr>
        <w:rPr>
          <w:rFonts w:ascii="Arial" w:hAnsi="Arial" w:cs="Arial"/>
          <w:sz w:val="24"/>
          <w:szCs w:val="24"/>
        </w:rPr>
      </w:pPr>
      <w:r w:rsidRPr="00742D8A">
        <w:rPr>
          <w:rFonts w:ascii="Arial" w:hAnsi="Arial" w:cs="Arial"/>
          <w:sz w:val="24"/>
          <w:szCs w:val="24"/>
        </w:rPr>
        <w:t xml:space="preserve">  Sensory functions show small cross-cultural differences (compared to individual differences within cultures). Four classes of factors are mentioned: conditions in the physical environment with direct effects (e.g., sharp auditory acuity for higher frequencies among older Bushmen); conditions with indirect effects (e.g., vitamin A deficiency leads to poor dark adaptation); genetic factors (e.g., rates of red-green color blindness are lower for hunter-gatherers); and differences in the interaction with the environment (e.g., tolerance for environmental noise; preference for sweet foods).   </w:t>
      </w:r>
    </w:p>
    <w:p w:rsidR="00742D8A" w:rsidRPr="00742D8A" w:rsidRDefault="00742D8A" w:rsidP="00742D8A">
      <w:pPr>
        <w:rPr>
          <w:rFonts w:ascii="Arial" w:hAnsi="Arial" w:cs="Arial"/>
          <w:sz w:val="24"/>
          <w:szCs w:val="24"/>
        </w:rPr>
      </w:pPr>
      <w:r w:rsidRPr="00742D8A">
        <w:rPr>
          <w:rFonts w:ascii="Arial" w:hAnsi="Arial" w:cs="Arial"/>
          <w:sz w:val="24"/>
          <w:szCs w:val="24"/>
        </w:rPr>
        <w:t xml:space="preserve">  Among the classics of cross-cultural psychology are studies of the perception of patterns and pictures. Susceptibility for visual illusions, notably, the Müller-</w:t>
      </w:r>
      <w:proofErr w:type="spellStart"/>
      <w:r w:rsidRPr="00742D8A">
        <w:rPr>
          <w:rFonts w:ascii="Arial" w:hAnsi="Arial" w:cs="Arial"/>
          <w:sz w:val="24"/>
          <w:szCs w:val="24"/>
        </w:rPr>
        <w:t>Lyer</w:t>
      </w:r>
      <w:proofErr w:type="spellEnd"/>
      <w:r w:rsidRPr="00742D8A">
        <w:rPr>
          <w:rFonts w:ascii="Arial" w:hAnsi="Arial" w:cs="Arial"/>
          <w:sz w:val="24"/>
          <w:szCs w:val="24"/>
        </w:rPr>
        <w:t xml:space="preserve"> illusion and the Horizontal-Vertical illusion, has been found in all cultural groups studied, while the degree of susceptibility can vary with features of the physical environment.   </w:t>
      </w:r>
    </w:p>
    <w:p w:rsidR="00742D8A" w:rsidRPr="00742D8A" w:rsidRDefault="00742D8A" w:rsidP="00742D8A">
      <w:pPr>
        <w:rPr>
          <w:rFonts w:ascii="Arial" w:hAnsi="Arial" w:cs="Arial"/>
          <w:sz w:val="24"/>
          <w:szCs w:val="24"/>
        </w:rPr>
      </w:pPr>
      <w:r w:rsidRPr="00742D8A">
        <w:rPr>
          <w:rFonts w:ascii="Arial" w:hAnsi="Arial" w:cs="Arial"/>
          <w:sz w:val="24"/>
          <w:szCs w:val="24"/>
        </w:rPr>
        <w:t xml:space="preserve">  Depth in two-dimensional representations that is apparent to literates may not be apparent to illiterates, especially in the absence of “gradient of texture” as a depth cue. With exposure to pictorial materials recognition of depth in pictures is learned quickly learned.   </w:t>
      </w:r>
    </w:p>
    <w:p w:rsidR="00742D8A" w:rsidRPr="00742D8A" w:rsidRDefault="00742D8A" w:rsidP="00742D8A">
      <w:pPr>
        <w:rPr>
          <w:rFonts w:ascii="Arial" w:hAnsi="Arial" w:cs="Arial"/>
          <w:sz w:val="24"/>
          <w:szCs w:val="24"/>
        </w:rPr>
      </w:pPr>
      <w:r w:rsidRPr="00742D8A">
        <w:rPr>
          <w:rFonts w:ascii="Arial" w:hAnsi="Arial" w:cs="Arial"/>
          <w:sz w:val="24"/>
          <w:szCs w:val="24"/>
        </w:rPr>
        <w:t xml:space="preserve">  The depth cue of linear perspective is a cultural convention. It is not observable in everyday reality and it is absent in many art traditions. At the same time it can be argued to generally lead to a better representation of depth in pictures than any other convention.   </w:t>
      </w:r>
    </w:p>
    <w:p w:rsidR="00742D8A" w:rsidRPr="00742D8A" w:rsidRDefault="00742D8A" w:rsidP="00742D8A">
      <w:pPr>
        <w:rPr>
          <w:rFonts w:ascii="Arial" w:hAnsi="Arial" w:cs="Arial"/>
          <w:sz w:val="24"/>
          <w:szCs w:val="24"/>
        </w:rPr>
      </w:pPr>
      <w:r w:rsidRPr="00742D8A">
        <w:rPr>
          <w:rFonts w:ascii="Arial" w:hAnsi="Arial" w:cs="Arial"/>
          <w:sz w:val="24"/>
          <w:szCs w:val="24"/>
        </w:rPr>
        <w:t xml:space="preserve">  Categorizations of colors and emotions were mentioned in previous chapters as differing, at least to some extent, across cultures. Other research has shown this to be the case for odors and tastes.   </w:t>
      </w:r>
    </w:p>
    <w:p w:rsidR="00742D8A" w:rsidRPr="00742D8A" w:rsidRDefault="00742D8A" w:rsidP="00742D8A">
      <w:pPr>
        <w:rPr>
          <w:rFonts w:ascii="Arial" w:hAnsi="Arial" w:cs="Arial"/>
          <w:sz w:val="24"/>
          <w:szCs w:val="24"/>
        </w:rPr>
      </w:pPr>
      <w:r w:rsidRPr="00742D8A">
        <w:rPr>
          <w:rFonts w:ascii="Arial" w:hAnsi="Arial" w:cs="Arial"/>
          <w:sz w:val="24"/>
          <w:szCs w:val="24"/>
        </w:rPr>
        <w:t xml:space="preserve">  There are extensive similarities in categorizations, not only in the classification of experiences of psychological functioning in sensations and perceptions, but also in how across cultures the outside world is being ordered (e.g., classifications in folk biology).   </w:t>
      </w:r>
    </w:p>
    <w:p w:rsidR="00742D8A" w:rsidRPr="00742D8A" w:rsidRDefault="00742D8A" w:rsidP="00742D8A">
      <w:pPr>
        <w:rPr>
          <w:rFonts w:ascii="Arial" w:hAnsi="Arial" w:cs="Arial"/>
          <w:sz w:val="24"/>
          <w:szCs w:val="24"/>
        </w:rPr>
      </w:pPr>
      <w:r w:rsidRPr="00742D8A">
        <w:rPr>
          <w:rFonts w:ascii="Arial" w:hAnsi="Arial" w:cs="Arial"/>
          <w:sz w:val="24"/>
          <w:szCs w:val="24"/>
        </w:rPr>
        <w:t xml:space="preserve">  Individuals from groups with different facial features from one’s own group tend to look more alike to us; this also affects memory for faces. In face recognition experiments a tendency has been found towards recognizing faces not seen before (false positives); this tendency has implications for eye- witness identification as evidence in judicial courts.</w:t>
      </w:r>
    </w:p>
    <w:p w:rsidR="005E412F" w:rsidRPr="00742D8A" w:rsidRDefault="00742D8A" w:rsidP="00742D8A">
      <w:pPr>
        <w:rPr>
          <w:rFonts w:ascii="Arial" w:hAnsi="Arial" w:cs="Arial"/>
          <w:b/>
          <w:sz w:val="24"/>
          <w:szCs w:val="24"/>
          <w:u w:val="single"/>
        </w:rPr>
      </w:pPr>
      <w:r w:rsidRPr="00742D8A">
        <w:rPr>
          <w:rFonts w:ascii="Arial" w:hAnsi="Arial" w:cs="Arial"/>
          <w:b/>
          <w:sz w:val="24"/>
          <w:szCs w:val="24"/>
          <w:u w:val="single"/>
        </w:rPr>
        <w:t xml:space="preserve">Points </w:t>
      </w:r>
      <w:proofErr w:type="gramStart"/>
      <w:r w:rsidRPr="00742D8A">
        <w:rPr>
          <w:rFonts w:ascii="Arial" w:hAnsi="Arial" w:cs="Arial"/>
          <w:b/>
          <w:sz w:val="24"/>
          <w:szCs w:val="24"/>
          <w:u w:val="single"/>
        </w:rPr>
        <w:t>From</w:t>
      </w:r>
      <w:proofErr w:type="gramEnd"/>
      <w:r w:rsidRPr="00742D8A">
        <w:rPr>
          <w:rFonts w:ascii="Arial" w:hAnsi="Arial" w:cs="Arial"/>
          <w:b/>
          <w:sz w:val="24"/>
          <w:szCs w:val="24"/>
          <w:u w:val="single"/>
        </w:rPr>
        <w:t xml:space="preserve"> Power Point Presentation</w:t>
      </w:r>
      <w:r w:rsidRPr="00742D8A">
        <w:rPr>
          <w:rFonts w:ascii="Arial" w:hAnsi="Arial" w:cs="Arial"/>
          <w:b/>
          <w:sz w:val="24"/>
          <w:szCs w:val="24"/>
          <w:u w:val="single"/>
        </w:rPr>
        <w:t xml:space="preserve">  </w:t>
      </w:r>
    </w:p>
    <w:p w:rsidR="00742D8A" w:rsidRPr="00742D8A" w:rsidRDefault="00742D8A" w:rsidP="00742D8A">
      <w:pPr>
        <w:rPr>
          <w:rFonts w:ascii="Arial" w:hAnsi="Arial" w:cs="Arial"/>
          <w:sz w:val="24"/>
          <w:szCs w:val="24"/>
        </w:rPr>
      </w:pPr>
      <w:proofErr w:type="spellStart"/>
      <w:r w:rsidRPr="00742D8A">
        <w:rPr>
          <w:rFonts w:ascii="Arial" w:hAnsi="Arial" w:cs="Arial"/>
          <w:sz w:val="24"/>
          <w:szCs w:val="24"/>
          <w:lang w:val="fr-CA"/>
        </w:rPr>
        <w:t>Surveying</w:t>
      </w:r>
      <w:proofErr w:type="spellEnd"/>
      <w:r w:rsidRPr="00742D8A">
        <w:rPr>
          <w:rFonts w:ascii="Arial" w:hAnsi="Arial" w:cs="Arial"/>
          <w:sz w:val="24"/>
          <w:szCs w:val="24"/>
          <w:lang w:val="fr-CA"/>
        </w:rPr>
        <w:t xml:space="preserve"> the </w:t>
      </w:r>
      <w:proofErr w:type="spellStart"/>
      <w:r w:rsidRPr="00742D8A">
        <w:rPr>
          <w:rFonts w:ascii="Arial" w:hAnsi="Arial" w:cs="Arial"/>
          <w:sz w:val="24"/>
          <w:szCs w:val="24"/>
          <w:lang w:val="fr-CA"/>
        </w:rPr>
        <w:t>chapter</w:t>
      </w:r>
      <w:proofErr w:type="spellEnd"/>
      <w:r w:rsidRPr="00742D8A">
        <w:rPr>
          <w:rFonts w:ascii="Arial" w:hAnsi="Arial" w:cs="Arial"/>
          <w:sz w:val="24"/>
          <w:szCs w:val="24"/>
          <w:lang w:val="fr-CA"/>
        </w:rPr>
        <w:t xml:space="preserve"> </w:t>
      </w:r>
      <w:proofErr w:type="spellStart"/>
      <w:r w:rsidRPr="00742D8A">
        <w:rPr>
          <w:rFonts w:ascii="Arial" w:hAnsi="Arial" w:cs="Arial"/>
          <w:sz w:val="24"/>
          <w:szCs w:val="24"/>
          <w:lang w:val="fr-CA"/>
        </w:rPr>
        <w:t>together</w:t>
      </w:r>
      <w:proofErr w:type="spellEnd"/>
      <w:r w:rsidRPr="00742D8A">
        <w:rPr>
          <w:rFonts w:ascii="Arial" w:hAnsi="Arial" w:cs="Arial"/>
          <w:sz w:val="24"/>
          <w:szCs w:val="24"/>
          <w:lang w:val="fr-CA"/>
        </w:rPr>
        <w:t>:</w:t>
      </w:r>
    </w:p>
    <w:p w:rsidR="00000000" w:rsidRPr="00742D8A" w:rsidRDefault="00742D8A" w:rsidP="00742D8A">
      <w:pPr>
        <w:numPr>
          <w:ilvl w:val="0"/>
          <w:numId w:val="2"/>
        </w:numPr>
        <w:rPr>
          <w:rFonts w:ascii="Arial" w:hAnsi="Arial" w:cs="Arial"/>
          <w:sz w:val="24"/>
          <w:szCs w:val="24"/>
        </w:rPr>
      </w:pPr>
      <w:r w:rsidRPr="00742D8A">
        <w:rPr>
          <w:rFonts w:ascii="Arial" w:hAnsi="Arial" w:cs="Arial"/>
          <w:sz w:val="24"/>
          <w:szCs w:val="24"/>
          <w:lang w:val="fr-CA"/>
        </w:rPr>
        <w:lastRenderedPageBreak/>
        <w:t xml:space="preserve">The importance of </w:t>
      </w:r>
      <w:proofErr w:type="spellStart"/>
      <w:r w:rsidRPr="00742D8A">
        <w:rPr>
          <w:rFonts w:ascii="Arial" w:hAnsi="Arial" w:cs="Arial"/>
          <w:sz w:val="24"/>
          <w:szCs w:val="24"/>
          <w:lang w:val="fr-CA"/>
        </w:rPr>
        <w:t>familiarity</w:t>
      </w:r>
      <w:proofErr w:type="spellEnd"/>
      <w:r w:rsidRPr="00742D8A">
        <w:rPr>
          <w:rFonts w:ascii="Arial" w:hAnsi="Arial" w:cs="Arial"/>
          <w:sz w:val="24"/>
          <w:szCs w:val="24"/>
          <w:lang w:val="fr-CA"/>
        </w:rPr>
        <w:t xml:space="preserve"> in </w:t>
      </w:r>
      <w:proofErr w:type="spellStart"/>
      <w:r w:rsidRPr="00742D8A">
        <w:rPr>
          <w:rFonts w:ascii="Arial" w:hAnsi="Arial" w:cs="Arial"/>
          <w:sz w:val="24"/>
          <w:szCs w:val="24"/>
          <w:lang w:val="fr-CA"/>
        </w:rPr>
        <w:t>task</w:t>
      </w:r>
      <w:proofErr w:type="spellEnd"/>
      <w:r w:rsidRPr="00742D8A">
        <w:rPr>
          <w:rFonts w:ascii="Arial" w:hAnsi="Arial" w:cs="Arial"/>
          <w:sz w:val="24"/>
          <w:szCs w:val="24"/>
          <w:lang w:val="fr-CA"/>
        </w:rPr>
        <w:t xml:space="preserve"> and </w:t>
      </w:r>
      <w:proofErr w:type="spellStart"/>
      <w:r w:rsidRPr="00742D8A">
        <w:rPr>
          <w:rFonts w:ascii="Arial" w:hAnsi="Arial" w:cs="Arial"/>
          <w:sz w:val="24"/>
          <w:szCs w:val="24"/>
          <w:lang w:val="fr-CA"/>
        </w:rPr>
        <w:t>environment</w:t>
      </w:r>
      <w:proofErr w:type="spellEnd"/>
    </w:p>
    <w:p w:rsidR="00000000" w:rsidRPr="00742D8A" w:rsidRDefault="00742D8A" w:rsidP="00742D8A">
      <w:pPr>
        <w:numPr>
          <w:ilvl w:val="0"/>
          <w:numId w:val="2"/>
        </w:numPr>
        <w:rPr>
          <w:rFonts w:ascii="Arial" w:hAnsi="Arial" w:cs="Arial"/>
          <w:sz w:val="24"/>
          <w:szCs w:val="24"/>
        </w:rPr>
      </w:pPr>
      <w:r w:rsidRPr="00742D8A">
        <w:rPr>
          <w:rFonts w:ascii="Arial" w:hAnsi="Arial" w:cs="Arial"/>
          <w:sz w:val="24"/>
          <w:szCs w:val="24"/>
          <w:lang w:val="fr-CA"/>
        </w:rPr>
        <w:t xml:space="preserve">The importance of </w:t>
      </w:r>
      <w:proofErr w:type="spellStart"/>
      <w:r w:rsidRPr="00742D8A">
        <w:rPr>
          <w:rFonts w:ascii="Arial" w:hAnsi="Arial" w:cs="Arial"/>
          <w:sz w:val="24"/>
          <w:szCs w:val="24"/>
          <w:lang w:val="fr-CA"/>
        </w:rPr>
        <w:t>practiced</w:t>
      </w:r>
      <w:proofErr w:type="spellEnd"/>
      <w:r w:rsidRPr="00742D8A">
        <w:rPr>
          <w:rFonts w:ascii="Arial" w:hAnsi="Arial" w:cs="Arial"/>
          <w:sz w:val="24"/>
          <w:szCs w:val="24"/>
          <w:lang w:val="fr-CA"/>
        </w:rPr>
        <w:t xml:space="preserve"> and </w:t>
      </w:r>
      <w:proofErr w:type="spellStart"/>
      <w:r w:rsidRPr="00742D8A">
        <w:rPr>
          <w:rFonts w:ascii="Arial" w:hAnsi="Arial" w:cs="Arial"/>
          <w:sz w:val="24"/>
          <w:szCs w:val="24"/>
          <w:lang w:val="fr-CA"/>
        </w:rPr>
        <w:t>primed</w:t>
      </w:r>
      <w:proofErr w:type="spellEnd"/>
      <w:r w:rsidRPr="00742D8A">
        <w:rPr>
          <w:rFonts w:ascii="Arial" w:hAnsi="Arial" w:cs="Arial"/>
          <w:sz w:val="24"/>
          <w:szCs w:val="24"/>
          <w:lang w:val="fr-CA"/>
        </w:rPr>
        <w:t>/</w:t>
      </w:r>
      <w:proofErr w:type="spellStart"/>
      <w:r w:rsidRPr="00742D8A">
        <w:rPr>
          <w:rFonts w:ascii="Arial" w:hAnsi="Arial" w:cs="Arial"/>
          <w:sz w:val="24"/>
          <w:szCs w:val="24"/>
          <w:lang w:val="fr-CA"/>
        </w:rPr>
        <w:t>salient</w:t>
      </w:r>
      <w:proofErr w:type="spellEnd"/>
      <w:r w:rsidRPr="00742D8A">
        <w:rPr>
          <w:rFonts w:ascii="Arial" w:hAnsi="Arial" w:cs="Arial"/>
          <w:sz w:val="24"/>
          <w:szCs w:val="24"/>
          <w:lang w:val="fr-CA"/>
        </w:rPr>
        <w:t xml:space="preserve"> </w:t>
      </w:r>
      <w:proofErr w:type="spellStart"/>
      <w:r w:rsidRPr="00742D8A">
        <w:rPr>
          <w:rFonts w:ascii="Arial" w:hAnsi="Arial" w:cs="Arial"/>
          <w:sz w:val="24"/>
          <w:szCs w:val="24"/>
          <w:lang w:val="fr-CA"/>
        </w:rPr>
        <w:t>activities</w:t>
      </w:r>
      <w:proofErr w:type="spellEnd"/>
    </w:p>
    <w:p w:rsidR="00000000" w:rsidRPr="00742D8A" w:rsidRDefault="00742D8A" w:rsidP="00742D8A">
      <w:pPr>
        <w:numPr>
          <w:ilvl w:val="0"/>
          <w:numId w:val="2"/>
        </w:numPr>
        <w:rPr>
          <w:rFonts w:ascii="Arial" w:hAnsi="Arial" w:cs="Arial"/>
          <w:sz w:val="24"/>
          <w:szCs w:val="24"/>
        </w:rPr>
      </w:pPr>
      <w:proofErr w:type="spellStart"/>
      <w:r w:rsidRPr="00742D8A">
        <w:rPr>
          <w:rFonts w:ascii="Arial" w:hAnsi="Arial" w:cs="Arial"/>
          <w:sz w:val="24"/>
          <w:szCs w:val="24"/>
          <w:lang w:val="fr-CA"/>
        </w:rPr>
        <w:t>Underlying</w:t>
      </w:r>
      <w:proofErr w:type="spellEnd"/>
      <w:r w:rsidRPr="00742D8A">
        <w:rPr>
          <w:rFonts w:ascii="Arial" w:hAnsi="Arial" w:cs="Arial"/>
          <w:sz w:val="24"/>
          <w:szCs w:val="24"/>
          <w:lang w:val="fr-CA"/>
        </w:rPr>
        <w:t xml:space="preserve"> </w:t>
      </w:r>
      <w:proofErr w:type="spellStart"/>
      <w:r w:rsidRPr="00742D8A">
        <w:rPr>
          <w:rFonts w:ascii="Arial" w:hAnsi="Arial" w:cs="Arial"/>
          <w:sz w:val="24"/>
          <w:szCs w:val="24"/>
          <w:lang w:val="fr-CA"/>
        </w:rPr>
        <w:t>universal</w:t>
      </w:r>
      <w:proofErr w:type="spellEnd"/>
      <w:r w:rsidRPr="00742D8A">
        <w:rPr>
          <w:rFonts w:ascii="Arial" w:hAnsi="Arial" w:cs="Arial"/>
          <w:sz w:val="24"/>
          <w:szCs w:val="24"/>
          <w:lang w:val="fr-CA"/>
        </w:rPr>
        <w:t xml:space="preserve"> structures</w:t>
      </w:r>
    </w:p>
    <w:p w:rsidR="00742D8A" w:rsidRPr="00742D8A" w:rsidRDefault="00742D8A" w:rsidP="00742D8A">
      <w:pPr>
        <w:rPr>
          <w:rFonts w:ascii="Arial" w:hAnsi="Arial" w:cs="Arial"/>
          <w:sz w:val="24"/>
          <w:szCs w:val="24"/>
        </w:rPr>
      </w:pPr>
    </w:p>
    <w:p w:rsidR="00742D8A" w:rsidRPr="00742D8A" w:rsidRDefault="00742D8A" w:rsidP="00742D8A">
      <w:pPr>
        <w:pStyle w:val="ListParagraph"/>
        <w:numPr>
          <w:ilvl w:val="0"/>
          <w:numId w:val="1"/>
        </w:numPr>
        <w:rPr>
          <w:rFonts w:ascii="Arial" w:hAnsi="Arial" w:cs="Arial"/>
          <w:sz w:val="24"/>
          <w:szCs w:val="24"/>
        </w:rPr>
      </w:pPr>
      <w:r w:rsidRPr="00742D8A">
        <w:rPr>
          <w:rFonts w:ascii="Arial" w:hAnsi="Arial" w:cs="Arial"/>
          <w:sz w:val="24"/>
          <w:szCs w:val="24"/>
        </w:rPr>
        <w:t>Hazard perception tests are used in several developed countries as part of the driver licensing curriculum, however little research has been done in developing countries where road safety is a primary concern. We conducted a cross-cultural hazard perception study to examine the transferability of hazard perception skills between Malaysia and the UK, using hazard clips filmed in both countries. The results showed that familiarity with both the driving environment and type of hazard facilitated drivers’ ability to discriminate hazards in a timely manner, although overall drivers viewed and responded to hazards largely similarly regardless of origin. Visual strategies also appeared to be moderated mainly by the immediate driving environment rather than driver origin. Finally, Malaysian drivers required a higher threshold of danger than UK drivers before they would identify a situation as hazardous, possibly reflecting the more hazardous road environment in Malaysia. We suggest that hazard perception testing, particularly in developing countries, would benefit from a paradigm where performance cannot be confounded with differing thresholds for hazardousness.</w:t>
      </w:r>
    </w:p>
    <w:p w:rsidR="00742D8A" w:rsidRPr="00742D8A" w:rsidRDefault="00742D8A" w:rsidP="00742D8A">
      <w:pPr>
        <w:rPr>
          <w:rFonts w:ascii="Arial" w:hAnsi="Arial" w:cs="Arial"/>
          <w:b/>
          <w:sz w:val="24"/>
          <w:szCs w:val="24"/>
          <w:u w:val="single"/>
        </w:rPr>
      </w:pPr>
      <w:bookmarkStart w:id="0" w:name="_GoBack"/>
      <w:bookmarkEnd w:id="0"/>
    </w:p>
    <w:sectPr w:rsidR="00742D8A" w:rsidRPr="00742D8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7777D0"/>
    <w:multiLevelType w:val="hybridMultilevel"/>
    <w:tmpl w:val="4F562984"/>
    <w:lvl w:ilvl="0" w:tplc="091EFCCA">
      <w:start w:val="1"/>
      <w:numFmt w:val="bullet"/>
      <w:lvlText w:val="•"/>
      <w:lvlJc w:val="left"/>
      <w:pPr>
        <w:tabs>
          <w:tab w:val="num" w:pos="720"/>
        </w:tabs>
        <w:ind w:left="720" w:hanging="360"/>
      </w:pPr>
      <w:rPr>
        <w:rFonts w:ascii="Arial" w:hAnsi="Arial" w:hint="default"/>
      </w:rPr>
    </w:lvl>
    <w:lvl w:ilvl="1" w:tplc="843684F8" w:tentative="1">
      <w:start w:val="1"/>
      <w:numFmt w:val="bullet"/>
      <w:lvlText w:val="•"/>
      <w:lvlJc w:val="left"/>
      <w:pPr>
        <w:tabs>
          <w:tab w:val="num" w:pos="1440"/>
        </w:tabs>
        <w:ind w:left="1440" w:hanging="360"/>
      </w:pPr>
      <w:rPr>
        <w:rFonts w:ascii="Arial" w:hAnsi="Arial" w:hint="default"/>
      </w:rPr>
    </w:lvl>
    <w:lvl w:ilvl="2" w:tplc="C42C8682" w:tentative="1">
      <w:start w:val="1"/>
      <w:numFmt w:val="bullet"/>
      <w:lvlText w:val="•"/>
      <w:lvlJc w:val="left"/>
      <w:pPr>
        <w:tabs>
          <w:tab w:val="num" w:pos="2160"/>
        </w:tabs>
        <w:ind w:left="2160" w:hanging="360"/>
      </w:pPr>
      <w:rPr>
        <w:rFonts w:ascii="Arial" w:hAnsi="Arial" w:hint="default"/>
      </w:rPr>
    </w:lvl>
    <w:lvl w:ilvl="3" w:tplc="8AE856D4" w:tentative="1">
      <w:start w:val="1"/>
      <w:numFmt w:val="bullet"/>
      <w:lvlText w:val="•"/>
      <w:lvlJc w:val="left"/>
      <w:pPr>
        <w:tabs>
          <w:tab w:val="num" w:pos="2880"/>
        </w:tabs>
        <w:ind w:left="2880" w:hanging="360"/>
      </w:pPr>
      <w:rPr>
        <w:rFonts w:ascii="Arial" w:hAnsi="Arial" w:hint="default"/>
      </w:rPr>
    </w:lvl>
    <w:lvl w:ilvl="4" w:tplc="8B4A1FDC" w:tentative="1">
      <w:start w:val="1"/>
      <w:numFmt w:val="bullet"/>
      <w:lvlText w:val="•"/>
      <w:lvlJc w:val="left"/>
      <w:pPr>
        <w:tabs>
          <w:tab w:val="num" w:pos="3600"/>
        </w:tabs>
        <w:ind w:left="3600" w:hanging="360"/>
      </w:pPr>
      <w:rPr>
        <w:rFonts w:ascii="Arial" w:hAnsi="Arial" w:hint="default"/>
      </w:rPr>
    </w:lvl>
    <w:lvl w:ilvl="5" w:tplc="B0DEC244" w:tentative="1">
      <w:start w:val="1"/>
      <w:numFmt w:val="bullet"/>
      <w:lvlText w:val="•"/>
      <w:lvlJc w:val="left"/>
      <w:pPr>
        <w:tabs>
          <w:tab w:val="num" w:pos="4320"/>
        </w:tabs>
        <w:ind w:left="4320" w:hanging="360"/>
      </w:pPr>
      <w:rPr>
        <w:rFonts w:ascii="Arial" w:hAnsi="Arial" w:hint="default"/>
      </w:rPr>
    </w:lvl>
    <w:lvl w:ilvl="6" w:tplc="6218BD94" w:tentative="1">
      <w:start w:val="1"/>
      <w:numFmt w:val="bullet"/>
      <w:lvlText w:val="•"/>
      <w:lvlJc w:val="left"/>
      <w:pPr>
        <w:tabs>
          <w:tab w:val="num" w:pos="5040"/>
        </w:tabs>
        <w:ind w:left="5040" w:hanging="360"/>
      </w:pPr>
      <w:rPr>
        <w:rFonts w:ascii="Arial" w:hAnsi="Arial" w:hint="default"/>
      </w:rPr>
    </w:lvl>
    <w:lvl w:ilvl="7" w:tplc="4CE677A0" w:tentative="1">
      <w:start w:val="1"/>
      <w:numFmt w:val="bullet"/>
      <w:lvlText w:val="•"/>
      <w:lvlJc w:val="left"/>
      <w:pPr>
        <w:tabs>
          <w:tab w:val="num" w:pos="5760"/>
        </w:tabs>
        <w:ind w:left="5760" w:hanging="360"/>
      </w:pPr>
      <w:rPr>
        <w:rFonts w:ascii="Arial" w:hAnsi="Arial" w:hint="default"/>
      </w:rPr>
    </w:lvl>
    <w:lvl w:ilvl="8" w:tplc="A0A0A8D6" w:tentative="1">
      <w:start w:val="1"/>
      <w:numFmt w:val="bullet"/>
      <w:lvlText w:val="•"/>
      <w:lvlJc w:val="left"/>
      <w:pPr>
        <w:tabs>
          <w:tab w:val="num" w:pos="6480"/>
        </w:tabs>
        <w:ind w:left="6480" w:hanging="360"/>
      </w:pPr>
      <w:rPr>
        <w:rFonts w:ascii="Arial" w:hAnsi="Arial" w:hint="default"/>
      </w:rPr>
    </w:lvl>
  </w:abstractNum>
  <w:abstractNum w:abstractNumId="1">
    <w:nsid w:val="60962F96"/>
    <w:multiLevelType w:val="hybridMultilevel"/>
    <w:tmpl w:val="A62679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D8A"/>
    <w:rsid w:val="0043795F"/>
    <w:rsid w:val="00742D8A"/>
    <w:rsid w:val="00C47D0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6FDF19-F583-4613-89DC-F71D1F51C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2D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3403282">
      <w:bodyDiv w:val="1"/>
      <w:marLeft w:val="0"/>
      <w:marRight w:val="0"/>
      <w:marTop w:val="0"/>
      <w:marBottom w:val="0"/>
      <w:divBdr>
        <w:top w:val="none" w:sz="0" w:space="0" w:color="auto"/>
        <w:left w:val="none" w:sz="0" w:space="0" w:color="auto"/>
        <w:bottom w:val="none" w:sz="0" w:space="0" w:color="auto"/>
        <w:right w:val="none" w:sz="0" w:space="0" w:color="auto"/>
      </w:divBdr>
    </w:div>
    <w:div w:id="1723365258">
      <w:bodyDiv w:val="1"/>
      <w:marLeft w:val="0"/>
      <w:marRight w:val="0"/>
      <w:marTop w:val="0"/>
      <w:marBottom w:val="0"/>
      <w:divBdr>
        <w:top w:val="none" w:sz="0" w:space="0" w:color="auto"/>
        <w:left w:val="none" w:sz="0" w:space="0" w:color="auto"/>
        <w:bottom w:val="none" w:sz="0" w:space="0" w:color="auto"/>
        <w:right w:val="none" w:sz="0" w:space="0" w:color="auto"/>
      </w:divBdr>
      <w:divsChild>
        <w:div w:id="342753704">
          <w:marLeft w:val="547"/>
          <w:marRight w:val="0"/>
          <w:marTop w:val="200"/>
          <w:marBottom w:val="0"/>
          <w:divBdr>
            <w:top w:val="none" w:sz="0" w:space="0" w:color="auto"/>
            <w:left w:val="none" w:sz="0" w:space="0" w:color="auto"/>
            <w:bottom w:val="none" w:sz="0" w:space="0" w:color="auto"/>
            <w:right w:val="none" w:sz="0" w:space="0" w:color="auto"/>
          </w:divBdr>
        </w:div>
        <w:div w:id="569929597">
          <w:marLeft w:val="547"/>
          <w:marRight w:val="0"/>
          <w:marTop w:val="200"/>
          <w:marBottom w:val="0"/>
          <w:divBdr>
            <w:top w:val="none" w:sz="0" w:space="0" w:color="auto"/>
            <w:left w:val="none" w:sz="0" w:space="0" w:color="auto"/>
            <w:bottom w:val="none" w:sz="0" w:space="0" w:color="auto"/>
            <w:right w:val="none" w:sz="0" w:space="0" w:color="auto"/>
          </w:divBdr>
        </w:div>
        <w:div w:id="893781762">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600</Words>
  <Characters>3422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stephenson</dc:creator>
  <cp:keywords/>
  <dc:description/>
  <cp:lastModifiedBy>Ashley stephenson</cp:lastModifiedBy>
  <cp:revision>1</cp:revision>
  <dcterms:created xsi:type="dcterms:W3CDTF">2013-12-05T01:59:00Z</dcterms:created>
  <dcterms:modified xsi:type="dcterms:W3CDTF">2013-12-05T02:05:00Z</dcterms:modified>
</cp:coreProperties>
</file>