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EF0" w:rsidRPr="00702EC4" w:rsidRDefault="00727EF0" w:rsidP="00727EF0">
      <w:pPr>
        <w:rPr>
          <w:rFonts w:ascii="Times New Roman" w:hAnsi="Times New Roman" w:cs="Times New Roman"/>
          <w:b/>
          <w:sz w:val="24"/>
          <w:szCs w:val="24"/>
        </w:rPr>
      </w:pPr>
      <w:r w:rsidRPr="00702EC4">
        <w:rPr>
          <w:rFonts w:ascii="Times New Roman" w:hAnsi="Times New Roman" w:cs="Times New Roman"/>
          <w:b/>
          <w:sz w:val="24"/>
          <w:szCs w:val="24"/>
        </w:rPr>
        <w:t>Chapter 2: Theoretical Perspectives on Law</w:t>
      </w:r>
    </w:p>
    <w:p w:rsidR="00727EF0" w:rsidRPr="004448E8" w:rsidRDefault="00727EF0" w:rsidP="00727EF0">
      <w:pPr>
        <w:rPr>
          <w:rFonts w:ascii="Times New Roman" w:hAnsi="Times New Roman" w:cs="Times New Roman"/>
          <w:sz w:val="24"/>
          <w:szCs w:val="24"/>
        </w:rPr>
      </w:pPr>
      <w:r>
        <w:rPr>
          <w:rFonts w:ascii="Times New Roman" w:hAnsi="Times New Roman" w:cs="Times New Roman"/>
          <w:sz w:val="24"/>
          <w:szCs w:val="24"/>
        </w:rPr>
        <w:t xml:space="preserve"> Transitional legal systems</w:t>
      </w:r>
    </w:p>
    <w:p w:rsidR="00727EF0" w:rsidRDefault="00727EF0" w:rsidP="00727E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Transitional legal systems are characteristic of advanced agrarian and early industrial societies where the economic, educational, and political subsystems are increasingly differentiated from kinship relationships.</w:t>
      </w:r>
    </w:p>
    <w:p w:rsidR="00727EF0" w:rsidRDefault="00727EF0" w:rsidP="00727E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transitional legal systems, legal development accelerates for the following reasons:</w:t>
      </w:r>
    </w:p>
    <w:p w:rsidR="00727EF0" w:rsidRDefault="00727EF0" w:rsidP="00727E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Laws enacted by the growing legislative body of the polity can be applied systematically to specific circumstances by professionals and experts. This means that laws enacted by the centralizing polity have institutional channels of application. </w:t>
      </w:r>
    </w:p>
    <w:p w:rsidR="00727EF0" w:rsidRDefault="00727EF0" w:rsidP="00727E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Where political legislation of laws is absent, an established court can enact laws by handing down Common-law precedents. Such common laws tend to fit nicely to the structural conditions in a society, since they emerge out of attempts to reconcile actual and concrete conflicts.</w:t>
      </w:r>
    </w:p>
    <w:p w:rsidR="00727EF0" w:rsidRDefault="00727EF0" w:rsidP="00727E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Initially, courts are localized and characterized by common-law decisions. In time, their conflicting and overlapping rules provide an impetus for the unification of a legal system eventually leading to a more codified system of laws.</w:t>
      </w:r>
    </w:p>
    <w:p w:rsidR="00727EF0" w:rsidRPr="002B1056" w:rsidRDefault="00727EF0" w:rsidP="00727EF0">
      <w:pPr>
        <w:pStyle w:val="ListParagraph"/>
        <w:ind w:left="1080"/>
        <w:rPr>
          <w:rFonts w:ascii="Times New Roman" w:hAnsi="Times New Roman" w:cs="Times New Roman"/>
          <w:sz w:val="24"/>
          <w:szCs w:val="24"/>
        </w:rPr>
      </w:pPr>
    </w:p>
    <w:p w:rsidR="00727EF0" w:rsidRDefault="00727EF0" w:rsidP="00727E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functions of law in transitional legal institutions are essentially similar to that in traditional systems-perhaps a bit more complex, and at the same time, less successful in resolving integrative problems.</w:t>
      </w:r>
    </w:p>
    <w:p w:rsidR="00727EF0" w:rsidRDefault="00727EF0" w:rsidP="00727E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Structural differentiation becomes more complex while political development increases. </w:t>
      </w:r>
    </w:p>
    <w:p w:rsidR="00727EF0" w:rsidRPr="004448E8" w:rsidRDefault="00727EF0" w:rsidP="00727EF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This leads to inequities in power and wealth. In such situations, civil law tends to legitimize these inequalities.</w:t>
      </w:r>
    </w:p>
    <w:p w:rsidR="00727EF0" w:rsidRDefault="00727EF0" w:rsidP="00727EF0">
      <w:pPr>
        <w:rPr>
          <w:rFonts w:ascii="Times New Roman" w:hAnsi="Times New Roman" w:cs="Times New Roman"/>
          <w:sz w:val="24"/>
          <w:szCs w:val="24"/>
        </w:rPr>
      </w:pPr>
      <w:r>
        <w:rPr>
          <w:rFonts w:ascii="Times New Roman" w:hAnsi="Times New Roman" w:cs="Times New Roman"/>
          <w:sz w:val="24"/>
          <w:szCs w:val="24"/>
        </w:rPr>
        <w:t>Modern Legal Systems</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Inherent in modern legal systems is the notion of “modern” law.</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Marc Galanter (1977) sets forth in “The Modernization of law” a comprehensive conceptualization of contemporary law.</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His model includes 11 salient features that characterize the legal system of the industrial societies of the last century, and many of them can be found in modern societies as well.</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Galanter argues that “modern law consists of rules that are </w:t>
      </w:r>
      <w:r w:rsidRPr="00BA1A00">
        <w:rPr>
          <w:rFonts w:ascii="Times New Roman" w:hAnsi="Times New Roman" w:cs="Times New Roman"/>
          <w:b/>
          <w:sz w:val="24"/>
          <w:szCs w:val="24"/>
        </w:rPr>
        <w:t>uniform and unvarying</w:t>
      </w:r>
      <w:r>
        <w:rPr>
          <w:rFonts w:ascii="Times New Roman" w:hAnsi="Times New Roman" w:cs="Times New Roman"/>
          <w:sz w:val="24"/>
          <w:szCs w:val="24"/>
        </w:rPr>
        <w:t xml:space="preserve"> in their application”.  </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Therefore same rules and regulations are applicable to everyone.</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Modern law is also </w:t>
      </w:r>
      <w:r w:rsidRPr="00BA1A00">
        <w:rPr>
          <w:rFonts w:ascii="Times New Roman" w:hAnsi="Times New Roman" w:cs="Times New Roman"/>
          <w:b/>
          <w:sz w:val="24"/>
          <w:szCs w:val="24"/>
        </w:rPr>
        <w:t>transactiona</w:t>
      </w:r>
      <w:r>
        <w:rPr>
          <w:rFonts w:ascii="Times New Roman" w:hAnsi="Times New Roman" w:cs="Times New Roman"/>
          <w:sz w:val="24"/>
          <w:szCs w:val="24"/>
        </w:rPr>
        <w:t xml:space="preserve">l. Rights and duties stem from “transactions”. </w:t>
      </w:r>
      <w:r w:rsidRPr="00FA5A03">
        <w:rPr>
          <w:rFonts w:ascii="Times New Roman" w:hAnsi="Times New Roman" w:cs="Times New Roman"/>
          <w:sz w:val="24"/>
          <w:szCs w:val="24"/>
        </w:rPr>
        <w:t>They are</w:t>
      </w:r>
      <w:r>
        <w:rPr>
          <w:rFonts w:ascii="Times New Roman" w:hAnsi="Times New Roman" w:cs="Times New Roman"/>
          <w:sz w:val="24"/>
          <w:szCs w:val="24"/>
        </w:rPr>
        <w:t xml:space="preserve"> not “aggregated in unchanging clusters” prescribed to an individual by ascribed status.</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Galanter insists that modern legal norms are </w:t>
      </w:r>
      <w:r w:rsidRPr="00BA1A00">
        <w:rPr>
          <w:rFonts w:ascii="Times New Roman" w:hAnsi="Times New Roman" w:cs="Times New Roman"/>
          <w:b/>
          <w:sz w:val="24"/>
          <w:szCs w:val="24"/>
        </w:rPr>
        <w:t>universalistic</w:t>
      </w:r>
      <w:r>
        <w:rPr>
          <w:rFonts w:ascii="Times New Roman" w:hAnsi="Times New Roman" w:cs="Times New Roman"/>
          <w:sz w:val="24"/>
          <w:szCs w:val="24"/>
        </w:rPr>
        <w:t>, that is, their application is predictable, uniform and impersonal.</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Further, the system, to be </w:t>
      </w:r>
      <w:r w:rsidRPr="00BA1A00">
        <w:rPr>
          <w:rFonts w:ascii="Times New Roman" w:hAnsi="Times New Roman" w:cs="Times New Roman"/>
          <w:b/>
          <w:sz w:val="24"/>
          <w:szCs w:val="24"/>
        </w:rPr>
        <w:t>uniform and predictable</w:t>
      </w:r>
      <w:r>
        <w:rPr>
          <w:rFonts w:ascii="Times New Roman" w:hAnsi="Times New Roman" w:cs="Times New Roman"/>
          <w:sz w:val="24"/>
          <w:szCs w:val="24"/>
        </w:rPr>
        <w:t>, operates on the basis of written rules and has a regular chain of command.</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system is </w:t>
      </w:r>
      <w:r w:rsidRPr="00BA1A00">
        <w:rPr>
          <w:rFonts w:ascii="Times New Roman" w:hAnsi="Times New Roman" w:cs="Times New Roman"/>
          <w:b/>
          <w:sz w:val="24"/>
          <w:szCs w:val="24"/>
        </w:rPr>
        <w:t xml:space="preserve">rational </w:t>
      </w:r>
      <w:r>
        <w:rPr>
          <w:rFonts w:ascii="Times New Roman" w:hAnsi="Times New Roman" w:cs="Times New Roman"/>
          <w:sz w:val="24"/>
          <w:szCs w:val="24"/>
        </w:rPr>
        <w:t xml:space="preserve">in the Weberian sense, and rules are valued for their instrumental utility in producing consciously chosen ends, rather than for their formal qualities. </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Such a system is run by full-time professionals whose “qualifications come from mastery of the techniques of the legal system itself, not from profession of special gifts or talents or from eminence in some other area of life”.</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Professionals run the law; lawyers replace “mere general agents” as the legal system grows more complex.</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system is </w:t>
      </w:r>
      <w:r w:rsidRPr="00BA1A00">
        <w:rPr>
          <w:rFonts w:ascii="Times New Roman" w:hAnsi="Times New Roman" w:cs="Times New Roman"/>
          <w:b/>
          <w:sz w:val="24"/>
          <w:szCs w:val="24"/>
        </w:rPr>
        <w:t>amenable</w:t>
      </w:r>
      <w:r>
        <w:rPr>
          <w:rFonts w:ascii="Times New Roman" w:hAnsi="Times New Roman" w:cs="Times New Roman"/>
          <w:sz w:val="24"/>
          <w:szCs w:val="24"/>
        </w:rPr>
        <w:t>. It can be changed and it does not have “sacred fixity”. Legislation replaces the slow reworking of customary law.</w:t>
      </w:r>
    </w:p>
    <w:p w:rsidR="00727EF0"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It is also </w:t>
      </w:r>
      <w:r w:rsidRPr="00BA1A00">
        <w:rPr>
          <w:rFonts w:ascii="Times New Roman" w:hAnsi="Times New Roman" w:cs="Times New Roman"/>
          <w:b/>
          <w:i/>
          <w:sz w:val="24"/>
          <w:szCs w:val="24"/>
        </w:rPr>
        <w:t>political</w:t>
      </w:r>
      <w:r>
        <w:rPr>
          <w:rFonts w:ascii="Times New Roman" w:hAnsi="Times New Roman" w:cs="Times New Roman"/>
          <w:sz w:val="24"/>
          <w:szCs w:val="24"/>
        </w:rPr>
        <w:t>-that is, tied to the state, which has a monopoly on law.</w:t>
      </w:r>
    </w:p>
    <w:p w:rsidR="00727EF0" w:rsidRPr="00FA5A03" w:rsidRDefault="00727EF0" w:rsidP="00727EF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Finally, legislative, judicial, and executive functions are </w:t>
      </w:r>
      <w:r w:rsidRPr="00BA1A00">
        <w:rPr>
          <w:rFonts w:ascii="Times New Roman" w:hAnsi="Times New Roman" w:cs="Times New Roman"/>
          <w:b/>
          <w:sz w:val="24"/>
          <w:szCs w:val="24"/>
        </w:rPr>
        <w:t>separate and distinct</w:t>
      </w:r>
      <w:r>
        <w:rPr>
          <w:rFonts w:ascii="Times New Roman" w:hAnsi="Times New Roman" w:cs="Times New Roman"/>
          <w:sz w:val="24"/>
          <w:szCs w:val="24"/>
        </w:rPr>
        <w:t xml:space="preserve"> in modern law.</w:t>
      </w:r>
    </w:p>
    <w:p w:rsidR="00727EF0" w:rsidRDefault="00727EF0" w:rsidP="00727EF0">
      <w:pPr>
        <w:rPr>
          <w:rFonts w:ascii="Times New Roman" w:hAnsi="Times New Roman" w:cs="Times New Roman"/>
          <w:b/>
          <w:sz w:val="24"/>
          <w:szCs w:val="24"/>
        </w:rPr>
      </w:pPr>
      <w:r w:rsidRPr="000A51D2">
        <w:rPr>
          <w:rFonts w:ascii="Times New Roman" w:hAnsi="Times New Roman" w:cs="Times New Roman"/>
          <w:b/>
          <w:sz w:val="24"/>
          <w:szCs w:val="24"/>
        </w:rPr>
        <w:t>Chapter 3:</w:t>
      </w:r>
      <w:r>
        <w:rPr>
          <w:rFonts w:ascii="Times New Roman" w:hAnsi="Times New Roman" w:cs="Times New Roman"/>
          <w:b/>
          <w:sz w:val="24"/>
          <w:szCs w:val="24"/>
        </w:rPr>
        <w:t xml:space="preserve"> </w:t>
      </w:r>
      <w:r w:rsidRPr="000A51D2">
        <w:rPr>
          <w:rFonts w:ascii="Times New Roman" w:hAnsi="Times New Roman" w:cs="Times New Roman"/>
          <w:b/>
          <w:sz w:val="24"/>
          <w:szCs w:val="24"/>
        </w:rPr>
        <w:t>The Organization of Law</w:t>
      </w:r>
    </w:p>
    <w:p w:rsidR="00727EF0" w:rsidRPr="000A51D2" w:rsidRDefault="00727EF0" w:rsidP="00727EF0">
      <w:pPr>
        <w:rPr>
          <w:rFonts w:ascii="Times New Roman" w:hAnsi="Times New Roman" w:cs="Times New Roman"/>
          <w:sz w:val="24"/>
          <w:szCs w:val="24"/>
        </w:rPr>
      </w:pPr>
      <w:r>
        <w:rPr>
          <w:rFonts w:ascii="Times New Roman" w:hAnsi="Times New Roman" w:cs="Times New Roman"/>
          <w:sz w:val="24"/>
          <w:szCs w:val="24"/>
        </w:rPr>
        <w:t>The Organization of Administrative Agencies</w:t>
      </w:r>
    </w:p>
    <w:p w:rsidR="00727EF0" w:rsidRPr="00E8411D"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As social life in general and economic activity in particular became more complex, legislative bodies were unable or unwilling to prescribe detailed guidelines for regulation.</w:t>
      </w:r>
    </w:p>
    <w:p w:rsidR="00727EF0" w:rsidRPr="00973DA5"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In consequence, agencies were established and given considerable discretion in determining the applicability of often vaguely written legislation to specific situations such as mas transport and communication.</w:t>
      </w:r>
    </w:p>
    <w:p w:rsidR="00727EF0" w:rsidRPr="00973DA5"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Administrative agencies are expected to provide </w:t>
      </w:r>
      <w:r w:rsidRPr="00973DA5">
        <w:rPr>
          <w:rFonts w:ascii="Times New Roman" w:hAnsi="Times New Roman" w:cs="Times New Roman"/>
          <w:b/>
          <w:sz w:val="24"/>
          <w:szCs w:val="24"/>
          <w:u w:val="single"/>
        </w:rPr>
        <w:t>certain advantages over the courts</w:t>
      </w:r>
      <w:r>
        <w:rPr>
          <w:rFonts w:ascii="Times New Roman" w:hAnsi="Times New Roman" w:cs="Times New Roman"/>
          <w:sz w:val="24"/>
          <w:szCs w:val="24"/>
        </w:rPr>
        <w:t xml:space="preserve"> in the instrumentation of public policy.</w:t>
      </w:r>
    </w:p>
    <w:p w:rsidR="00727EF0" w:rsidRPr="00380BC4"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Therefore administrative agencies offer advantages which include speed, informality, flexibility, expertise in technical areas, and continuous surveillance of an industry or an economic problem. </w:t>
      </w:r>
    </w:p>
    <w:p w:rsidR="00727EF0" w:rsidRPr="00EB7BC7" w:rsidRDefault="00727EF0" w:rsidP="00727EF0">
      <w:pPr>
        <w:pStyle w:val="ListParagraph"/>
        <w:numPr>
          <w:ilvl w:val="0"/>
          <w:numId w:val="4"/>
        </w:numPr>
        <w:rPr>
          <w:rFonts w:ascii="Times New Roman" w:hAnsi="Times New Roman" w:cs="Times New Roman"/>
          <w:b/>
          <w:sz w:val="24"/>
          <w:szCs w:val="24"/>
        </w:rPr>
      </w:pPr>
      <w:r w:rsidRPr="00380BC4">
        <w:rPr>
          <w:rFonts w:ascii="Times New Roman" w:hAnsi="Times New Roman" w:cs="Times New Roman"/>
          <w:b/>
          <w:sz w:val="24"/>
          <w:szCs w:val="24"/>
        </w:rPr>
        <w:t>The Rule of Law and Natural Justice</w:t>
      </w:r>
      <w:r>
        <w:rPr>
          <w:rFonts w:ascii="Times New Roman" w:hAnsi="Times New Roman" w:cs="Times New Roman"/>
          <w:b/>
          <w:sz w:val="24"/>
          <w:szCs w:val="24"/>
        </w:rPr>
        <w:t xml:space="preserve">: </w:t>
      </w:r>
      <w:r>
        <w:rPr>
          <w:rFonts w:ascii="Times New Roman" w:hAnsi="Times New Roman" w:cs="Times New Roman"/>
          <w:sz w:val="24"/>
          <w:szCs w:val="24"/>
        </w:rPr>
        <w:t xml:space="preserve">As long as the decision made within the parameters of the rule of law and the rules of natural justice and the policies set out in the legislation, administrative agencies are free to make decision and the agency to implement them. </w:t>
      </w:r>
    </w:p>
    <w:p w:rsidR="00727EF0" w:rsidRPr="00EB7BC7"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While natural justice requires that a respondent be given the opportunity to make his or her case heard and to receive a decision that is made by an impartial decision-maker, the specific procedures adopted by the administrative tribunal can vary.</w:t>
      </w:r>
    </w:p>
    <w:p w:rsidR="00727EF0" w:rsidRPr="00EB7BC7"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Moreover, administrative tribunals are not bound by the stringent rules of procedure that govern the courts. </w:t>
      </w:r>
    </w:p>
    <w:p w:rsidR="00727EF0" w:rsidRPr="00987EF9"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For example, they need not follow strict rules of evidence i.e. rules that govern the types of evidence that can be introduced and how the evidence must be obtained.</w:t>
      </w:r>
    </w:p>
    <w:p w:rsidR="00727EF0" w:rsidRPr="00987EF9"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The administrative process includes investigation, rulemaking and adjudication.  </w:t>
      </w:r>
    </w:p>
    <w:p w:rsidR="00727EF0" w:rsidRPr="00BF5915" w:rsidRDefault="00727EF0" w:rsidP="00727EF0">
      <w:pPr>
        <w:pStyle w:val="ListParagraph"/>
        <w:numPr>
          <w:ilvl w:val="0"/>
          <w:numId w:val="4"/>
        </w:numPr>
        <w:rPr>
          <w:rFonts w:ascii="Times New Roman" w:hAnsi="Times New Roman" w:cs="Times New Roman"/>
          <w:b/>
          <w:sz w:val="24"/>
          <w:szCs w:val="24"/>
        </w:rPr>
      </w:pPr>
      <w:r w:rsidRPr="00987EF9">
        <w:rPr>
          <w:rFonts w:ascii="Times New Roman" w:hAnsi="Times New Roman" w:cs="Times New Roman"/>
          <w:b/>
          <w:sz w:val="24"/>
          <w:szCs w:val="24"/>
        </w:rPr>
        <w:t>Rulemaking</w:t>
      </w:r>
      <w:r>
        <w:rPr>
          <w:rFonts w:ascii="Times New Roman" w:hAnsi="Times New Roman" w:cs="Times New Roman"/>
          <w:sz w:val="24"/>
          <w:szCs w:val="24"/>
        </w:rPr>
        <w:t xml:space="preserve">: as quasi-legislative bodies, administrative agencies issue three types of rules: </w:t>
      </w:r>
      <w:r w:rsidRPr="00987EF9">
        <w:rPr>
          <w:rFonts w:ascii="Times New Roman" w:hAnsi="Times New Roman" w:cs="Times New Roman"/>
          <w:b/>
          <w:sz w:val="24"/>
          <w:szCs w:val="24"/>
        </w:rPr>
        <w:t>procedural, interpretive, and legislative</w:t>
      </w:r>
      <w:r>
        <w:rPr>
          <w:rFonts w:ascii="Times New Roman" w:hAnsi="Times New Roman" w:cs="Times New Roman"/>
          <w:sz w:val="24"/>
          <w:szCs w:val="24"/>
        </w:rPr>
        <w:t>.</w:t>
      </w:r>
    </w:p>
    <w:p w:rsidR="00727EF0" w:rsidRPr="00BF5915"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Adjudication: Adjudication is the administrative equivalent of a judicial trial. It applies policy to a set of pasta actions and results in an order against, or in favour of, the named party.</w:t>
      </w:r>
    </w:p>
    <w:p w:rsidR="00727EF0" w:rsidRPr="007E2591"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Much of this adjudication is handled informally through the voluntary settlement of cases at lower levels in an agency.</w:t>
      </w:r>
    </w:p>
    <w:p w:rsidR="00727EF0" w:rsidRPr="007E2591"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At these levels, agencies dispose of disputes relatively quickly and inexpensively, and they take an immense burden off the courts as a result.</w:t>
      </w:r>
    </w:p>
    <w:p w:rsidR="00727EF0" w:rsidRPr="007E2591"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Moreover, they are handled by individuals who are experts in technical areas. </w:t>
      </w:r>
    </w:p>
    <w:p w:rsidR="00727EF0" w:rsidRPr="007E2591" w:rsidRDefault="00727EF0" w:rsidP="00727EF0">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But this practice is not without criticism.  Many individuals-in particular, lawyers pleading cases before the agencies-have expressed concern over the extent of judicial power vested in these agencies. </w:t>
      </w:r>
    </w:p>
    <w:p w:rsidR="00727EF0" w:rsidRPr="007E2591" w:rsidRDefault="00727EF0" w:rsidP="00727EF0">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They complain that administrators violate due process of law by holding private and informal sessions, by failing to give interested parties an adequate hearing, and by basing their decisions on insufficient evidence.</w:t>
      </w:r>
    </w:p>
    <w:p w:rsidR="00727EF0" w:rsidRPr="007E2591" w:rsidRDefault="00727EF0" w:rsidP="00727EF0">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The courts accept whatever cases the disputants present. As a result, their familiarity with the subject matter is accidental. </w:t>
      </w:r>
    </w:p>
    <w:p w:rsidR="00727EF0" w:rsidRPr="007E2591" w:rsidRDefault="00727EF0" w:rsidP="00727EF0">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By contrast, agencies usually select and prosecute </w:t>
      </w:r>
      <w:r w:rsidRPr="007E2591">
        <w:rPr>
          <w:rFonts w:ascii="Times New Roman" w:hAnsi="Times New Roman" w:cs="Times New Roman"/>
          <w:i/>
          <w:sz w:val="24"/>
          <w:szCs w:val="24"/>
        </w:rPr>
        <w:t xml:space="preserve">their </w:t>
      </w:r>
      <w:r>
        <w:rPr>
          <w:rFonts w:ascii="Times New Roman" w:hAnsi="Times New Roman" w:cs="Times New Roman"/>
          <w:sz w:val="24"/>
          <w:szCs w:val="24"/>
        </w:rPr>
        <w:t xml:space="preserve">cases. Trail examiners and agency chiefs either are experts or at least have a substantial familiarity with the subject matter, since their jurisdiction tends to be restricted. </w:t>
      </w:r>
    </w:p>
    <w:p w:rsidR="00727EF0" w:rsidRPr="007E2591" w:rsidRDefault="00727EF0" w:rsidP="00727EF0">
      <w:pPr>
        <w:pStyle w:val="ListParagraph"/>
        <w:ind w:left="1440"/>
        <w:rPr>
          <w:rFonts w:ascii="Times New Roman" w:hAnsi="Times New Roman" w:cs="Times New Roman"/>
          <w:b/>
          <w:sz w:val="24"/>
          <w:szCs w:val="24"/>
        </w:rPr>
      </w:pPr>
    </w:p>
    <w:p w:rsidR="00727EF0" w:rsidRPr="00CE1028" w:rsidRDefault="00727EF0" w:rsidP="00727EF0">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However, the courts do have the power to overturn the agencies’ judgments on points of law, as in cases where an agency has exceeded its authority, misinterpreted the law, or simply been unfair. </w:t>
      </w:r>
    </w:p>
    <w:p w:rsidR="00727EF0" w:rsidRPr="00CE1028" w:rsidRDefault="00727EF0" w:rsidP="00727EF0">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Judicial review of agency activities also deals with procedural safeguards, such as more formalized hearings and proper notice of action.</w:t>
      </w:r>
    </w:p>
    <w:p w:rsidR="00727EF0" w:rsidRPr="00CE1028" w:rsidRDefault="00727EF0" w:rsidP="00727EF0">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But the role of the courts is essentially limited to procedural matters-advising agencies, sometimes repeatedly, to go about their business in a fairer manner and to pay serious attention to all affected interests.</w:t>
      </w:r>
    </w:p>
    <w:p w:rsidR="00727EF0" w:rsidRPr="00EE0017" w:rsidRDefault="00727EF0" w:rsidP="00727EF0">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In technical, complex disputes, courts cannot decide major issues. They will not sett tariffs, allocate airline routes, or control the development of satellite communications.</w:t>
      </w:r>
    </w:p>
    <w:p w:rsidR="00727EF0" w:rsidRPr="00EE0017" w:rsidRDefault="00727EF0" w:rsidP="00727EF0">
      <w:pPr>
        <w:pStyle w:val="ListParagraph"/>
        <w:ind w:left="1494"/>
        <w:rPr>
          <w:rFonts w:ascii="Times New Roman" w:hAnsi="Times New Roman" w:cs="Times New Roman"/>
          <w:b/>
          <w:sz w:val="24"/>
          <w:szCs w:val="24"/>
        </w:rPr>
      </w:pPr>
    </w:p>
    <w:p w:rsidR="00727EF0" w:rsidRPr="00EE0017" w:rsidRDefault="00727EF0" w:rsidP="00727EF0">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Administrative Law and Social Control: </w:t>
      </w:r>
      <w:r>
        <w:rPr>
          <w:rFonts w:ascii="Times New Roman" w:hAnsi="Times New Roman" w:cs="Times New Roman"/>
          <w:sz w:val="24"/>
          <w:szCs w:val="24"/>
        </w:rPr>
        <w:t xml:space="preserve"> Private primary activities can cause harm, avoidable harm. At the same time, such activities can have great potential for good. </w:t>
      </w:r>
    </w:p>
    <w:p w:rsidR="00727EF0" w:rsidRPr="00EE0017"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b/>
          <w:sz w:val="24"/>
          <w:szCs w:val="24"/>
        </w:rPr>
        <w:t xml:space="preserve">Legal control </w:t>
      </w:r>
      <w:r>
        <w:rPr>
          <w:rFonts w:ascii="Times New Roman" w:hAnsi="Times New Roman" w:cs="Times New Roman"/>
          <w:sz w:val="24"/>
          <w:szCs w:val="24"/>
        </w:rPr>
        <w:t>of private activities is then justified on two grounds: the prevention of harm and the promotion of good.</w:t>
      </w:r>
    </w:p>
    <w:p w:rsidR="00727EF0" w:rsidRPr="00EE0017"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For example, in the case of radio and television broadcasting, laws can be concerned with both the control of obscenity and the problem of balanced programming, such as covering public affairs, in addition to entertainment and sports.</w:t>
      </w:r>
    </w:p>
    <w:p w:rsidR="00727EF0" w:rsidRPr="007A027C"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Control is exerted on private primary activity through administrative laws, primarily in the context of </w:t>
      </w:r>
      <w:r w:rsidRPr="00EE0017">
        <w:rPr>
          <w:rFonts w:ascii="Times New Roman" w:hAnsi="Times New Roman" w:cs="Times New Roman"/>
          <w:b/>
          <w:sz w:val="24"/>
          <w:szCs w:val="24"/>
        </w:rPr>
        <w:t>licensing, inspection, and the threat of publicity</w:t>
      </w:r>
      <w:r>
        <w:rPr>
          <w:rFonts w:ascii="Times New Roman" w:hAnsi="Times New Roman" w:cs="Times New Roman"/>
          <w:sz w:val="24"/>
          <w:szCs w:val="24"/>
        </w:rPr>
        <w:t xml:space="preserve">. </w:t>
      </w:r>
    </w:p>
    <w:p w:rsidR="00727EF0" w:rsidRPr="007A027C" w:rsidRDefault="00727EF0" w:rsidP="00727EF0">
      <w:pPr>
        <w:pStyle w:val="ListParagraph"/>
        <w:ind w:left="1440"/>
        <w:rPr>
          <w:rFonts w:ascii="Times New Roman" w:hAnsi="Times New Roman" w:cs="Times New Roman"/>
          <w:b/>
          <w:sz w:val="24"/>
          <w:szCs w:val="24"/>
        </w:rPr>
      </w:pPr>
    </w:p>
    <w:p w:rsidR="00727EF0" w:rsidRPr="00D807C8"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b/>
          <w:sz w:val="24"/>
          <w:szCs w:val="24"/>
        </w:rPr>
        <w:t xml:space="preserve">Licensing: </w:t>
      </w:r>
      <w:r>
        <w:rPr>
          <w:rFonts w:ascii="Times New Roman" w:hAnsi="Times New Roman" w:cs="Times New Roman"/>
          <w:sz w:val="24"/>
          <w:szCs w:val="24"/>
        </w:rPr>
        <w:t>Administrative laws generally specify the conditions under which a license is required, the requirements that must be met by the applicants, the duties imposed upon the licenses, the agency authorized to issue such licenses, the procedures in revoking licenses and the grounds that constitute cause for revocation, and the penalties for violations.</w:t>
      </w:r>
    </w:p>
    <w:p w:rsidR="00727EF0" w:rsidRPr="00D807C8" w:rsidRDefault="00727EF0" w:rsidP="00727EF0">
      <w:pPr>
        <w:pStyle w:val="ListParagraph"/>
        <w:rPr>
          <w:rFonts w:ascii="Times New Roman" w:hAnsi="Times New Roman" w:cs="Times New Roman"/>
          <w:b/>
          <w:sz w:val="24"/>
          <w:szCs w:val="24"/>
        </w:rPr>
      </w:pPr>
    </w:p>
    <w:p w:rsidR="00727EF0" w:rsidRPr="00D807C8"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b/>
          <w:sz w:val="24"/>
          <w:szCs w:val="24"/>
        </w:rPr>
        <w:t xml:space="preserve">Threat of Publicity: </w:t>
      </w:r>
      <w:r>
        <w:rPr>
          <w:rFonts w:ascii="Times New Roman" w:hAnsi="Times New Roman" w:cs="Times New Roman"/>
          <w:sz w:val="24"/>
          <w:szCs w:val="24"/>
        </w:rPr>
        <w:t xml:space="preserve"> In small communities where people tend to know each other, adversely publicizing wrongdoers can have a significant effect on changing their behaviour. Such a system of social control normally would not work in an urban industrial society for individual deviance.</w:t>
      </w:r>
    </w:p>
    <w:p w:rsidR="00727EF0" w:rsidRPr="00D807C8"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However, large companies selling widely known brand</w:t>
      </w:r>
      <w:r>
        <w:rPr>
          <w:rFonts w:ascii="Times New Roman" w:hAnsi="Times New Roman" w:cs="Times New Roman"/>
          <w:b/>
          <w:sz w:val="24"/>
          <w:szCs w:val="24"/>
        </w:rPr>
        <w:t>-</w:t>
      </w:r>
      <w:r>
        <w:rPr>
          <w:rFonts w:ascii="Times New Roman" w:hAnsi="Times New Roman" w:cs="Times New Roman"/>
          <w:sz w:val="24"/>
          <w:szCs w:val="24"/>
        </w:rPr>
        <w:t>name products might be greatly influenced by the threat of well-circulated publicity.</w:t>
      </w:r>
    </w:p>
    <w:p w:rsidR="00727EF0" w:rsidRPr="00D807C8"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Publicity can serve a highly useful, if not indispensable, control function. Indeed, perhaps the most potent tool in any administrator’s hand is the power to publicize. A publicity release detailing the character of a suspected offence and the offender involved can inflict immediate damage.</w:t>
      </w:r>
    </w:p>
    <w:p w:rsidR="00727EF0" w:rsidRPr="00893A59"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Furthermore, in the enforcement of legislation</w:t>
      </w:r>
      <w:r w:rsidRPr="00D807C8">
        <w:rPr>
          <w:rFonts w:ascii="Times New Roman" w:hAnsi="Times New Roman" w:cs="Times New Roman"/>
          <w:sz w:val="24"/>
          <w:szCs w:val="24"/>
        </w:rPr>
        <w:t xml:space="preserve"> </w:t>
      </w:r>
      <w:r>
        <w:rPr>
          <w:rFonts w:ascii="Times New Roman" w:hAnsi="Times New Roman" w:cs="Times New Roman"/>
          <w:sz w:val="24"/>
          <w:szCs w:val="24"/>
        </w:rPr>
        <w:t xml:space="preserve">protecting consumers against the manufacture and sale of impure food and drugs, the ability of administrative agencies to inform the public that a product may contain harmful ingredients can play an important role in preventing consumption of the product under investigation until the accuracy of this suspicion can be determined. </w:t>
      </w:r>
    </w:p>
    <w:p w:rsidR="00727EF0" w:rsidRPr="00893A59"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In some cases, however, firms that have a monopoly on their products, such as local gas and electric companies, are not likely to be hurt by adverse publicity.</w:t>
      </w:r>
    </w:p>
    <w:p w:rsidR="00727EF0" w:rsidRPr="00893A59"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Agencies are, at times, also reluctant to stigmatize firms because adverse publicity is considered a form of informal adjudication, although it is often used and justified by the notion that people have a right to know.</w:t>
      </w:r>
    </w:p>
    <w:p w:rsidR="00727EF0" w:rsidRPr="00E41711"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Moreover, it would be naïve to suppose that the threat of adverse publicity is always sufficient to prevent corporate wrongdoing. </w:t>
      </w:r>
    </w:p>
    <w:p w:rsidR="00727EF0" w:rsidRPr="00D807C8" w:rsidRDefault="00727EF0" w:rsidP="00727EF0">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The example of GM and exploding cars (190).</w:t>
      </w:r>
    </w:p>
    <w:p w:rsidR="00727EF0" w:rsidRPr="00D807C8" w:rsidRDefault="00727EF0" w:rsidP="00727EF0">
      <w:pPr>
        <w:pStyle w:val="ListParagraph"/>
        <w:rPr>
          <w:rFonts w:ascii="Times New Roman" w:hAnsi="Times New Roman" w:cs="Times New Roman"/>
          <w:b/>
          <w:sz w:val="24"/>
          <w:szCs w:val="24"/>
        </w:rPr>
      </w:pPr>
    </w:p>
    <w:p w:rsidR="00727EF0" w:rsidRDefault="00727EF0" w:rsidP="00727EF0">
      <w:pPr>
        <w:rPr>
          <w:rFonts w:ascii="Times New Roman" w:hAnsi="Times New Roman" w:cs="Times New Roman"/>
          <w:b/>
          <w:sz w:val="24"/>
          <w:szCs w:val="24"/>
        </w:rPr>
      </w:pPr>
      <w:r>
        <w:rPr>
          <w:rFonts w:ascii="Times New Roman" w:hAnsi="Times New Roman" w:cs="Times New Roman"/>
          <w:b/>
          <w:sz w:val="24"/>
          <w:szCs w:val="24"/>
        </w:rPr>
        <w:t>Chapter 6: Law and Dispute Resolution</w:t>
      </w:r>
    </w:p>
    <w:p w:rsidR="00727EF0" w:rsidRPr="00BE15E8" w:rsidRDefault="00727EF0" w:rsidP="00727EF0">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 xml:space="preserve">Arbitration is another way of involving a third party in a dispute. Unlike mediation,  in which a third party assists the disputants to reach their own solution, arbitration requires a </w:t>
      </w:r>
      <w:r w:rsidRPr="00D845C1">
        <w:rPr>
          <w:rFonts w:ascii="Times New Roman" w:hAnsi="Times New Roman" w:cs="Times New Roman"/>
          <w:b/>
          <w:sz w:val="24"/>
          <w:szCs w:val="24"/>
        </w:rPr>
        <w:t>final and binding decision</w:t>
      </w:r>
      <w:r>
        <w:rPr>
          <w:rFonts w:ascii="Times New Roman" w:hAnsi="Times New Roman" w:cs="Times New Roman"/>
          <w:sz w:val="24"/>
          <w:szCs w:val="24"/>
        </w:rPr>
        <w:t xml:space="preserve"> to be made for the disputants  by a third party.</w:t>
      </w:r>
    </w:p>
    <w:p w:rsidR="00727EF0" w:rsidRPr="00A62486" w:rsidRDefault="00727EF0" w:rsidP="00727EF0">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Disputants agree beforehand both to the intervention of a neutral third party and to the finality of his or her decision.</w:t>
      </w:r>
    </w:p>
    <w:p w:rsidR="00727EF0" w:rsidRPr="00A62486" w:rsidRDefault="00727EF0" w:rsidP="00727EF0">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In general, the rules of evidence and procedure are more relaxed than in the court process.</w:t>
      </w:r>
    </w:p>
    <w:p w:rsidR="00727EF0" w:rsidRPr="00A62486" w:rsidRDefault="00727EF0" w:rsidP="00727EF0">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Arbitration is rights-based and has an adversial process that is structured much like a civil trial. However, the proceedings in arbitration, unlike the courts, can remain private.</w:t>
      </w:r>
    </w:p>
    <w:p w:rsidR="00727EF0" w:rsidRPr="00A62486" w:rsidRDefault="00727EF0" w:rsidP="00727EF0">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 xml:space="preserve">Arbitration and other nonjudicial tend to reduce the cost of dispute resolution, especially when lawyers are not hired, because of the lack of opportunity to appeal the arbitrator’s decision. </w:t>
      </w:r>
    </w:p>
    <w:p w:rsidR="00727EF0" w:rsidRPr="00D845C1" w:rsidRDefault="00727EF0" w:rsidP="00727EF0">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It is also faster than adjudication because participants can proceed as soon as they are ready, rather than waiting for a trial date to be set.</w:t>
      </w:r>
    </w:p>
    <w:p w:rsidR="00727EF0" w:rsidRPr="00D845C1" w:rsidRDefault="00727EF0" w:rsidP="00727EF0">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Examples</w:t>
      </w:r>
    </w:p>
    <w:p w:rsidR="00727EF0" w:rsidRPr="00D845C1" w:rsidRDefault="00727EF0" w:rsidP="00727EF0">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Almost all collective bargaining contracts contain a provision for final and binding arbitration. </w:t>
      </w:r>
    </w:p>
    <w:p w:rsidR="00727EF0" w:rsidRPr="00D845C1" w:rsidRDefault="00727EF0" w:rsidP="00727EF0">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For example, “under the Canadian Labour Code, which applies to about 10 percent of Canadian workers who are within the regulatory sphere of the federal parliament, a worker claiming to have been dismissed without just cause can have the claim adjudicated by a neutral arbitrator appointed by the government”.</w:t>
      </w:r>
    </w:p>
    <w:p w:rsidR="00727EF0" w:rsidRPr="00342E4A" w:rsidRDefault="00727EF0" w:rsidP="00727EF0">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Arbitration clauses are also showing up more often in business contracts and even in executive employment letters.</w:t>
      </w:r>
    </w:p>
    <w:p w:rsidR="00727EF0" w:rsidRPr="00342E4A" w:rsidRDefault="00727EF0" w:rsidP="00727EF0">
      <w:pPr>
        <w:pStyle w:val="ListParagraph"/>
        <w:numPr>
          <w:ilvl w:val="0"/>
          <w:numId w:val="12"/>
        </w:numPr>
        <w:rPr>
          <w:rFonts w:ascii="Times New Roman" w:hAnsi="Times New Roman" w:cs="Times New Roman"/>
          <w:b/>
          <w:sz w:val="24"/>
          <w:szCs w:val="24"/>
        </w:rPr>
      </w:pPr>
      <w:r>
        <w:rPr>
          <w:rFonts w:ascii="Times New Roman" w:hAnsi="Times New Roman" w:cs="Times New Roman"/>
          <w:sz w:val="24"/>
          <w:szCs w:val="24"/>
        </w:rPr>
        <w:t xml:space="preserve">Many private organizations, professional groups, and trade associations have their own </w:t>
      </w:r>
      <w:r w:rsidRPr="00342E4A">
        <w:rPr>
          <w:rFonts w:ascii="Times New Roman" w:hAnsi="Times New Roman" w:cs="Times New Roman"/>
          <w:b/>
          <w:sz w:val="24"/>
          <w:szCs w:val="24"/>
        </w:rPr>
        <w:t>formal arbitration machinery</w:t>
      </w:r>
      <w:r>
        <w:rPr>
          <w:rFonts w:ascii="Times New Roman" w:hAnsi="Times New Roman" w:cs="Times New Roman"/>
          <w:sz w:val="24"/>
          <w:szCs w:val="24"/>
        </w:rPr>
        <w:t xml:space="preserve"> for the settlement of disputes among members.</w:t>
      </w:r>
    </w:p>
    <w:p w:rsidR="00727EF0" w:rsidRPr="005F2CB4" w:rsidRDefault="00727EF0" w:rsidP="00727EF0">
      <w:pPr>
        <w:pStyle w:val="ListParagraph"/>
        <w:numPr>
          <w:ilvl w:val="0"/>
          <w:numId w:val="12"/>
        </w:numPr>
        <w:rPr>
          <w:rFonts w:ascii="Times New Roman" w:hAnsi="Times New Roman" w:cs="Times New Roman"/>
          <w:b/>
          <w:sz w:val="24"/>
          <w:szCs w:val="24"/>
        </w:rPr>
      </w:pPr>
      <w:r w:rsidRPr="00342E4A">
        <w:rPr>
          <w:rFonts w:ascii="Times New Roman" w:hAnsi="Times New Roman" w:cs="Times New Roman"/>
          <w:b/>
          <w:sz w:val="24"/>
          <w:szCs w:val="24"/>
        </w:rPr>
        <w:t>Labour-Management and Arbitration</w:t>
      </w:r>
      <w:r>
        <w:rPr>
          <w:rFonts w:ascii="Times New Roman" w:hAnsi="Times New Roman" w:cs="Times New Roman"/>
          <w:sz w:val="24"/>
          <w:szCs w:val="24"/>
        </w:rPr>
        <w:t xml:space="preserve">: Similarly, labour-management disputes are often brought before arbiters, designated in advance, whose decisions are binding by mutual consent of the disputants and ultimately enforceable by private sanctions and by the courts. </w:t>
      </w:r>
    </w:p>
    <w:p w:rsidR="00727EF0" w:rsidRDefault="00727EF0" w:rsidP="00727EF0">
      <w:pPr>
        <w:tabs>
          <w:tab w:val="left" w:pos="3994"/>
        </w:tabs>
        <w:rPr>
          <w:rFonts w:ascii="Times New Roman" w:hAnsi="Times New Roman" w:cs="Times New Roman"/>
          <w:b/>
          <w:sz w:val="24"/>
          <w:szCs w:val="24"/>
        </w:rPr>
      </w:pPr>
      <w:r w:rsidRPr="005F2CB4">
        <w:rPr>
          <w:rFonts w:ascii="Times New Roman" w:hAnsi="Times New Roman" w:cs="Times New Roman"/>
          <w:b/>
          <w:sz w:val="24"/>
          <w:szCs w:val="24"/>
        </w:rPr>
        <w:t>Chapter 8: The Legal Profession</w:t>
      </w:r>
      <w:r>
        <w:rPr>
          <w:rFonts w:ascii="Times New Roman" w:hAnsi="Times New Roman" w:cs="Times New Roman"/>
          <w:b/>
          <w:sz w:val="24"/>
          <w:szCs w:val="24"/>
        </w:rPr>
        <w:tab/>
      </w:r>
    </w:p>
    <w:p w:rsidR="00727EF0" w:rsidRPr="005F2CB4" w:rsidRDefault="00727EF0" w:rsidP="00727EF0">
      <w:pPr>
        <w:pStyle w:val="ListParagraph"/>
        <w:numPr>
          <w:ilvl w:val="0"/>
          <w:numId w:val="13"/>
        </w:numPr>
        <w:tabs>
          <w:tab w:val="left" w:pos="3994"/>
        </w:tabs>
        <w:rPr>
          <w:rFonts w:ascii="Times New Roman" w:hAnsi="Times New Roman" w:cs="Times New Roman"/>
          <w:b/>
          <w:sz w:val="24"/>
          <w:szCs w:val="24"/>
        </w:rPr>
      </w:pPr>
      <w:r w:rsidRPr="005F2CB4">
        <w:rPr>
          <w:rFonts w:ascii="Times New Roman" w:hAnsi="Times New Roman" w:cs="Times New Roman"/>
          <w:b/>
          <w:sz w:val="24"/>
          <w:szCs w:val="24"/>
        </w:rPr>
        <w:t>Avocats (barristers)</w:t>
      </w:r>
      <w:r>
        <w:rPr>
          <w:rFonts w:ascii="Times New Roman" w:hAnsi="Times New Roman" w:cs="Times New Roman"/>
          <w:b/>
          <w:sz w:val="24"/>
          <w:szCs w:val="24"/>
        </w:rPr>
        <w:t>:</w:t>
      </w:r>
      <w:r>
        <w:rPr>
          <w:rFonts w:ascii="Times New Roman" w:hAnsi="Times New Roman" w:cs="Times New Roman"/>
          <w:sz w:val="24"/>
          <w:szCs w:val="24"/>
        </w:rPr>
        <w:t xml:space="preserve"> During this early time period, </w:t>
      </w:r>
      <w:r w:rsidRPr="005F2CB4">
        <w:rPr>
          <w:rFonts w:ascii="Times New Roman" w:hAnsi="Times New Roman" w:cs="Times New Roman"/>
          <w:b/>
          <w:sz w:val="24"/>
          <w:szCs w:val="24"/>
        </w:rPr>
        <w:t>avocats (barristers)</w:t>
      </w:r>
      <w:r>
        <w:rPr>
          <w:rFonts w:ascii="Times New Roman" w:hAnsi="Times New Roman" w:cs="Times New Roman"/>
          <w:sz w:val="24"/>
          <w:szCs w:val="24"/>
        </w:rPr>
        <w:t xml:space="preserve"> were not allowed, for Louis XIV desired to maintain tight control over the legal and political affairs of the colony and “the authorities feared that ‘avocats’ would not only slow down the judicial process with lengthy arguments, but that their presence would also promote additional disputes and litigation.  </w:t>
      </w:r>
    </w:p>
    <w:p w:rsidR="00727EF0" w:rsidRPr="005F2CB4" w:rsidRDefault="00727EF0" w:rsidP="00727EF0">
      <w:pPr>
        <w:pStyle w:val="ListParagraph"/>
        <w:numPr>
          <w:ilvl w:val="0"/>
          <w:numId w:val="13"/>
        </w:numPr>
        <w:tabs>
          <w:tab w:val="left" w:pos="3994"/>
        </w:tabs>
        <w:rPr>
          <w:rFonts w:ascii="Times New Roman" w:hAnsi="Times New Roman" w:cs="Times New Roman"/>
          <w:b/>
          <w:sz w:val="24"/>
          <w:szCs w:val="24"/>
        </w:rPr>
      </w:pPr>
      <w:r>
        <w:rPr>
          <w:rFonts w:ascii="Times New Roman" w:hAnsi="Times New Roman" w:cs="Times New Roman"/>
          <w:sz w:val="24"/>
          <w:szCs w:val="24"/>
        </w:rPr>
        <w:t xml:space="preserve">The </w:t>
      </w:r>
      <w:r w:rsidRPr="005F2CB4">
        <w:rPr>
          <w:rFonts w:ascii="Times New Roman" w:hAnsi="Times New Roman" w:cs="Times New Roman"/>
          <w:b/>
          <w:sz w:val="24"/>
          <w:szCs w:val="24"/>
        </w:rPr>
        <w:t>notaires (solicitors)</w:t>
      </w:r>
      <w:r>
        <w:rPr>
          <w:rFonts w:ascii="Times New Roman" w:hAnsi="Times New Roman" w:cs="Times New Roman"/>
          <w:sz w:val="24"/>
          <w:szCs w:val="24"/>
        </w:rPr>
        <w:t xml:space="preserve">: The notaires enjoyed a monopoly of legal practice until after the British conquest. </w:t>
      </w:r>
    </w:p>
    <w:p w:rsidR="00727EF0" w:rsidRPr="005F2CB4" w:rsidRDefault="00727EF0" w:rsidP="00727EF0">
      <w:pPr>
        <w:pStyle w:val="ListParagraph"/>
        <w:numPr>
          <w:ilvl w:val="0"/>
          <w:numId w:val="13"/>
        </w:numPr>
        <w:tabs>
          <w:tab w:val="left" w:pos="3994"/>
        </w:tabs>
        <w:rPr>
          <w:rFonts w:ascii="Times New Roman" w:hAnsi="Times New Roman" w:cs="Times New Roman"/>
          <w:b/>
          <w:sz w:val="24"/>
          <w:szCs w:val="24"/>
        </w:rPr>
      </w:pPr>
      <w:r>
        <w:rPr>
          <w:rFonts w:ascii="Times New Roman" w:hAnsi="Times New Roman" w:cs="Times New Roman"/>
          <w:sz w:val="24"/>
          <w:szCs w:val="24"/>
        </w:rPr>
        <w:t>Following the British conquest and the Treaty of Paris in 1763, the French judicial institutions were replaced by the English courts of King’s Bench and Common Pleas.</w:t>
      </w:r>
    </w:p>
    <w:p w:rsidR="00727EF0" w:rsidRPr="00C25EF7" w:rsidRDefault="00727EF0" w:rsidP="00727EF0">
      <w:pPr>
        <w:pStyle w:val="ListParagraph"/>
        <w:numPr>
          <w:ilvl w:val="0"/>
          <w:numId w:val="13"/>
        </w:numPr>
        <w:tabs>
          <w:tab w:val="left" w:pos="3994"/>
        </w:tabs>
        <w:rPr>
          <w:rFonts w:ascii="Times New Roman" w:hAnsi="Times New Roman" w:cs="Times New Roman"/>
          <w:b/>
          <w:sz w:val="24"/>
          <w:szCs w:val="24"/>
        </w:rPr>
      </w:pPr>
      <w:r>
        <w:rPr>
          <w:rFonts w:ascii="Times New Roman" w:hAnsi="Times New Roman" w:cs="Times New Roman"/>
          <w:sz w:val="24"/>
          <w:szCs w:val="24"/>
        </w:rPr>
        <w:t>A hybrid legal system developed with certain concessions made to traditional French practices. For example, while would-be lawyers in “proud Protestant Britain” during this time period were required to declare, under oath, that they rejected the Catholic doctrine of transubstantiation, British governors granted Roman Catholics the right to practice law.</w:t>
      </w:r>
    </w:p>
    <w:p w:rsidR="00727EF0" w:rsidRPr="00D35654" w:rsidRDefault="00727EF0" w:rsidP="00727EF0">
      <w:pPr>
        <w:pStyle w:val="ListParagraph"/>
        <w:numPr>
          <w:ilvl w:val="0"/>
          <w:numId w:val="13"/>
        </w:numPr>
        <w:tabs>
          <w:tab w:val="left" w:pos="3994"/>
        </w:tabs>
        <w:rPr>
          <w:rFonts w:ascii="Times New Roman" w:hAnsi="Times New Roman" w:cs="Times New Roman"/>
          <w:b/>
          <w:sz w:val="24"/>
          <w:szCs w:val="24"/>
        </w:rPr>
      </w:pPr>
      <w:r>
        <w:rPr>
          <w:rFonts w:ascii="Times New Roman" w:hAnsi="Times New Roman" w:cs="Times New Roman"/>
          <w:sz w:val="24"/>
          <w:szCs w:val="24"/>
        </w:rPr>
        <w:t>As the need for trained lawyers became increasingly evident, avocats were authorized to appear before the Court of Common Pleas in 1765, and, in the following year, to practice in all the province’s civil courts. However, it wasn’t till 1835 that avocats were permitted to represent accused persons in criminal courts.</w:t>
      </w:r>
    </w:p>
    <w:p w:rsidR="00727EF0" w:rsidRPr="00E66C3B" w:rsidRDefault="00727EF0" w:rsidP="00727EF0">
      <w:pPr>
        <w:pStyle w:val="ListParagraph"/>
        <w:numPr>
          <w:ilvl w:val="0"/>
          <w:numId w:val="13"/>
        </w:numPr>
        <w:tabs>
          <w:tab w:val="left" w:pos="3994"/>
        </w:tabs>
        <w:rPr>
          <w:rFonts w:ascii="Times New Roman" w:hAnsi="Times New Roman" w:cs="Times New Roman"/>
          <w:b/>
          <w:sz w:val="24"/>
          <w:szCs w:val="24"/>
        </w:rPr>
      </w:pPr>
      <w:r>
        <w:rPr>
          <w:rFonts w:ascii="Times New Roman" w:hAnsi="Times New Roman" w:cs="Times New Roman"/>
          <w:sz w:val="24"/>
          <w:szCs w:val="24"/>
        </w:rPr>
        <w:t>In Quebec, the principal function of the notaire is to draft or receive acts and contracts (e.g. marriage, covenants, and mortgages on immoveables, trust deeds, and deeds of sale involving mortgages) that parties wish to have authenticated.</w:t>
      </w:r>
    </w:p>
    <w:p w:rsidR="00727EF0" w:rsidRPr="00B67347" w:rsidRDefault="00727EF0" w:rsidP="00727EF0">
      <w:pPr>
        <w:pStyle w:val="ListParagraph"/>
        <w:numPr>
          <w:ilvl w:val="0"/>
          <w:numId w:val="13"/>
        </w:numPr>
        <w:tabs>
          <w:tab w:val="left" w:pos="3994"/>
        </w:tabs>
        <w:rPr>
          <w:rFonts w:ascii="Times New Roman" w:hAnsi="Times New Roman" w:cs="Times New Roman"/>
          <w:b/>
          <w:sz w:val="24"/>
          <w:szCs w:val="24"/>
        </w:rPr>
      </w:pPr>
      <w:r>
        <w:rPr>
          <w:rFonts w:ascii="Times New Roman" w:hAnsi="Times New Roman" w:cs="Times New Roman"/>
          <w:sz w:val="24"/>
          <w:szCs w:val="24"/>
        </w:rPr>
        <w:t xml:space="preserve"> Notaires specialize in non-litigious matters and have exclusive rights “where there is no question between the parties as to the law or the facts”. In consequence, they often act for both parties on both sides of a transaction.</w:t>
      </w:r>
    </w:p>
    <w:p w:rsidR="00727EF0" w:rsidRDefault="00727EF0" w:rsidP="00727EF0">
      <w:pPr>
        <w:pStyle w:val="ListParagraph"/>
        <w:numPr>
          <w:ilvl w:val="0"/>
          <w:numId w:val="13"/>
        </w:numPr>
        <w:tabs>
          <w:tab w:val="left" w:pos="3994"/>
        </w:tabs>
        <w:rPr>
          <w:rFonts w:ascii="Times New Roman" w:hAnsi="Times New Roman" w:cs="Times New Roman"/>
          <w:sz w:val="24"/>
          <w:szCs w:val="24"/>
        </w:rPr>
      </w:pPr>
      <w:r w:rsidRPr="00B67347">
        <w:rPr>
          <w:rFonts w:ascii="Times New Roman" w:hAnsi="Times New Roman" w:cs="Times New Roman"/>
          <w:sz w:val="24"/>
          <w:szCs w:val="24"/>
        </w:rPr>
        <w:t>While both notaires and avocats may ideal with a variety of non-litigious matters such as “tax, intellectual property and trademarks, and all areas of non-litigious commercial and business law”, the role of the avocet, like that of the barrister in England, focuses upon areas of contention.</w:t>
      </w:r>
    </w:p>
    <w:p w:rsidR="00727EF0" w:rsidRDefault="00727EF0" w:rsidP="00727EF0">
      <w:pPr>
        <w:pStyle w:val="ListParagraph"/>
        <w:numPr>
          <w:ilvl w:val="0"/>
          <w:numId w:val="11"/>
        </w:numPr>
        <w:tabs>
          <w:tab w:val="left" w:pos="3994"/>
        </w:tabs>
        <w:rPr>
          <w:rFonts w:ascii="Times New Roman" w:hAnsi="Times New Roman" w:cs="Times New Roman"/>
          <w:sz w:val="24"/>
          <w:szCs w:val="24"/>
        </w:rPr>
      </w:pPr>
      <w:r w:rsidRPr="003C0E61">
        <w:rPr>
          <w:rFonts w:ascii="Times New Roman" w:hAnsi="Times New Roman" w:cs="Times New Roman"/>
          <w:sz w:val="24"/>
          <w:szCs w:val="24"/>
        </w:rPr>
        <w:t>Black Lawyers in Canada</w:t>
      </w:r>
      <w:r>
        <w:rPr>
          <w:rFonts w:ascii="Times New Roman" w:hAnsi="Times New Roman" w:cs="Times New Roman"/>
          <w:sz w:val="24"/>
          <w:szCs w:val="24"/>
        </w:rPr>
        <w:t>:</w:t>
      </w:r>
    </w:p>
    <w:p w:rsidR="00727EF0" w:rsidRDefault="00727EF0" w:rsidP="00727EF0">
      <w:pPr>
        <w:pStyle w:val="ListParagraph"/>
        <w:numPr>
          <w:ilvl w:val="0"/>
          <w:numId w:val="14"/>
        </w:numPr>
        <w:tabs>
          <w:tab w:val="left" w:pos="3994"/>
        </w:tabs>
        <w:rPr>
          <w:rFonts w:ascii="Times New Roman" w:hAnsi="Times New Roman" w:cs="Times New Roman"/>
          <w:sz w:val="24"/>
          <w:szCs w:val="24"/>
        </w:rPr>
      </w:pPr>
      <w:r>
        <w:rPr>
          <w:rFonts w:ascii="Times New Roman" w:hAnsi="Times New Roman" w:cs="Times New Roman"/>
          <w:sz w:val="24"/>
          <w:szCs w:val="24"/>
        </w:rPr>
        <w:t>In the first half-century of its existence, the Law Society of Upper Canada had declared itself open to applicants of little wealth and little or no social prominence.</w:t>
      </w:r>
    </w:p>
    <w:p w:rsidR="00727EF0" w:rsidRDefault="00727EF0" w:rsidP="00727EF0">
      <w:pPr>
        <w:pStyle w:val="ListParagraph"/>
        <w:numPr>
          <w:ilvl w:val="0"/>
          <w:numId w:val="14"/>
        </w:numPr>
        <w:tabs>
          <w:tab w:val="left" w:pos="3994"/>
        </w:tabs>
        <w:rPr>
          <w:rFonts w:ascii="Times New Roman" w:hAnsi="Times New Roman" w:cs="Times New Roman"/>
          <w:sz w:val="24"/>
          <w:szCs w:val="24"/>
        </w:rPr>
      </w:pPr>
      <w:r>
        <w:rPr>
          <w:rFonts w:ascii="Times New Roman" w:hAnsi="Times New Roman" w:cs="Times New Roman"/>
          <w:sz w:val="24"/>
          <w:szCs w:val="24"/>
        </w:rPr>
        <w:t>As long as applicants could pass the entrance exams, exist for several years on a fairly meagre income, and find a lawyer who was willing to accept them as an articling student, they could aspire to the gentlemanly status that the profession offered.</w:t>
      </w:r>
    </w:p>
    <w:p w:rsidR="00727EF0" w:rsidRPr="00453CA9"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While the </w:t>
      </w:r>
      <w:r w:rsidRPr="00453CA9">
        <w:rPr>
          <w:rFonts w:ascii="Times New Roman" w:hAnsi="Times New Roman" w:cs="Times New Roman"/>
          <w:i/>
          <w:sz w:val="24"/>
          <w:szCs w:val="24"/>
        </w:rPr>
        <w:t xml:space="preserve">1797 Law Society Act </w:t>
      </w:r>
      <w:r>
        <w:rPr>
          <w:rFonts w:ascii="Times New Roman" w:hAnsi="Times New Roman" w:cs="Times New Roman"/>
          <w:sz w:val="24"/>
          <w:szCs w:val="24"/>
        </w:rPr>
        <w:t>had authorized each legal practioner to have one student, the vast majority of Ontario’s 19</w:t>
      </w:r>
      <w:r w:rsidRPr="00453CA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lawyers were English, Scottish, Irish and Protestant and “they tended to take students of their own class and kind”.</w:t>
      </w:r>
    </w:p>
    <w:p w:rsidR="00727EF0" w:rsidRPr="00453CA9"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While the first black Ontarian Robert Sutherland was called to the bar in 1855. The second black lawyer to practice in Ontario, Delos Rogest Davis, was forced to petition the Ontario legislature declaring that as a result of prejudice and bigotry, he had been unable to locate a single lawyer, over a period of 11 years, who was willing to accept him as an articling student.</w:t>
      </w:r>
    </w:p>
    <w:p w:rsidR="00727EF0" w:rsidRPr="003E2CB5"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As a result of his petition, Davis was allowed to sign the solicitor’s roll-without serving articles in the usual fashion-after passing the Law Society’s exam in 1885 and paying his fees.</w:t>
      </w:r>
    </w:p>
    <w:p w:rsidR="00727EF0" w:rsidRPr="003E2CB5"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Davis’s son who articled with his father and later entered into partnership with him, became Ontario’s third black lawyer when he was called onto the bar in 1900.</w:t>
      </w:r>
    </w:p>
    <w:p w:rsidR="00727EF0" w:rsidRPr="003A3667"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It would not be until 1926 that another black </w:t>
      </w:r>
      <w:r w:rsidR="00F46AD6">
        <w:rPr>
          <w:rFonts w:ascii="Times New Roman" w:hAnsi="Times New Roman" w:cs="Times New Roman"/>
          <w:sz w:val="24"/>
          <w:szCs w:val="24"/>
        </w:rPr>
        <w:t>Ontarian</w:t>
      </w:r>
      <w:r>
        <w:rPr>
          <w:rFonts w:ascii="Times New Roman" w:hAnsi="Times New Roman" w:cs="Times New Roman"/>
          <w:sz w:val="24"/>
          <w:szCs w:val="24"/>
        </w:rPr>
        <w:t xml:space="preserve"> would become a lawyer.</w:t>
      </w:r>
    </w:p>
    <w:p w:rsidR="00727EF0" w:rsidRPr="003A3667"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It is evident that, despite  “important inroads across various fields of law and across different practice settings, including law firms of all sizes…people of racial zed communities are under-represented relative to their numbers in the Canadian population”. This is particularly true in relation to Aboriginal peoples.</w:t>
      </w:r>
    </w:p>
    <w:p w:rsidR="00727EF0" w:rsidRPr="003A3667"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As the Canadian Bar Association remarks, “Equity programs at law schools may slowly change the demographics of the profession, but numbers of Aboriginal students are so low that such programs are unlikely to have much impact over the next decade unless special measures are introduced.</w:t>
      </w:r>
    </w:p>
    <w:p w:rsidR="00727EF0" w:rsidRPr="00F0782D"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From its elite status as Confederation, the legal profession has become increasingly fragmented, both in terms of diversity (different people and forms of organization) and stratification (a hierarchal order to such diversity). </w:t>
      </w:r>
    </w:p>
    <w:p w:rsidR="00727EF0" w:rsidRPr="00F82499"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Unfortunately, there has been a marked tendency for the benefits of diversity to be neutralized by the imposition of stratification: the new and diverse personnel are relegated to the marginalized periphery of the legal profession. </w:t>
      </w:r>
    </w:p>
    <w:p w:rsidR="00727EF0" w:rsidRPr="000D0D36"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While the profession has diversified the typical lawyer remains male, white, English-speaking, early middle-aged, and Christian; lawyers who deviate from this norm are greater in number, but still less powerful in prestige and influence.</w:t>
      </w:r>
    </w:p>
    <w:p w:rsidR="00727EF0" w:rsidRPr="000D0D36"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Women and raci</w:t>
      </w:r>
      <w:r w:rsidR="00F46AD6">
        <w:rPr>
          <w:rFonts w:ascii="Times New Roman" w:hAnsi="Times New Roman" w:cs="Times New Roman"/>
          <w:sz w:val="24"/>
          <w:szCs w:val="24"/>
        </w:rPr>
        <w:t>a</w:t>
      </w:r>
      <w:r>
        <w:rPr>
          <w:rFonts w:ascii="Times New Roman" w:hAnsi="Times New Roman" w:cs="Times New Roman"/>
          <w:sz w:val="24"/>
          <w:szCs w:val="24"/>
        </w:rPr>
        <w:t>lized groups remain marginalized within high-prestige fields.  Although the composition of the North American legal profession is now nearly  one-third female, only 17 percent of law firm partners are women and about 5 percent of managing partners are women.</w:t>
      </w:r>
    </w:p>
    <w:p w:rsidR="00727EF0" w:rsidRPr="00574BCB"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More women lawyers than ever are working part-time; that male lawyers are still more highly represented in partnership positions and are more likely to be solo practioners. Women are under-represented in the over $ 200 000 income bracket and most highly represented in the under $ 40,000 bracket; that, of sole practioners, male lawyers earn on average $ 126 000 annually compared to $ 86 000 for women; that women lawyers are more likely to have several legal positions over the course of their careers, and more likely to make lateral professional moves; and that there are very high attrition rates for women. </w:t>
      </w:r>
    </w:p>
    <w:p w:rsidR="00727EF0" w:rsidRPr="00427DAE"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Gorman suggests that the gender sterotypicality of selection criteria used by law firms as well as decision makers’ same-gender preferences may </w:t>
      </w:r>
      <w:bookmarkStart w:id="0" w:name="_GoBack"/>
      <w:bookmarkEnd w:id="0"/>
      <w:r>
        <w:rPr>
          <w:rFonts w:ascii="Times New Roman" w:hAnsi="Times New Roman" w:cs="Times New Roman"/>
          <w:sz w:val="24"/>
          <w:szCs w:val="24"/>
        </w:rPr>
        <w:t xml:space="preserve">combine and intensify gender inequality in hiring. </w:t>
      </w:r>
    </w:p>
    <w:p w:rsidR="00727EF0" w:rsidRPr="009C5477"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Based on a sample of Canadian lawyers, socio-legal scholars report that women continue to be underrepresented in law firm partnerships, advance to these positions more slowly than do men, and exit law firm practice at a much higher rate than their male counterparts.</w:t>
      </w:r>
    </w:p>
    <w:p w:rsidR="00727EF0" w:rsidRPr="009C5477" w:rsidRDefault="00727EF0" w:rsidP="00727EF0">
      <w:pPr>
        <w:pStyle w:val="ListParagraph"/>
        <w:numPr>
          <w:ilvl w:val="0"/>
          <w:numId w:val="14"/>
        </w:numPr>
        <w:tabs>
          <w:tab w:val="left" w:pos="3994"/>
        </w:tabs>
        <w:rPr>
          <w:rFonts w:ascii="Times New Roman" w:hAnsi="Times New Roman" w:cs="Times New Roman"/>
          <w:i/>
          <w:sz w:val="24"/>
          <w:szCs w:val="24"/>
        </w:rPr>
      </w:pPr>
      <w:r>
        <w:rPr>
          <w:rFonts w:ascii="Times New Roman" w:hAnsi="Times New Roman" w:cs="Times New Roman"/>
          <w:sz w:val="24"/>
          <w:szCs w:val="24"/>
        </w:rPr>
        <w:t>Hagan and Kay’s analysis of Toronto lawyers suggests three ways in which gender was indirectly connected to job dissatisfaction and despondent feelings among women:</w:t>
      </w:r>
    </w:p>
    <w:p w:rsidR="00727EF0" w:rsidRPr="009C5477" w:rsidRDefault="00727EF0" w:rsidP="00727EF0">
      <w:pPr>
        <w:pStyle w:val="ListParagraph"/>
        <w:numPr>
          <w:ilvl w:val="0"/>
          <w:numId w:val="15"/>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The first path is through gender differences in occupational power, which leads to differential despondency. </w:t>
      </w:r>
    </w:p>
    <w:p w:rsidR="00727EF0" w:rsidRPr="009C5477" w:rsidRDefault="00727EF0" w:rsidP="00727EF0">
      <w:pPr>
        <w:pStyle w:val="ListParagraph"/>
        <w:numPr>
          <w:ilvl w:val="0"/>
          <w:numId w:val="15"/>
        </w:numPr>
        <w:tabs>
          <w:tab w:val="left" w:pos="3994"/>
        </w:tabs>
        <w:rPr>
          <w:rFonts w:ascii="Times New Roman" w:hAnsi="Times New Roman" w:cs="Times New Roman"/>
          <w:i/>
          <w:sz w:val="24"/>
          <w:szCs w:val="24"/>
        </w:rPr>
      </w:pPr>
      <w:r>
        <w:rPr>
          <w:rFonts w:ascii="Times New Roman" w:hAnsi="Times New Roman" w:cs="Times New Roman"/>
          <w:sz w:val="24"/>
          <w:szCs w:val="24"/>
        </w:rPr>
        <w:t>The second path is through differences in perceived powerlessness, which directly influence job dissatisfaction.</w:t>
      </w:r>
    </w:p>
    <w:p w:rsidR="00727EF0" w:rsidRPr="009C5477" w:rsidRDefault="00727EF0" w:rsidP="00727EF0">
      <w:pPr>
        <w:pStyle w:val="ListParagraph"/>
        <w:numPr>
          <w:ilvl w:val="0"/>
          <w:numId w:val="15"/>
        </w:numPr>
        <w:tabs>
          <w:tab w:val="left" w:pos="3994"/>
        </w:tabs>
        <w:rPr>
          <w:rFonts w:ascii="Times New Roman" w:hAnsi="Times New Roman" w:cs="Times New Roman"/>
          <w:i/>
          <w:sz w:val="24"/>
          <w:szCs w:val="24"/>
        </w:rPr>
      </w:pPr>
      <w:r>
        <w:rPr>
          <w:rFonts w:ascii="Times New Roman" w:hAnsi="Times New Roman" w:cs="Times New Roman"/>
          <w:sz w:val="24"/>
          <w:szCs w:val="24"/>
        </w:rPr>
        <w:t>The third path is through feelings of despondency that result from concerns about the career consequences of having children.</w:t>
      </w:r>
    </w:p>
    <w:p w:rsidR="00727EF0" w:rsidRPr="009C5477" w:rsidRDefault="00727EF0" w:rsidP="00727EF0">
      <w:pPr>
        <w:pStyle w:val="ListParagraph"/>
        <w:numPr>
          <w:ilvl w:val="0"/>
          <w:numId w:val="16"/>
        </w:numPr>
        <w:tabs>
          <w:tab w:val="left" w:pos="3994"/>
        </w:tabs>
        <w:rPr>
          <w:rFonts w:ascii="Times New Roman" w:hAnsi="Times New Roman" w:cs="Times New Roman"/>
          <w:i/>
          <w:sz w:val="24"/>
          <w:szCs w:val="24"/>
        </w:rPr>
      </w:pPr>
      <w:r>
        <w:rPr>
          <w:rFonts w:ascii="Times New Roman" w:hAnsi="Times New Roman" w:cs="Times New Roman"/>
          <w:sz w:val="24"/>
          <w:szCs w:val="24"/>
        </w:rPr>
        <w:t>They additionally report that, compared to male lawyers, women lawyers “are more likely to respond to their professional grievances with internalized feelings of despondency than with externalized expressions of job dissatisfaction. That is, they are more likely to privatize their professional troubles.</w:t>
      </w:r>
    </w:p>
    <w:p w:rsidR="00727EF0" w:rsidRPr="00326CE3" w:rsidRDefault="00727EF0" w:rsidP="00727EF0">
      <w:pPr>
        <w:pStyle w:val="ListParagraph"/>
        <w:numPr>
          <w:ilvl w:val="0"/>
          <w:numId w:val="16"/>
        </w:numPr>
        <w:tabs>
          <w:tab w:val="left" w:pos="3994"/>
        </w:tabs>
        <w:rPr>
          <w:rFonts w:ascii="Times New Roman" w:hAnsi="Times New Roman" w:cs="Times New Roman"/>
          <w:i/>
          <w:sz w:val="24"/>
          <w:szCs w:val="24"/>
        </w:rPr>
      </w:pPr>
      <w:r>
        <w:rPr>
          <w:rFonts w:ascii="Times New Roman" w:hAnsi="Times New Roman" w:cs="Times New Roman"/>
          <w:sz w:val="24"/>
          <w:szCs w:val="24"/>
        </w:rPr>
        <w:t>Canadian women lawyers report heightened time-crush stress, particularly if they are mothers and assume the major responsibility for child care.</w:t>
      </w:r>
    </w:p>
    <w:p w:rsidR="00727EF0" w:rsidRPr="00326CE3" w:rsidRDefault="00727EF0" w:rsidP="00727EF0">
      <w:pPr>
        <w:pStyle w:val="ListParagraph"/>
        <w:tabs>
          <w:tab w:val="left" w:pos="3994"/>
        </w:tabs>
        <w:ind w:left="3240"/>
        <w:rPr>
          <w:rFonts w:ascii="Times New Roman" w:hAnsi="Times New Roman" w:cs="Times New Roman"/>
          <w:i/>
          <w:sz w:val="24"/>
          <w:szCs w:val="24"/>
        </w:rPr>
      </w:pPr>
    </w:p>
    <w:p w:rsidR="00727EF0" w:rsidRPr="00326CE3" w:rsidRDefault="00727EF0" w:rsidP="00727EF0">
      <w:pPr>
        <w:pStyle w:val="ListParagraph"/>
        <w:numPr>
          <w:ilvl w:val="0"/>
          <w:numId w:val="11"/>
        </w:numPr>
        <w:tabs>
          <w:tab w:val="left" w:pos="3994"/>
        </w:tabs>
        <w:ind w:left="2160"/>
        <w:rPr>
          <w:rFonts w:ascii="Times New Roman" w:hAnsi="Times New Roman" w:cs="Times New Roman"/>
          <w:i/>
          <w:sz w:val="24"/>
          <w:szCs w:val="24"/>
        </w:rPr>
      </w:pPr>
      <w:r w:rsidRPr="00326CE3">
        <w:rPr>
          <w:rFonts w:ascii="Times New Roman" w:hAnsi="Times New Roman" w:cs="Times New Roman"/>
          <w:sz w:val="24"/>
          <w:szCs w:val="24"/>
        </w:rPr>
        <w:t>Lawyers and Money</w:t>
      </w:r>
    </w:p>
    <w:p w:rsidR="00727EF0" w:rsidRPr="00326CE3"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The fiscal position of lawyers is often assumed to be enviable (envious). However, contrary to conventional wisdom, the results of the 2001 Canadian census reveal that “there are more sales managers and advertising executives earning at least $ 100 000 a year than lawyers”.</w:t>
      </w:r>
    </w:p>
    <w:p w:rsidR="00727EF0" w:rsidRPr="00326CE3"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On the whole, lawyers in private employment do no fare as well as their corporate colleagues. For large corporations, it is not unusual for chief legal officers to have a total compensation package including salary, bonuses, profit sharing, insurance, company car, and various perks, well in excess of $ 1 million. </w:t>
      </w:r>
    </w:p>
    <w:p w:rsidR="00727EF0" w:rsidRPr="00326CE3"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Through a process of legal alchemy known as double billing, lawyers can make two into four for example take two hours of research spent on Client A’s legal problem, which turns out to be the same as Client B’s problem.</w:t>
      </w:r>
    </w:p>
    <w:p w:rsidR="00727EF0" w:rsidRPr="00326CE3"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Associates may even be encouraged to believe that any time spent thinking about a client’s legal woes, even while eating or jogging, should be billed.</w:t>
      </w:r>
    </w:p>
    <w:p w:rsidR="00727EF0" w:rsidRPr="008D209E"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Unfortunately, the professional rules governing Canadian lawyers “have little to say about the actual prices charged, other than that they be ‘fair and reasonable’, and are more concerned with ensuring that lawyers do not engage in dubious practices, such as charging for hidden fees, splitting fees with non-lawyers, or not giving full disclosure to clients of the basis for fees chargers.</w:t>
      </w:r>
    </w:p>
    <w:p w:rsidR="00727EF0" w:rsidRPr="00662C90"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Moreover the incidence of discipline for charging unfair or excessive fees is extremely rare; action is taken only when there is evidence that the lawyer has actually cheated or duped the client.</w:t>
      </w:r>
    </w:p>
    <w:p w:rsidR="00727EF0" w:rsidRPr="00662C90" w:rsidRDefault="00727EF0" w:rsidP="00727EF0">
      <w:pPr>
        <w:pStyle w:val="ListParagraph"/>
        <w:numPr>
          <w:ilvl w:val="0"/>
          <w:numId w:val="17"/>
        </w:numPr>
        <w:tabs>
          <w:tab w:val="left" w:pos="3994"/>
        </w:tabs>
        <w:rPr>
          <w:rFonts w:ascii="Times New Roman" w:hAnsi="Times New Roman" w:cs="Times New Roman"/>
          <w:i/>
          <w:sz w:val="24"/>
          <w:szCs w:val="24"/>
        </w:rPr>
      </w:pPr>
      <w:r w:rsidRPr="00662C90">
        <w:rPr>
          <w:rFonts w:ascii="Times New Roman" w:hAnsi="Times New Roman" w:cs="Times New Roman"/>
          <w:b/>
          <w:sz w:val="24"/>
          <w:szCs w:val="24"/>
          <w:u w:val="single"/>
        </w:rPr>
        <w:t>Contingency-fee</w:t>
      </w:r>
      <w:r>
        <w:rPr>
          <w:rFonts w:ascii="Times New Roman" w:hAnsi="Times New Roman" w:cs="Times New Roman"/>
          <w:sz w:val="24"/>
          <w:szCs w:val="24"/>
        </w:rPr>
        <w:t>: This is an arrangement whereby a lawyer receives a percentage of any damages collected.</w:t>
      </w:r>
    </w:p>
    <w:p w:rsidR="00727EF0" w:rsidRPr="00662C90"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Such fees are used primarily in medical malpractice, personal injury, and some product liability and wrongful death cases.</w:t>
      </w:r>
    </w:p>
    <w:p w:rsidR="00727EF0" w:rsidRPr="00662C90"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If the plaintiff loses, there is no payment required for legal services; if he or she wins, the lawyer takes his or her expenses off the top, and then gets a percentage of the remainder.</w:t>
      </w:r>
    </w:p>
    <w:p w:rsidR="00727EF0" w:rsidRPr="00662C90" w:rsidRDefault="00727EF0" w:rsidP="00727EF0">
      <w:pPr>
        <w:pStyle w:val="ListParagraph"/>
        <w:numPr>
          <w:ilvl w:val="0"/>
          <w:numId w:val="17"/>
        </w:numPr>
        <w:tabs>
          <w:tab w:val="left" w:pos="3994"/>
        </w:tabs>
        <w:rPr>
          <w:rFonts w:ascii="Times New Roman" w:hAnsi="Times New Roman" w:cs="Times New Roman"/>
          <w:i/>
          <w:sz w:val="24"/>
          <w:szCs w:val="24"/>
        </w:rPr>
      </w:pPr>
      <w:r w:rsidRPr="00662C90">
        <w:rPr>
          <w:rFonts w:ascii="Times New Roman" w:hAnsi="Times New Roman" w:cs="Times New Roman"/>
          <w:b/>
          <w:sz w:val="24"/>
          <w:szCs w:val="24"/>
          <w:u w:val="single"/>
        </w:rPr>
        <w:t>Punitive damages</w:t>
      </w:r>
      <w:r>
        <w:rPr>
          <w:rFonts w:ascii="Times New Roman" w:hAnsi="Times New Roman" w:cs="Times New Roman"/>
          <w:sz w:val="24"/>
          <w:szCs w:val="24"/>
        </w:rPr>
        <w:t>: This is an extra amount over and above the victim’s proven losses and further increase the dollar amount involved in litigation.</w:t>
      </w:r>
    </w:p>
    <w:p w:rsidR="00727EF0" w:rsidRPr="00662C90"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Punitive damages are not intended to compensate plaintiffs but rather to punish defendants where their conduct has been outrageous, grossly negligent, and close to criminal.</w:t>
      </w:r>
    </w:p>
    <w:p w:rsidR="00727EF0" w:rsidRPr="00763777"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Punitive damages are awarded in many types of tort litigation, including medical malpractice, product liability, and exceptional cases of libel and slander. </w:t>
      </w:r>
    </w:p>
    <w:p w:rsidR="00727EF0" w:rsidRPr="00E4403F" w:rsidRDefault="00727EF0" w:rsidP="00727EF0">
      <w:pPr>
        <w:pStyle w:val="ListParagraph"/>
        <w:numPr>
          <w:ilvl w:val="0"/>
          <w:numId w:val="17"/>
        </w:numPr>
        <w:tabs>
          <w:tab w:val="left" w:pos="3994"/>
        </w:tabs>
        <w:rPr>
          <w:rFonts w:ascii="Times New Roman" w:hAnsi="Times New Roman" w:cs="Times New Roman"/>
          <w:i/>
          <w:sz w:val="24"/>
          <w:szCs w:val="24"/>
        </w:rPr>
      </w:pPr>
      <w:r>
        <w:rPr>
          <w:rFonts w:ascii="Times New Roman" w:hAnsi="Times New Roman" w:cs="Times New Roman"/>
          <w:sz w:val="24"/>
          <w:szCs w:val="24"/>
        </w:rPr>
        <w:t>Lawyers have little to lose by pressing a punitive-damages claim, and if they win, it can be a pleasant surprise for the plaintiff</w:t>
      </w:r>
    </w:p>
    <w:p w:rsidR="00727EF0" w:rsidRDefault="00727EF0" w:rsidP="00727EF0">
      <w:pPr>
        <w:tabs>
          <w:tab w:val="left" w:pos="3994"/>
        </w:tabs>
        <w:rPr>
          <w:rFonts w:ascii="Times New Roman" w:hAnsi="Times New Roman" w:cs="Times New Roman"/>
          <w:b/>
          <w:sz w:val="24"/>
          <w:szCs w:val="24"/>
        </w:rPr>
      </w:pPr>
      <w:r w:rsidRPr="00E4403F">
        <w:rPr>
          <w:rFonts w:ascii="Times New Roman" w:hAnsi="Times New Roman" w:cs="Times New Roman"/>
          <w:b/>
          <w:sz w:val="24"/>
          <w:szCs w:val="24"/>
        </w:rPr>
        <w:t>Theories of Social Order</w:t>
      </w:r>
    </w:p>
    <w:p w:rsidR="00727EF0" w:rsidRPr="00E4403F" w:rsidRDefault="00727EF0" w:rsidP="00727EF0">
      <w:pPr>
        <w:pStyle w:val="ListParagraph"/>
        <w:numPr>
          <w:ilvl w:val="0"/>
          <w:numId w:val="18"/>
        </w:numPr>
        <w:tabs>
          <w:tab w:val="left" w:pos="3994"/>
        </w:tabs>
        <w:rPr>
          <w:rFonts w:ascii="Times New Roman" w:hAnsi="Times New Roman" w:cs="Times New Roman"/>
          <w:b/>
          <w:sz w:val="24"/>
          <w:szCs w:val="24"/>
        </w:rPr>
      </w:pPr>
      <w:r w:rsidRPr="00E4403F">
        <w:rPr>
          <w:rFonts w:ascii="Times New Roman" w:hAnsi="Times New Roman" w:cs="Times New Roman"/>
          <w:b/>
          <w:sz w:val="24"/>
          <w:szCs w:val="24"/>
        </w:rPr>
        <w:t xml:space="preserve">The Consensus (Value Consensus) Model: </w:t>
      </w:r>
      <w:r w:rsidRPr="00E4403F">
        <w:rPr>
          <w:rFonts w:ascii="Times New Roman" w:hAnsi="Times New Roman" w:cs="Times New Roman"/>
          <w:sz w:val="24"/>
          <w:szCs w:val="24"/>
        </w:rPr>
        <w:t>Law reflects the collective will of the people. Members of a society agree upon the basic definitions of right and wrong and the law is merely the written statement of this collective agreement.</w:t>
      </w:r>
    </w:p>
    <w:p w:rsidR="00727EF0" w:rsidRPr="00E4403F" w:rsidRDefault="00727EF0" w:rsidP="00727EF0">
      <w:pPr>
        <w:pStyle w:val="ListParagraph"/>
        <w:numPr>
          <w:ilvl w:val="0"/>
          <w:numId w:val="18"/>
        </w:numPr>
        <w:tabs>
          <w:tab w:val="left" w:pos="3994"/>
        </w:tabs>
        <w:rPr>
          <w:rFonts w:ascii="Times New Roman" w:hAnsi="Times New Roman" w:cs="Times New Roman"/>
          <w:b/>
          <w:sz w:val="24"/>
          <w:szCs w:val="24"/>
        </w:rPr>
      </w:pPr>
      <w:r>
        <w:rPr>
          <w:rFonts w:ascii="Times New Roman" w:hAnsi="Times New Roman" w:cs="Times New Roman"/>
          <w:sz w:val="24"/>
          <w:szCs w:val="24"/>
        </w:rPr>
        <w:t>The law serves all people equally. Because it reflects the collective will of the people, the law neither serves nor represses the interests of any particular group of individuals.</w:t>
      </w:r>
    </w:p>
    <w:p w:rsidR="00727EF0" w:rsidRPr="00A52EE8" w:rsidRDefault="00727EF0" w:rsidP="00727EF0">
      <w:pPr>
        <w:pStyle w:val="ListParagraph"/>
        <w:numPr>
          <w:ilvl w:val="0"/>
          <w:numId w:val="18"/>
        </w:numPr>
        <w:tabs>
          <w:tab w:val="left" w:pos="3994"/>
        </w:tabs>
        <w:rPr>
          <w:rFonts w:ascii="Times New Roman" w:hAnsi="Times New Roman" w:cs="Times New Roman"/>
          <w:b/>
          <w:sz w:val="24"/>
          <w:szCs w:val="24"/>
        </w:rPr>
      </w:pPr>
      <w:r>
        <w:rPr>
          <w:rFonts w:ascii="Times New Roman" w:hAnsi="Times New Roman" w:cs="Times New Roman"/>
          <w:sz w:val="24"/>
          <w:szCs w:val="24"/>
        </w:rPr>
        <w:t xml:space="preserve">This theory of law and society explains disorder in reference to improper socialization-some people are not properly socialized and committed to societal values. From this perspective, crime results from unique properties of the criminal and solutions for the crime problem, therefore, </w:t>
      </w:r>
      <w:r w:rsidRPr="00E4403F">
        <w:rPr>
          <w:rFonts w:ascii="Times New Roman" w:hAnsi="Times New Roman" w:cs="Times New Roman"/>
          <w:b/>
          <w:sz w:val="24"/>
          <w:szCs w:val="24"/>
        </w:rPr>
        <w:t>must focus on the criminal rather than on changing society</w:t>
      </w:r>
      <w:r>
        <w:rPr>
          <w:rFonts w:ascii="Times New Roman" w:hAnsi="Times New Roman" w:cs="Times New Roman"/>
          <w:sz w:val="24"/>
          <w:szCs w:val="24"/>
        </w:rPr>
        <w:t xml:space="preserve">. </w:t>
      </w:r>
    </w:p>
    <w:p w:rsidR="00727EF0" w:rsidRPr="00A52EE8" w:rsidRDefault="00727EF0" w:rsidP="00727EF0">
      <w:pPr>
        <w:pStyle w:val="ListParagraph"/>
        <w:tabs>
          <w:tab w:val="left" w:pos="3994"/>
        </w:tabs>
        <w:rPr>
          <w:rFonts w:ascii="Times New Roman" w:hAnsi="Times New Roman" w:cs="Times New Roman"/>
          <w:b/>
          <w:sz w:val="24"/>
          <w:szCs w:val="24"/>
        </w:rPr>
      </w:pPr>
    </w:p>
    <w:p w:rsidR="00727EF0" w:rsidRPr="00A52EE8" w:rsidRDefault="00727EF0" w:rsidP="00727EF0">
      <w:pPr>
        <w:pStyle w:val="ListParagraph"/>
        <w:numPr>
          <w:ilvl w:val="0"/>
          <w:numId w:val="18"/>
        </w:numPr>
        <w:tabs>
          <w:tab w:val="left" w:pos="3994"/>
        </w:tabs>
        <w:rPr>
          <w:rFonts w:ascii="Times New Roman" w:hAnsi="Times New Roman" w:cs="Times New Roman"/>
          <w:b/>
          <w:sz w:val="24"/>
          <w:szCs w:val="24"/>
        </w:rPr>
      </w:pPr>
      <w:r w:rsidRPr="00A52EE8">
        <w:rPr>
          <w:rFonts w:ascii="Times New Roman" w:hAnsi="Times New Roman" w:cs="Times New Roman"/>
          <w:b/>
          <w:sz w:val="24"/>
          <w:szCs w:val="24"/>
        </w:rPr>
        <w:t>The Pluralistic Model-Interests Theory of Social Order</w:t>
      </w:r>
      <w:r>
        <w:rPr>
          <w:rFonts w:ascii="Times New Roman" w:hAnsi="Times New Roman" w:cs="Times New Roman"/>
          <w:sz w:val="24"/>
          <w:szCs w:val="24"/>
        </w:rPr>
        <w:t>: This theory recognises the existence of a multiplicity of social groups, which have at times different and competing interests and values.</w:t>
      </w:r>
    </w:p>
    <w:p w:rsidR="00727EF0" w:rsidRPr="00D945F7" w:rsidRDefault="00727EF0" w:rsidP="00727EF0">
      <w:pPr>
        <w:pStyle w:val="ListParagraph"/>
        <w:numPr>
          <w:ilvl w:val="0"/>
          <w:numId w:val="18"/>
        </w:numPr>
        <w:tabs>
          <w:tab w:val="left" w:pos="3994"/>
        </w:tabs>
        <w:rPr>
          <w:rFonts w:ascii="Times New Roman" w:hAnsi="Times New Roman" w:cs="Times New Roman"/>
          <w:b/>
          <w:sz w:val="24"/>
          <w:szCs w:val="24"/>
        </w:rPr>
      </w:pPr>
      <w:r>
        <w:rPr>
          <w:rFonts w:ascii="Times New Roman" w:hAnsi="Times New Roman" w:cs="Times New Roman"/>
          <w:sz w:val="24"/>
          <w:szCs w:val="24"/>
        </w:rPr>
        <w:t>While Society is made up of various interest groups with divergent goals, it is in everyone’s interests to maintain a political framework that permits these conflicts to be resolved through peaceful bargaining. People can dissent through the political process by the use of persuasion, protest, voting, lobbying, etc., as long as they follow the law.</w:t>
      </w:r>
    </w:p>
    <w:p w:rsidR="00727EF0" w:rsidRDefault="00727EF0" w:rsidP="00727EF0">
      <w:pPr>
        <w:tabs>
          <w:tab w:val="left" w:pos="3994"/>
        </w:tabs>
        <w:rPr>
          <w:rFonts w:ascii="Times New Roman" w:hAnsi="Times New Roman" w:cs="Times New Roman"/>
          <w:b/>
          <w:sz w:val="24"/>
          <w:szCs w:val="24"/>
        </w:rPr>
      </w:pPr>
      <w:r>
        <w:rPr>
          <w:rFonts w:ascii="Times New Roman" w:hAnsi="Times New Roman" w:cs="Times New Roman"/>
          <w:b/>
          <w:sz w:val="24"/>
          <w:szCs w:val="24"/>
        </w:rPr>
        <w:t>Two Models of the Criminal Process</w:t>
      </w:r>
      <w:r>
        <w:rPr>
          <w:rFonts w:ascii="Times New Roman" w:hAnsi="Times New Roman" w:cs="Times New Roman"/>
          <w:b/>
          <w:sz w:val="24"/>
          <w:szCs w:val="24"/>
        </w:rPr>
        <w:tab/>
      </w:r>
    </w:p>
    <w:p w:rsidR="00727EF0" w:rsidRPr="00D945F7"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b/>
          <w:sz w:val="24"/>
          <w:szCs w:val="24"/>
        </w:rPr>
        <w:t>The Due Process Model:</w:t>
      </w:r>
      <w:r>
        <w:rPr>
          <w:rFonts w:ascii="Times New Roman" w:hAnsi="Times New Roman" w:cs="Times New Roman"/>
          <w:sz w:val="24"/>
          <w:szCs w:val="24"/>
        </w:rPr>
        <w:t xml:space="preserve"> The operating principle is the presumption of innocence. The basic value orientation is reflected by the phrase: “It is better that a hundred guilty persons go free than to have one innocent person convicted”.</w:t>
      </w:r>
    </w:p>
    <w:p w:rsidR="00727EF0" w:rsidRPr="00D945F7"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The due process model demands a formal, adjudicative, adversarial process headed by an impartial tribunal, judge, and/or jury.</w:t>
      </w:r>
    </w:p>
    <w:p w:rsidR="00727EF0" w:rsidRPr="00A4743B"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In this model, emphasis is placed on legal guilt as opposed to factual guilt. Defence lawyers are less interested in whether or not their client “did it”. They are more concerned with whether or not the police and Crown can prove their case and whether or not their client’s rights have been respected.</w:t>
      </w:r>
    </w:p>
    <w:p w:rsidR="00727EF0" w:rsidRPr="00A4743B"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The model stresses the possibility of error and bias particularly against minorities and the poor. Mistakes for example the Donald Marshall case are used as evidence to argue the process needs reform and increasing vigilance.</w:t>
      </w:r>
    </w:p>
    <w:p w:rsidR="00727EF0" w:rsidRPr="00A4743B"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A due process model will accept less efficiency in order to prevent mistakes. It is a more expensive and time consuming model for processing cases and emphasizes “quality control” as opposed to speed.</w:t>
      </w:r>
    </w:p>
    <w:p w:rsidR="00727EF0" w:rsidRPr="00A4743B"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The law will allow a guilty person to go free if the police or courts have not acted in a strictly legal fashion. Courtroom procedures are characterized by “legal formalism”.</w:t>
      </w:r>
    </w:p>
    <w:p w:rsidR="00727EF0" w:rsidRPr="007A6269"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The emphasis is on the means (the process by which the system operates) as opposed to the ends (convicting criminals and maintaining order). The use of appeals increases. More laws are struck down by the Supreme Court. The due process model is characterized as a liberal model and can be encapsulated by the phrase: “Doing it by the book”.</w:t>
      </w:r>
    </w:p>
    <w:p w:rsidR="00727EF0" w:rsidRPr="007A6269"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Evidence obtained illegally and/or in violation of an individual’s rights is ruled inadmissible in law.</w:t>
      </w:r>
    </w:p>
    <w:p w:rsidR="00727EF0" w:rsidRPr="00CA2DDD" w:rsidRDefault="00727EF0" w:rsidP="00727EF0">
      <w:pPr>
        <w:pStyle w:val="ListParagraph"/>
        <w:numPr>
          <w:ilvl w:val="0"/>
          <w:numId w:val="11"/>
        </w:numPr>
        <w:tabs>
          <w:tab w:val="left" w:pos="3994"/>
        </w:tabs>
        <w:rPr>
          <w:rFonts w:ascii="Times New Roman" w:hAnsi="Times New Roman" w:cs="Times New Roman"/>
          <w:b/>
          <w:sz w:val="24"/>
          <w:szCs w:val="24"/>
        </w:rPr>
      </w:pPr>
      <w:r w:rsidRPr="00DC69EB">
        <w:rPr>
          <w:rFonts w:ascii="Times New Roman" w:hAnsi="Times New Roman" w:cs="Times New Roman"/>
          <w:sz w:val="24"/>
          <w:szCs w:val="24"/>
          <w:u w:val="single"/>
        </w:rPr>
        <w:t>Difference in value orientation of the two models</w:t>
      </w:r>
      <w:r>
        <w:rPr>
          <w:rFonts w:ascii="Times New Roman" w:hAnsi="Times New Roman" w:cs="Times New Roman"/>
          <w:sz w:val="24"/>
          <w:szCs w:val="24"/>
        </w:rPr>
        <w:t xml:space="preserve">: </w:t>
      </w:r>
      <w:r w:rsidRPr="00DC69EB">
        <w:rPr>
          <w:rFonts w:ascii="Times New Roman" w:hAnsi="Times New Roman" w:cs="Times New Roman"/>
          <w:b/>
          <w:sz w:val="24"/>
          <w:szCs w:val="24"/>
        </w:rPr>
        <w:t>The Crime control model represents the values of the police</w:t>
      </w:r>
      <w:r>
        <w:rPr>
          <w:rFonts w:ascii="Times New Roman" w:hAnsi="Times New Roman" w:cs="Times New Roman"/>
          <w:sz w:val="24"/>
          <w:szCs w:val="24"/>
        </w:rPr>
        <w:t xml:space="preserve"> whereas the </w:t>
      </w:r>
      <w:r w:rsidRPr="00DC69EB">
        <w:rPr>
          <w:rFonts w:ascii="Times New Roman" w:hAnsi="Times New Roman" w:cs="Times New Roman"/>
          <w:b/>
          <w:sz w:val="24"/>
          <w:szCs w:val="24"/>
        </w:rPr>
        <w:t>due process model represents the value system that the law profession stands for</w:t>
      </w:r>
      <w:r>
        <w:rPr>
          <w:rFonts w:ascii="Times New Roman" w:hAnsi="Times New Roman" w:cs="Times New Roman"/>
          <w:sz w:val="24"/>
          <w:szCs w:val="24"/>
        </w:rPr>
        <w:t xml:space="preserve">. The differences in value orientation help to explain the underlying tension and conflict between these two professions.  </w:t>
      </w:r>
    </w:p>
    <w:p w:rsidR="00727EF0" w:rsidRPr="00CA2DDD"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A due process model challenges the police by making them more accountable. The public still expects the police to maintain order and solve crimes but they must do so within the confines of the law and respectful of civil liberties.</w:t>
      </w:r>
    </w:p>
    <w:p w:rsidR="00727EF0" w:rsidRPr="00CA2DDD" w:rsidRDefault="00727EF0" w:rsidP="00727EF0">
      <w:pPr>
        <w:pStyle w:val="ListParagraph"/>
        <w:numPr>
          <w:ilvl w:val="0"/>
          <w:numId w:val="11"/>
        </w:numPr>
        <w:tabs>
          <w:tab w:val="left" w:pos="3994"/>
        </w:tabs>
        <w:rPr>
          <w:rFonts w:ascii="Times New Roman" w:hAnsi="Times New Roman" w:cs="Times New Roman"/>
          <w:b/>
          <w:sz w:val="24"/>
          <w:szCs w:val="24"/>
        </w:rPr>
      </w:pPr>
      <w:r>
        <w:rPr>
          <w:rFonts w:ascii="Times New Roman" w:hAnsi="Times New Roman" w:cs="Times New Roman"/>
          <w:sz w:val="24"/>
          <w:szCs w:val="24"/>
        </w:rPr>
        <w:t>Police must be better trained, prepared, and professional in doing their job. Sufficient resources must be provided for recruitment, training, and education.</w:t>
      </w:r>
    </w:p>
    <w:p w:rsidR="00727EF0" w:rsidRPr="00CA2DDD" w:rsidRDefault="00727EF0" w:rsidP="00727EF0">
      <w:pPr>
        <w:pStyle w:val="ListParagraph"/>
        <w:numPr>
          <w:ilvl w:val="0"/>
          <w:numId w:val="11"/>
        </w:numPr>
        <w:tabs>
          <w:tab w:val="left" w:pos="3994"/>
        </w:tabs>
        <w:rPr>
          <w:rFonts w:ascii="Times New Roman" w:hAnsi="Times New Roman" w:cs="Times New Roman"/>
          <w:b/>
          <w:i/>
          <w:sz w:val="24"/>
          <w:szCs w:val="24"/>
        </w:rPr>
      </w:pPr>
      <w:r>
        <w:rPr>
          <w:rFonts w:ascii="Times New Roman" w:hAnsi="Times New Roman" w:cs="Times New Roman"/>
          <w:sz w:val="24"/>
          <w:szCs w:val="24"/>
        </w:rPr>
        <w:t xml:space="preserve">Obvious benefits of the due process model are evident in changes to </w:t>
      </w:r>
      <w:r w:rsidRPr="00CA2DDD">
        <w:rPr>
          <w:rFonts w:ascii="Times New Roman" w:hAnsi="Times New Roman" w:cs="Times New Roman"/>
          <w:i/>
          <w:sz w:val="24"/>
          <w:szCs w:val="24"/>
        </w:rPr>
        <w:t>The Mental Health Act</w:t>
      </w:r>
      <w:r>
        <w:rPr>
          <w:rFonts w:ascii="Times New Roman" w:hAnsi="Times New Roman" w:cs="Times New Roman"/>
          <w:sz w:val="24"/>
          <w:szCs w:val="24"/>
        </w:rPr>
        <w:t>. A due process model protects ordinary individuals in their jobs from such problems such as sexual harassment, prejudice and discrimination, sexism, and any arbitrary misuse of power.</w:t>
      </w:r>
    </w:p>
    <w:p w:rsidR="00727EF0" w:rsidRPr="00554C86" w:rsidRDefault="00727EF0" w:rsidP="00727EF0">
      <w:pPr>
        <w:pStyle w:val="ListParagraph"/>
        <w:numPr>
          <w:ilvl w:val="0"/>
          <w:numId w:val="11"/>
        </w:numPr>
        <w:tabs>
          <w:tab w:val="left" w:pos="3994"/>
        </w:tabs>
        <w:rPr>
          <w:rFonts w:ascii="Times New Roman" w:hAnsi="Times New Roman" w:cs="Times New Roman"/>
          <w:b/>
          <w:i/>
          <w:sz w:val="24"/>
          <w:szCs w:val="24"/>
        </w:rPr>
      </w:pPr>
      <w:r>
        <w:rPr>
          <w:rFonts w:ascii="Times New Roman" w:hAnsi="Times New Roman" w:cs="Times New Roman"/>
          <w:sz w:val="24"/>
          <w:szCs w:val="24"/>
        </w:rPr>
        <w:t xml:space="preserve">People in positions of authority are now accountable for their actions and this protects persons in weaker and vulnerable positions within organisations. </w:t>
      </w:r>
    </w:p>
    <w:p w:rsidR="00727EF0" w:rsidRPr="00DF4D61" w:rsidRDefault="00727EF0" w:rsidP="00727EF0">
      <w:pPr>
        <w:tabs>
          <w:tab w:val="left" w:pos="3994"/>
        </w:tabs>
        <w:rPr>
          <w:rFonts w:ascii="Times New Roman" w:hAnsi="Times New Roman" w:cs="Times New Roman"/>
          <w:b/>
          <w:sz w:val="24"/>
          <w:szCs w:val="24"/>
        </w:rPr>
      </w:pPr>
      <w:r w:rsidRPr="00DF4D61">
        <w:rPr>
          <w:rFonts w:ascii="Times New Roman" w:hAnsi="Times New Roman" w:cs="Times New Roman"/>
          <w:b/>
          <w:sz w:val="24"/>
          <w:szCs w:val="24"/>
        </w:rPr>
        <w:t>Civil Litigation and Tort Law</w:t>
      </w:r>
    </w:p>
    <w:p w:rsidR="00727EF0" w:rsidRDefault="00727EF0" w:rsidP="00727EF0">
      <w:pPr>
        <w:pStyle w:val="ListParagraph"/>
        <w:numPr>
          <w:ilvl w:val="0"/>
          <w:numId w:val="19"/>
        </w:numPr>
        <w:tabs>
          <w:tab w:val="left" w:pos="3994"/>
        </w:tabs>
        <w:rPr>
          <w:rFonts w:ascii="Times New Roman" w:hAnsi="Times New Roman" w:cs="Times New Roman"/>
          <w:sz w:val="24"/>
          <w:szCs w:val="24"/>
        </w:rPr>
      </w:pPr>
      <w:r w:rsidRPr="00554C86">
        <w:rPr>
          <w:rFonts w:ascii="Times New Roman" w:hAnsi="Times New Roman" w:cs="Times New Roman"/>
          <w:b/>
          <w:sz w:val="24"/>
          <w:szCs w:val="24"/>
        </w:rPr>
        <w:t>Tort</w:t>
      </w:r>
      <w:r w:rsidRPr="00554C86">
        <w:rPr>
          <w:rFonts w:ascii="Times New Roman" w:hAnsi="Times New Roman" w:cs="Times New Roman"/>
          <w:sz w:val="24"/>
          <w:szCs w:val="24"/>
        </w:rPr>
        <w:t xml:space="preserve">: </w:t>
      </w:r>
      <w:r w:rsidRPr="00554C86">
        <w:rPr>
          <w:rFonts w:ascii="Times New Roman" w:hAnsi="Times New Roman" w:cs="Times New Roman"/>
          <w:sz w:val="24"/>
          <w:szCs w:val="24"/>
          <w:u w:val="single"/>
        </w:rPr>
        <w:t>Tort is a civil wrong, other than a breach of contract, which the law will address by an award of damages.</w:t>
      </w:r>
      <w:r w:rsidRPr="00554C86">
        <w:rPr>
          <w:rFonts w:ascii="Times New Roman" w:hAnsi="Times New Roman" w:cs="Times New Roman"/>
          <w:sz w:val="24"/>
          <w:szCs w:val="24"/>
        </w:rPr>
        <w:t xml:space="preserve"> In other words, unlike a crime, which is an offence against the state, a tort is a private injury or harm that has occurred against an individual, corporation, or government.</w:t>
      </w:r>
    </w:p>
    <w:p w:rsidR="00727EF0" w:rsidRDefault="00727EF0" w:rsidP="00727EF0">
      <w:pPr>
        <w:pStyle w:val="ListParagraph"/>
        <w:numPr>
          <w:ilvl w:val="0"/>
          <w:numId w:val="19"/>
        </w:numPr>
        <w:tabs>
          <w:tab w:val="left" w:pos="3994"/>
        </w:tabs>
        <w:rPr>
          <w:rFonts w:ascii="Times New Roman" w:hAnsi="Times New Roman" w:cs="Times New Roman"/>
          <w:sz w:val="24"/>
          <w:szCs w:val="24"/>
        </w:rPr>
      </w:pPr>
      <w:r>
        <w:rPr>
          <w:rFonts w:ascii="Times New Roman" w:hAnsi="Times New Roman" w:cs="Times New Roman"/>
          <w:sz w:val="24"/>
          <w:szCs w:val="24"/>
        </w:rPr>
        <w:t>The Supreme Court of Canada found that Mr. Stauffer owed a duty a care to young Karl Galaske to ensure that the young boy wore a seat belt while travelling in Mr. Stauffer’s vehicle. In failing to exercise this duty of care, Mr. Stauffer both broke the law (the B.C Motor Vehicle Act) and was found in civil court to be negligent. As a result, Mr. Stauffer was required to pay damages or compensation to Karl Galsake</w:t>
      </w:r>
    </w:p>
    <w:p w:rsidR="00727EF0" w:rsidRDefault="00727EF0" w:rsidP="00727EF0">
      <w:pPr>
        <w:pStyle w:val="ListParagraph"/>
        <w:numPr>
          <w:ilvl w:val="0"/>
          <w:numId w:val="19"/>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A tort is a wrong committed against the private interest of an individual, corporation, or government. The wrong committed may be intentional, or due to negligence. </w:t>
      </w:r>
    </w:p>
    <w:p w:rsidR="00727EF0" w:rsidRDefault="00727EF0" w:rsidP="00727EF0">
      <w:pPr>
        <w:pStyle w:val="ListParagraph"/>
        <w:numPr>
          <w:ilvl w:val="0"/>
          <w:numId w:val="19"/>
        </w:numPr>
        <w:tabs>
          <w:tab w:val="left" w:pos="3994"/>
        </w:tabs>
        <w:rPr>
          <w:rFonts w:ascii="Times New Roman" w:hAnsi="Times New Roman" w:cs="Times New Roman"/>
          <w:sz w:val="24"/>
          <w:szCs w:val="24"/>
        </w:rPr>
      </w:pPr>
      <w:r>
        <w:rPr>
          <w:rFonts w:ascii="Times New Roman" w:hAnsi="Times New Roman" w:cs="Times New Roman"/>
          <w:sz w:val="24"/>
          <w:szCs w:val="24"/>
        </w:rPr>
        <w:t>Torts are viewed as less serious than crimes, as the harm that has been done is limited to specific individuals or organizations. As a result, it is left up to the party that has been wronged (the plaintiff) to file an action in court to have the wrongdoer (the defendant) punished, usually in the form of a payment of damages.</w:t>
      </w:r>
    </w:p>
    <w:p w:rsidR="00727EF0" w:rsidRPr="00827C27" w:rsidRDefault="00727EF0" w:rsidP="00727EF0">
      <w:pPr>
        <w:pStyle w:val="ListParagraph"/>
        <w:numPr>
          <w:ilvl w:val="0"/>
          <w:numId w:val="19"/>
        </w:numPr>
        <w:tabs>
          <w:tab w:val="left" w:pos="3994"/>
        </w:tabs>
        <w:rPr>
          <w:rFonts w:ascii="Times New Roman" w:hAnsi="Times New Roman" w:cs="Times New Roman"/>
          <w:sz w:val="24"/>
          <w:szCs w:val="24"/>
          <w:u w:val="single"/>
        </w:rPr>
      </w:pPr>
      <w:r w:rsidRPr="00827C27">
        <w:rPr>
          <w:rFonts w:ascii="Times New Roman" w:hAnsi="Times New Roman" w:cs="Times New Roman"/>
          <w:sz w:val="24"/>
          <w:szCs w:val="24"/>
          <w:u w:val="single"/>
        </w:rPr>
        <w:t>Because a tort is treated less seriously than a crime, a lower standard based on a balance of probabilities as to who is probably responsible is used to determine who is “at a fault”.</w:t>
      </w:r>
    </w:p>
    <w:p w:rsidR="00727EF0" w:rsidRPr="00827C27" w:rsidRDefault="00727EF0" w:rsidP="00727EF0">
      <w:pPr>
        <w:pStyle w:val="ListParagraph"/>
        <w:numPr>
          <w:ilvl w:val="0"/>
          <w:numId w:val="19"/>
        </w:numPr>
        <w:tabs>
          <w:tab w:val="left" w:pos="3994"/>
        </w:tabs>
        <w:rPr>
          <w:rFonts w:ascii="Times New Roman" w:hAnsi="Times New Roman" w:cs="Times New Roman"/>
          <w:sz w:val="24"/>
          <w:szCs w:val="24"/>
          <w:u w:val="single"/>
        </w:rPr>
      </w:pPr>
      <w:r w:rsidRPr="00827C27">
        <w:rPr>
          <w:rFonts w:ascii="Times New Roman" w:hAnsi="Times New Roman" w:cs="Times New Roman"/>
          <w:sz w:val="24"/>
          <w:szCs w:val="24"/>
          <w:u w:val="single"/>
        </w:rPr>
        <w:t>In addition, unlike a crime, it is not a requirement in tort law that it be shown that the defendant intended to do the harm; it is enough to show that the defendant’s actions, intended or not, caused harm to someone else.</w:t>
      </w:r>
    </w:p>
    <w:p w:rsidR="00727EF0" w:rsidRDefault="00727EF0" w:rsidP="00727EF0">
      <w:pPr>
        <w:pStyle w:val="ListParagraph"/>
        <w:numPr>
          <w:ilvl w:val="0"/>
          <w:numId w:val="19"/>
        </w:numPr>
        <w:tabs>
          <w:tab w:val="left" w:pos="3994"/>
        </w:tabs>
        <w:rPr>
          <w:rFonts w:ascii="Times New Roman" w:hAnsi="Times New Roman" w:cs="Times New Roman"/>
          <w:sz w:val="24"/>
          <w:szCs w:val="24"/>
        </w:rPr>
      </w:pPr>
      <w:r>
        <w:rPr>
          <w:rFonts w:ascii="Times New Roman" w:hAnsi="Times New Roman" w:cs="Times New Roman"/>
          <w:sz w:val="24"/>
          <w:szCs w:val="24"/>
        </w:rPr>
        <w:t>With increasing frequency, wrongdoing is being dealt with both in the criminal courts and as torts in civil court (86).</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Pr>
          <w:rFonts w:ascii="Times New Roman" w:hAnsi="Times New Roman" w:cs="Times New Roman"/>
          <w:sz w:val="24"/>
          <w:szCs w:val="24"/>
        </w:rPr>
        <w:t>The tradition of the common law of torts continues into the present. Unlike criminal, family, or constitutional law, there are no books of statutes that direct how the law of torts is to be administered. Instead, as societies continue to develop and become more complex, new types of private disputes individuals, corporations, or governments arise and are dealt with in the courts, adding to the storehouse of the common law of torts.</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Pr>
          <w:rFonts w:ascii="Times New Roman" w:hAnsi="Times New Roman" w:cs="Times New Roman"/>
          <w:sz w:val="24"/>
          <w:szCs w:val="24"/>
        </w:rPr>
        <w:t>Tort law serves to compensate injured parties. Compensation is most often made in the form of an award or damages to the injured party, a sum of money designed to compensate them for their loss.</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sidRPr="00DD4376">
        <w:rPr>
          <w:rFonts w:ascii="Times New Roman" w:hAnsi="Times New Roman" w:cs="Times New Roman"/>
          <w:b/>
          <w:sz w:val="24"/>
          <w:szCs w:val="24"/>
          <w:u w:val="single"/>
        </w:rPr>
        <w:t>Special damages</w:t>
      </w:r>
      <w:r>
        <w:rPr>
          <w:rFonts w:ascii="Times New Roman" w:hAnsi="Times New Roman" w:cs="Times New Roman"/>
          <w:sz w:val="24"/>
          <w:szCs w:val="24"/>
        </w:rPr>
        <w:t xml:space="preserve"> are awarded when the losses to the injured party are specific and easily calculated, such as loss of wages, a damaged fence, or a broken car windshield.</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sidRPr="00DD4376">
        <w:rPr>
          <w:rFonts w:ascii="Times New Roman" w:hAnsi="Times New Roman" w:cs="Times New Roman"/>
          <w:b/>
          <w:sz w:val="24"/>
          <w:szCs w:val="24"/>
          <w:u w:val="single"/>
        </w:rPr>
        <w:t>General damages</w:t>
      </w:r>
      <w:r>
        <w:rPr>
          <w:rFonts w:ascii="Times New Roman" w:hAnsi="Times New Roman" w:cs="Times New Roman"/>
          <w:sz w:val="24"/>
          <w:szCs w:val="24"/>
        </w:rPr>
        <w:t>: General damages are awarded when the cost of compensation cannot be precisely calculated, as in determining the cost of pain and suffering due to a chronic whiplash injury.</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sidRPr="00DD4376">
        <w:rPr>
          <w:rFonts w:ascii="Times New Roman" w:hAnsi="Times New Roman" w:cs="Times New Roman"/>
          <w:b/>
          <w:sz w:val="24"/>
          <w:szCs w:val="24"/>
          <w:u w:val="single"/>
        </w:rPr>
        <w:t>Punitive damages</w:t>
      </w:r>
      <w:r>
        <w:rPr>
          <w:rFonts w:ascii="Times New Roman" w:hAnsi="Times New Roman" w:cs="Times New Roman"/>
          <w:sz w:val="24"/>
          <w:szCs w:val="24"/>
        </w:rPr>
        <w:t>: On rare occasions, the court may order that exemplary or punitive damages also be awarded, to punish the wrongdoers.</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Pr>
          <w:rFonts w:ascii="Times New Roman" w:hAnsi="Times New Roman" w:cs="Times New Roman"/>
          <w:b/>
          <w:sz w:val="24"/>
          <w:szCs w:val="24"/>
          <w:u w:val="single"/>
        </w:rPr>
        <w:t xml:space="preserve">There are six functions of Tort Law in society: </w:t>
      </w:r>
      <w:r>
        <w:rPr>
          <w:rFonts w:ascii="Times New Roman" w:hAnsi="Times New Roman" w:cs="Times New Roman"/>
          <w:sz w:val="24"/>
          <w:szCs w:val="24"/>
        </w:rPr>
        <w:t>1. Compensation 2.  Deterrence 3. Education 4. Psychological function 5. Market deterrence 6. Ombudsman</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sidRPr="005A1CEC">
        <w:rPr>
          <w:rFonts w:ascii="Times New Roman" w:hAnsi="Times New Roman" w:cs="Times New Roman"/>
          <w:b/>
          <w:sz w:val="24"/>
          <w:szCs w:val="24"/>
          <w:u w:val="single"/>
        </w:rPr>
        <w:t>Intentional torts</w:t>
      </w:r>
      <w:r>
        <w:rPr>
          <w:rFonts w:ascii="Times New Roman" w:hAnsi="Times New Roman" w:cs="Times New Roman"/>
          <w:sz w:val="24"/>
          <w:szCs w:val="24"/>
        </w:rPr>
        <w:t xml:space="preserve"> are actions taken by an individual or organization that are deliberately meant to cause harm. Intentional torts include assault, battery, intentional infliction of mental suffering, false imprisonment, trespass, nuisance, defamation and invasion of privacy.</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Pr>
          <w:rFonts w:ascii="Times New Roman" w:hAnsi="Times New Roman" w:cs="Times New Roman"/>
          <w:sz w:val="24"/>
          <w:szCs w:val="24"/>
        </w:rPr>
        <w:t xml:space="preserve"> </w:t>
      </w:r>
      <w:r w:rsidRPr="005A1CEC">
        <w:rPr>
          <w:rFonts w:ascii="Times New Roman" w:hAnsi="Times New Roman" w:cs="Times New Roman"/>
          <w:b/>
          <w:sz w:val="24"/>
          <w:szCs w:val="24"/>
          <w:u w:val="single"/>
        </w:rPr>
        <w:t>Negligence</w:t>
      </w:r>
      <w:r>
        <w:rPr>
          <w:rFonts w:ascii="Times New Roman" w:hAnsi="Times New Roman" w:cs="Times New Roman"/>
          <w:sz w:val="24"/>
          <w:szCs w:val="24"/>
        </w:rPr>
        <w:t xml:space="preserve"> refers to actions that cause an unintentional harm because a person or organization has failed to take reasonable precautions to ensure that their actions do not endanger others.</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Pr>
          <w:rFonts w:ascii="Times New Roman" w:hAnsi="Times New Roman" w:cs="Times New Roman"/>
          <w:sz w:val="24"/>
          <w:szCs w:val="24"/>
        </w:rPr>
        <w:t>The harm caused can take the form of physical injury or mental distress, destruction of property, and economic loss. There can be liability for negligence only if the wronged party has suffered a form of damage that is recognizable; that is; an injury or loss that can be proven in court. The purpose of awarding damages is to restore the wronged party to the state he or she was in before the negligence caused the harm.</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Pr>
          <w:rFonts w:ascii="Times New Roman" w:hAnsi="Times New Roman" w:cs="Times New Roman"/>
          <w:sz w:val="24"/>
          <w:szCs w:val="24"/>
        </w:rPr>
        <w:t>As the common law body of torts has developed over time, each type of tort has come to have associated with it different remedies and defences. The defences typically used to counter claims for damages in intentional torts include consent, self-defence, and defence of property, necessity and legal authority.</w:t>
      </w:r>
    </w:p>
    <w:p w:rsidR="00727EF0" w:rsidRDefault="00727EF0" w:rsidP="00727EF0">
      <w:pPr>
        <w:pStyle w:val="ListParagraph"/>
        <w:numPr>
          <w:ilvl w:val="0"/>
          <w:numId w:val="19"/>
        </w:numPr>
        <w:tabs>
          <w:tab w:val="left" w:pos="3994"/>
        </w:tabs>
        <w:ind w:left="360"/>
        <w:rPr>
          <w:rFonts w:ascii="Times New Roman" w:hAnsi="Times New Roman" w:cs="Times New Roman"/>
          <w:sz w:val="24"/>
          <w:szCs w:val="24"/>
        </w:rPr>
      </w:pPr>
      <w:r w:rsidRPr="00197953">
        <w:rPr>
          <w:rFonts w:ascii="Times New Roman" w:hAnsi="Times New Roman" w:cs="Times New Roman"/>
          <w:b/>
          <w:sz w:val="24"/>
          <w:szCs w:val="24"/>
        </w:rPr>
        <w:t>Loss, damage or injury</w:t>
      </w:r>
      <w:r>
        <w:rPr>
          <w:rFonts w:ascii="Times New Roman" w:hAnsi="Times New Roman" w:cs="Times New Roman"/>
          <w:sz w:val="24"/>
          <w:szCs w:val="24"/>
        </w:rPr>
        <w:t>: In addition to the negligent act itself, the plaintiff must establish that the negligence is the cause of any injury or loss that has been suffered. Here, the “but for” test is traditionally applied; would the plaintiff’s damage have occurred “but for” the defendant’s negligent act? If the answer is no, the defendant’s negligence is the “cause-in-fact” of the damage.</w:t>
      </w:r>
    </w:p>
    <w:p w:rsidR="00727EF0" w:rsidRDefault="00727EF0" w:rsidP="00727EF0">
      <w:pPr>
        <w:pStyle w:val="ListParagraph"/>
        <w:numPr>
          <w:ilvl w:val="0"/>
          <w:numId w:val="20"/>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In the New Brunswick case </w:t>
      </w:r>
      <w:r w:rsidRPr="00DF4D61">
        <w:rPr>
          <w:rFonts w:ascii="Times New Roman" w:hAnsi="Times New Roman" w:cs="Times New Roman"/>
          <w:i/>
          <w:sz w:val="24"/>
          <w:szCs w:val="24"/>
        </w:rPr>
        <w:t>Snell v. Farrell</w:t>
      </w:r>
      <w:r>
        <w:rPr>
          <w:rFonts w:ascii="Times New Roman" w:hAnsi="Times New Roman" w:cs="Times New Roman"/>
          <w:sz w:val="24"/>
          <w:szCs w:val="24"/>
        </w:rPr>
        <w:t xml:space="preserve">, a newer and broader standard of causation was employed, one that requires only that the negligent act be shown to have </w:t>
      </w:r>
      <w:r w:rsidRPr="00DF4D61">
        <w:rPr>
          <w:rFonts w:ascii="Times New Roman" w:hAnsi="Times New Roman" w:cs="Times New Roman"/>
          <w:b/>
          <w:sz w:val="24"/>
          <w:szCs w:val="24"/>
        </w:rPr>
        <w:t>“materially contributed”</w:t>
      </w:r>
      <w:r>
        <w:rPr>
          <w:rFonts w:ascii="Times New Roman" w:hAnsi="Times New Roman" w:cs="Times New Roman"/>
          <w:sz w:val="24"/>
          <w:szCs w:val="24"/>
        </w:rPr>
        <w:t xml:space="preserve"> to the damage. </w:t>
      </w:r>
    </w:p>
    <w:p w:rsidR="00727EF0" w:rsidRPr="00197953" w:rsidRDefault="00727EF0" w:rsidP="00727EF0">
      <w:pPr>
        <w:pStyle w:val="ListParagraph"/>
        <w:tabs>
          <w:tab w:val="left" w:pos="3994"/>
        </w:tabs>
        <w:ind w:left="1440"/>
        <w:rPr>
          <w:rFonts w:ascii="Times New Roman" w:hAnsi="Times New Roman" w:cs="Times New Roman"/>
          <w:sz w:val="24"/>
          <w:szCs w:val="24"/>
        </w:rPr>
      </w:pP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sidRPr="00197953">
        <w:rPr>
          <w:rFonts w:ascii="Times New Roman" w:hAnsi="Times New Roman" w:cs="Times New Roman"/>
          <w:b/>
          <w:sz w:val="24"/>
          <w:szCs w:val="24"/>
        </w:rPr>
        <w:t>Negligence and the duty of care</w:t>
      </w:r>
      <w:r>
        <w:rPr>
          <w:rFonts w:ascii="Times New Roman" w:hAnsi="Times New Roman" w:cs="Times New Roman"/>
          <w:sz w:val="24"/>
          <w:szCs w:val="24"/>
        </w:rPr>
        <w:t xml:space="preserve">: It must be proved by the plaintiff that the defendant owed the plaintiff a “duty of care”. </w:t>
      </w:r>
    </w:p>
    <w:p w:rsidR="00727EF0" w:rsidRDefault="00727EF0" w:rsidP="00727EF0">
      <w:pPr>
        <w:pStyle w:val="ListParagraph"/>
        <w:numPr>
          <w:ilvl w:val="0"/>
          <w:numId w:val="20"/>
        </w:numPr>
        <w:tabs>
          <w:tab w:val="left" w:pos="3994"/>
        </w:tabs>
        <w:rPr>
          <w:rFonts w:ascii="Times New Roman" w:hAnsi="Times New Roman" w:cs="Times New Roman"/>
          <w:i/>
          <w:sz w:val="24"/>
          <w:szCs w:val="24"/>
        </w:rPr>
      </w:pPr>
      <w:r>
        <w:rPr>
          <w:rFonts w:ascii="Times New Roman" w:hAnsi="Times New Roman" w:cs="Times New Roman"/>
          <w:sz w:val="24"/>
          <w:szCs w:val="24"/>
        </w:rPr>
        <w:t xml:space="preserve">1932 English Landmark case of </w:t>
      </w:r>
      <w:r w:rsidRPr="00A934AB">
        <w:rPr>
          <w:rFonts w:ascii="Times New Roman" w:hAnsi="Times New Roman" w:cs="Times New Roman"/>
          <w:i/>
          <w:sz w:val="24"/>
          <w:szCs w:val="24"/>
        </w:rPr>
        <w:t>Donoughue v. Stevenson</w:t>
      </w:r>
    </w:p>
    <w:p w:rsidR="00727EF0" w:rsidRPr="00A934AB" w:rsidRDefault="00727EF0" w:rsidP="00727EF0">
      <w:pPr>
        <w:pStyle w:val="ListParagraph"/>
        <w:numPr>
          <w:ilvl w:val="0"/>
          <w:numId w:val="20"/>
        </w:numPr>
        <w:tabs>
          <w:tab w:val="left" w:pos="3994"/>
        </w:tabs>
        <w:rPr>
          <w:rFonts w:ascii="Times New Roman" w:hAnsi="Times New Roman" w:cs="Times New Roman"/>
          <w:i/>
          <w:sz w:val="24"/>
          <w:szCs w:val="24"/>
        </w:rPr>
      </w:pPr>
      <w:r>
        <w:rPr>
          <w:rFonts w:ascii="Times New Roman" w:hAnsi="Times New Roman" w:cs="Times New Roman"/>
          <w:i/>
          <w:sz w:val="24"/>
          <w:szCs w:val="24"/>
        </w:rPr>
        <w:t>Dobson v. Dobson</w:t>
      </w: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Pr>
          <w:rFonts w:ascii="Times New Roman" w:hAnsi="Times New Roman" w:cs="Times New Roman"/>
          <w:sz w:val="24"/>
          <w:szCs w:val="24"/>
        </w:rPr>
        <w:t>Negligence and remoteness of damages:  This refers to the extent to which the negligent act can reasonably be linked to the damages claimed.</w:t>
      </w:r>
    </w:p>
    <w:p w:rsidR="00727EF0" w:rsidRDefault="00727EF0" w:rsidP="00727EF0">
      <w:pPr>
        <w:pStyle w:val="ListParagraph"/>
        <w:numPr>
          <w:ilvl w:val="0"/>
          <w:numId w:val="22"/>
        </w:numPr>
        <w:tabs>
          <w:tab w:val="left" w:pos="3994"/>
        </w:tabs>
        <w:rPr>
          <w:rFonts w:ascii="Times New Roman" w:hAnsi="Times New Roman" w:cs="Times New Roman"/>
          <w:i/>
          <w:sz w:val="24"/>
          <w:szCs w:val="24"/>
        </w:rPr>
      </w:pPr>
      <w:r w:rsidRPr="00A934AB">
        <w:rPr>
          <w:rFonts w:ascii="Times New Roman" w:hAnsi="Times New Roman" w:cs="Times New Roman"/>
          <w:i/>
          <w:sz w:val="24"/>
          <w:szCs w:val="24"/>
        </w:rPr>
        <w:t>Smith v. Leech Brain &amp; Co</w:t>
      </w:r>
    </w:p>
    <w:p w:rsidR="00727EF0" w:rsidRPr="00197953" w:rsidRDefault="00727EF0" w:rsidP="00727EF0">
      <w:pPr>
        <w:pStyle w:val="ListParagraph"/>
        <w:numPr>
          <w:ilvl w:val="0"/>
          <w:numId w:val="21"/>
        </w:numPr>
        <w:tabs>
          <w:tab w:val="left" w:pos="3994"/>
        </w:tabs>
        <w:rPr>
          <w:rFonts w:ascii="Times New Roman" w:hAnsi="Times New Roman" w:cs="Times New Roman"/>
          <w:i/>
          <w:sz w:val="24"/>
          <w:szCs w:val="24"/>
        </w:rPr>
      </w:pPr>
      <w:r w:rsidRPr="00197953">
        <w:rPr>
          <w:rFonts w:ascii="Times New Roman" w:hAnsi="Times New Roman" w:cs="Times New Roman"/>
          <w:b/>
          <w:sz w:val="24"/>
          <w:szCs w:val="24"/>
        </w:rPr>
        <w:t>Negligence and causation</w:t>
      </w:r>
      <w:r>
        <w:rPr>
          <w:rFonts w:ascii="Times New Roman" w:hAnsi="Times New Roman" w:cs="Times New Roman"/>
          <w:sz w:val="24"/>
          <w:szCs w:val="24"/>
        </w:rPr>
        <w:t>: Causation must also be established to show that the damage or injury was directly caused by the conduct of the defendant. There must be a sufficiently causal connection between the action and the injury.</w:t>
      </w: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sidRPr="00EF3F9F">
        <w:rPr>
          <w:rFonts w:ascii="Times New Roman" w:hAnsi="Times New Roman" w:cs="Times New Roman"/>
          <w:b/>
          <w:sz w:val="24"/>
          <w:szCs w:val="24"/>
        </w:rPr>
        <w:t>The Future of Tort law</w:t>
      </w:r>
      <w:r>
        <w:rPr>
          <w:rFonts w:ascii="Times New Roman" w:hAnsi="Times New Roman" w:cs="Times New Roman"/>
          <w:sz w:val="24"/>
          <w:szCs w:val="24"/>
        </w:rPr>
        <w:t>:  Some have suggested that expanded systems of no-fault and private liability insurance are solutions to the increasingly expensive tort law system.</w:t>
      </w: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Pr>
          <w:rFonts w:ascii="Times New Roman" w:hAnsi="Times New Roman" w:cs="Times New Roman"/>
          <w:sz w:val="24"/>
          <w:szCs w:val="24"/>
        </w:rPr>
        <w:t>Under no fault schemes like automobile insurance, public health insurance, and employee benefit plans, the insured person is automatically compensated for damages without having to resort to expensive legal action.</w:t>
      </w: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Pr>
          <w:rFonts w:ascii="Times New Roman" w:hAnsi="Times New Roman" w:cs="Times New Roman"/>
          <w:sz w:val="24"/>
          <w:szCs w:val="24"/>
        </w:rPr>
        <w:t>Liability insurance automatically covers individuals and organizations for any losses they incur as the result of their actions.</w:t>
      </w: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Pr>
          <w:rFonts w:ascii="Times New Roman" w:hAnsi="Times New Roman" w:cs="Times New Roman"/>
          <w:sz w:val="24"/>
          <w:szCs w:val="24"/>
        </w:rPr>
        <w:t>There is always a temptation to place the obligation to pay for damages to the victim on the party who can pay or who has insurance coverage. Part of the reason for this is that the victim may deserve compensation and insurance is meant to spread out the risks and the loss rather than to determine who is at fault.</w:t>
      </w: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sidRPr="00EF3F9F">
        <w:rPr>
          <w:rFonts w:ascii="Times New Roman" w:hAnsi="Times New Roman" w:cs="Times New Roman"/>
          <w:b/>
          <w:sz w:val="24"/>
          <w:szCs w:val="24"/>
        </w:rPr>
        <w:t>Criticism</w:t>
      </w:r>
      <w:r>
        <w:rPr>
          <w:rFonts w:ascii="Times New Roman" w:hAnsi="Times New Roman" w:cs="Times New Roman"/>
          <w:sz w:val="24"/>
          <w:szCs w:val="24"/>
        </w:rPr>
        <w:t>: Sociologists argue that proposals to do away with the tort law system in favour of no-fault and liability insurance systems are likely to benefit insurance companies and corporate clients at the expense of individual victims.</w:t>
      </w:r>
    </w:p>
    <w:p w:rsidR="00727EF0" w:rsidRDefault="00727EF0" w:rsidP="00727EF0">
      <w:pPr>
        <w:pStyle w:val="ListParagraph"/>
        <w:numPr>
          <w:ilvl w:val="0"/>
          <w:numId w:val="21"/>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Such proposals make all in society directly responsible for the costs of the torts of a few and, more importantly, undermine the </w:t>
      </w:r>
      <w:r w:rsidRPr="00D63A38">
        <w:rPr>
          <w:rFonts w:ascii="Times New Roman" w:hAnsi="Times New Roman" w:cs="Times New Roman"/>
          <w:b/>
          <w:sz w:val="24"/>
          <w:szCs w:val="24"/>
        </w:rPr>
        <w:t>deterrence</w:t>
      </w:r>
      <w:r>
        <w:rPr>
          <w:rFonts w:ascii="Times New Roman" w:hAnsi="Times New Roman" w:cs="Times New Roman"/>
          <w:sz w:val="24"/>
          <w:szCs w:val="24"/>
        </w:rPr>
        <w:t xml:space="preserve"> function of tort law.</w:t>
      </w:r>
    </w:p>
    <w:p w:rsidR="00727EF0" w:rsidRDefault="00727EF0" w:rsidP="00727EF0">
      <w:pPr>
        <w:pStyle w:val="ListParagraph"/>
        <w:numPr>
          <w:ilvl w:val="0"/>
          <w:numId w:val="22"/>
        </w:numPr>
        <w:tabs>
          <w:tab w:val="left" w:pos="3994"/>
        </w:tabs>
        <w:rPr>
          <w:rFonts w:ascii="Times New Roman" w:hAnsi="Times New Roman" w:cs="Times New Roman"/>
          <w:sz w:val="24"/>
          <w:szCs w:val="24"/>
        </w:rPr>
      </w:pPr>
      <w:r>
        <w:rPr>
          <w:rFonts w:ascii="Times New Roman" w:hAnsi="Times New Roman" w:cs="Times New Roman"/>
          <w:sz w:val="24"/>
          <w:szCs w:val="24"/>
        </w:rPr>
        <w:t>The potential publicity resulting from wrongdoing serves as a strong deterrent to many corporations and government itself to exercise their duty to take care to protect the person and property of members of the public.</w:t>
      </w:r>
    </w:p>
    <w:p w:rsidR="00727EF0" w:rsidRDefault="00727EF0" w:rsidP="00727EF0">
      <w:pPr>
        <w:pStyle w:val="ListParagraph"/>
        <w:numPr>
          <w:ilvl w:val="0"/>
          <w:numId w:val="23"/>
        </w:numPr>
        <w:tabs>
          <w:tab w:val="left" w:pos="3994"/>
        </w:tabs>
        <w:rPr>
          <w:rFonts w:ascii="Times New Roman" w:hAnsi="Times New Roman" w:cs="Times New Roman"/>
          <w:sz w:val="24"/>
          <w:szCs w:val="24"/>
        </w:rPr>
      </w:pPr>
      <w:r>
        <w:rPr>
          <w:rFonts w:ascii="Times New Roman" w:hAnsi="Times New Roman" w:cs="Times New Roman"/>
          <w:sz w:val="24"/>
          <w:szCs w:val="24"/>
        </w:rPr>
        <w:t>The tort law system provides the means for even the simplest citizen of society to have recourse to the courts when a wrong has been done.</w:t>
      </w:r>
    </w:p>
    <w:p w:rsidR="00727EF0" w:rsidRDefault="00727EF0" w:rsidP="00727EF0">
      <w:pPr>
        <w:pStyle w:val="ListParagraph"/>
        <w:numPr>
          <w:ilvl w:val="0"/>
          <w:numId w:val="23"/>
        </w:numPr>
        <w:tabs>
          <w:tab w:val="left" w:pos="3994"/>
        </w:tabs>
        <w:rPr>
          <w:rFonts w:ascii="Times New Roman" w:hAnsi="Times New Roman" w:cs="Times New Roman"/>
          <w:sz w:val="24"/>
          <w:szCs w:val="24"/>
        </w:rPr>
      </w:pPr>
      <w:r w:rsidRPr="00123E44">
        <w:rPr>
          <w:rFonts w:ascii="Times New Roman" w:hAnsi="Times New Roman" w:cs="Times New Roman"/>
          <w:b/>
          <w:sz w:val="24"/>
          <w:szCs w:val="24"/>
        </w:rPr>
        <w:t>Emerging functions of tort law</w:t>
      </w:r>
      <w:r>
        <w:rPr>
          <w:rFonts w:ascii="Times New Roman" w:hAnsi="Times New Roman" w:cs="Times New Roman"/>
          <w:sz w:val="24"/>
          <w:szCs w:val="24"/>
        </w:rPr>
        <w:t>: Sociologists attribute growth in the tort litigation both to its flexibility to adapt to arising issues, and to the expanded functions it serves in modern society.</w:t>
      </w:r>
    </w:p>
    <w:p w:rsidR="00727EF0" w:rsidRDefault="00727EF0" w:rsidP="00727EF0">
      <w:pPr>
        <w:pStyle w:val="ListParagraph"/>
        <w:numPr>
          <w:ilvl w:val="0"/>
          <w:numId w:val="24"/>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Arising out of the various and ever increasing clashes of the activities of persons living in a common society, carrying on business in competition with fellow members of that society, owning property which may in any of a thousand ways affect the person or property of others, in short doing all the things that constitute modern living, there must of necessity be losses, or injuries of many kinds sustained as the result of the activities of others. The purpose of the law of torts is to adjust these losses and to afford compensation for injuries sustained by one person as the result of the conduct of another. </w:t>
      </w:r>
    </w:p>
    <w:p w:rsidR="00727EF0" w:rsidRDefault="00727EF0" w:rsidP="00727EF0">
      <w:pPr>
        <w:pStyle w:val="ListParagraph"/>
        <w:numPr>
          <w:ilvl w:val="0"/>
          <w:numId w:val="22"/>
        </w:numPr>
        <w:tabs>
          <w:tab w:val="left" w:pos="3994"/>
        </w:tabs>
        <w:rPr>
          <w:rFonts w:ascii="Times New Roman" w:hAnsi="Times New Roman" w:cs="Times New Roman"/>
          <w:sz w:val="24"/>
          <w:szCs w:val="24"/>
        </w:rPr>
      </w:pPr>
      <w:r w:rsidRPr="00123E44">
        <w:rPr>
          <w:rFonts w:ascii="Times New Roman" w:hAnsi="Times New Roman" w:cs="Times New Roman"/>
          <w:b/>
          <w:sz w:val="24"/>
          <w:szCs w:val="24"/>
        </w:rPr>
        <w:t>Weber and Durkheim</w:t>
      </w:r>
      <w:r>
        <w:rPr>
          <w:rFonts w:ascii="Times New Roman" w:hAnsi="Times New Roman" w:cs="Times New Roman"/>
          <w:sz w:val="24"/>
          <w:szCs w:val="24"/>
        </w:rPr>
        <w:t xml:space="preserve">: Development, differentiation, and growth in the complexity of societies bring forth a need for more law to govern the conduct and activities of individuals and organizations. </w:t>
      </w:r>
    </w:p>
    <w:p w:rsidR="00727EF0" w:rsidRDefault="00727EF0" w:rsidP="00727EF0">
      <w:pPr>
        <w:pStyle w:val="ListParagraph"/>
        <w:numPr>
          <w:ilvl w:val="0"/>
          <w:numId w:val="24"/>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At the same time, increasing emphasis and recognition of individual freedoms and rights, and consequent changes in the norms of society can give rise to new tort litigation. </w:t>
      </w:r>
    </w:p>
    <w:p w:rsidR="00727EF0" w:rsidRDefault="00727EF0" w:rsidP="00727EF0">
      <w:pPr>
        <w:pStyle w:val="ListParagraph"/>
        <w:numPr>
          <w:ilvl w:val="0"/>
          <w:numId w:val="22"/>
        </w:numPr>
        <w:tabs>
          <w:tab w:val="left" w:pos="3994"/>
        </w:tabs>
        <w:rPr>
          <w:rFonts w:ascii="Times New Roman" w:hAnsi="Times New Roman" w:cs="Times New Roman"/>
          <w:sz w:val="24"/>
          <w:szCs w:val="24"/>
        </w:rPr>
      </w:pPr>
      <w:r>
        <w:rPr>
          <w:rFonts w:ascii="Times New Roman" w:hAnsi="Times New Roman" w:cs="Times New Roman"/>
          <w:sz w:val="24"/>
          <w:szCs w:val="24"/>
        </w:rPr>
        <w:t>For example, tort law has recently proposed as a weapon in the battle against domestic violence, as a broader means of holding the abusing partner accountable for both past and present actions.</w:t>
      </w:r>
    </w:p>
    <w:p w:rsidR="00727EF0" w:rsidRDefault="00727EF0" w:rsidP="00727EF0">
      <w:pPr>
        <w:pStyle w:val="ListParagraph"/>
        <w:numPr>
          <w:ilvl w:val="0"/>
          <w:numId w:val="22"/>
        </w:numPr>
        <w:tabs>
          <w:tab w:val="left" w:pos="3994"/>
        </w:tabs>
        <w:rPr>
          <w:rFonts w:ascii="Times New Roman" w:hAnsi="Times New Roman" w:cs="Times New Roman"/>
          <w:sz w:val="24"/>
          <w:szCs w:val="24"/>
        </w:rPr>
      </w:pPr>
      <w:r>
        <w:rPr>
          <w:rFonts w:ascii="Times New Roman" w:hAnsi="Times New Roman" w:cs="Times New Roman"/>
          <w:sz w:val="24"/>
          <w:szCs w:val="24"/>
        </w:rPr>
        <w:t>Similarly the rapid growth of computers and other forms of information technology has given rise to cyber-torts related to the responsibilities and duties of care of manufacturers and users of information technology.</w:t>
      </w:r>
    </w:p>
    <w:p w:rsidR="00727EF0" w:rsidRDefault="00727EF0" w:rsidP="00727EF0">
      <w:pPr>
        <w:pStyle w:val="ListParagraph"/>
        <w:numPr>
          <w:ilvl w:val="0"/>
          <w:numId w:val="22"/>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In Canada, compensation for former students of Indian Residential Schools, for victims of 9/11, and the victims of the “tainted blood” scandal, and claims against tobacco companies for negligent marketing are new challenges that will be addressed by the tort law system, along with terrorism, and illness and deaths from dangerous products. </w:t>
      </w:r>
    </w:p>
    <w:p w:rsidR="00727EF0" w:rsidRDefault="00727EF0" w:rsidP="00727EF0">
      <w:pPr>
        <w:tabs>
          <w:tab w:val="left" w:pos="3994"/>
        </w:tabs>
        <w:rPr>
          <w:rFonts w:ascii="Times New Roman" w:hAnsi="Times New Roman" w:cs="Times New Roman"/>
          <w:b/>
          <w:sz w:val="24"/>
          <w:szCs w:val="24"/>
        </w:rPr>
      </w:pPr>
      <w:r w:rsidRPr="00177495">
        <w:rPr>
          <w:rFonts w:ascii="Times New Roman" w:hAnsi="Times New Roman" w:cs="Times New Roman"/>
          <w:b/>
          <w:sz w:val="24"/>
          <w:szCs w:val="24"/>
        </w:rPr>
        <w:t xml:space="preserve">Tort Law as Normative Process </w:t>
      </w:r>
    </w:p>
    <w:p w:rsidR="00727EF0" w:rsidRPr="00177495" w:rsidRDefault="00727EF0" w:rsidP="00727EF0">
      <w:pPr>
        <w:pStyle w:val="ListParagraph"/>
        <w:numPr>
          <w:ilvl w:val="0"/>
          <w:numId w:val="25"/>
        </w:numPr>
        <w:tabs>
          <w:tab w:val="left" w:pos="3994"/>
        </w:tabs>
        <w:rPr>
          <w:rFonts w:ascii="Times New Roman" w:hAnsi="Times New Roman" w:cs="Times New Roman"/>
          <w:b/>
          <w:sz w:val="24"/>
          <w:szCs w:val="24"/>
        </w:rPr>
      </w:pPr>
      <w:r>
        <w:rPr>
          <w:rFonts w:ascii="Times New Roman" w:hAnsi="Times New Roman" w:cs="Times New Roman"/>
          <w:sz w:val="24"/>
          <w:szCs w:val="24"/>
        </w:rPr>
        <w:t xml:space="preserve">All law “gives effect to, mirrors, or is otherwise expressive of the prevailing social relations”. </w:t>
      </w:r>
    </w:p>
    <w:p w:rsidR="00727EF0" w:rsidRPr="00177495" w:rsidRDefault="00727EF0" w:rsidP="00727EF0">
      <w:pPr>
        <w:pStyle w:val="ListParagraph"/>
        <w:numPr>
          <w:ilvl w:val="0"/>
          <w:numId w:val="26"/>
        </w:numPr>
        <w:tabs>
          <w:tab w:val="left" w:pos="3994"/>
        </w:tabs>
        <w:rPr>
          <w:rFonts w:ascii="Times New Roman" w:hAnsi="Times New Roman" w:cs="Times New Roman"/>
          <w:b/>
          <w:sz w:val="24"/>
          <w:szCs w:val="24"/>
        </w:rPr>
      </w:pPr>
      <w:r>
        <w:rPr>
          <w:rFonts w:ascii="Times New Roman" w:hAnsi="Times New Roman" w:cs="Times New Roman"/>
          <w:sz w:val="24"/>
          <w:szCs w:val="24"/>
        </w:rPr>
        <w:t xml:space="preserve">Nowhere is this truer than in the case of tort law. In virtually all areas of social life, norms have been reinstitutionalized in the form of tort law principles governing individuals’ rights and responsibilities towards one another. </w:t>
      </w:r>
    </w:p>
    <w:p w:rsidR="00727EF0" w:rsidRPr="0040712A" w:rsidRDefault="00727EF0" w:rsidP="00727EF0">
      <w:pPr>
        <w:pStyle w:val="ListParagraph"/>
        <w:numPr>
          <w:ilvl w:val="0"/>
          <w:numId w:val="27"/>
        </w:numPr>
        <w:tabs>
          <w:tab w:val="left" w:pos="3994"/>
        </w:tabs>
        <w:rPr>
          <w:rFonts w:ascii="Times New Roman" w:hAnsi="Times New Roman" w:cs="Times New Roman"/>
          <w:b/>
          <w:sz w:val="24"/>
          <w:szCs w:val="24"/>
        </w:rPr>
      </w:pPr>
      <w:r>
        <w:rPr>
          <w:rFonts w:ascii="Times New Roman" w:hAnsi="Times New Roman" w:cs="Times New Roman"/>
          <w:sz w:val="24"/>
          <w:szCs w:val="24"/>
        </w:rPr>
        <w:t>Tort law is an important catalyst for social cohesion in modern society. The tort law system provides a means for individual justice according to social norms of responsibility and duty to others.</w:t>
      </w:r>
    </w:p>
    <w:p w:rsidR="00727EF0" w:rsidRPr="005F30BD" w:rsidRDefault="00727EF0" w:rsidP="00727EF0">
      <w:pPr>
        <w:pStyle w:val="ListParagraph"/>
        <w:numPr>
          <w:ilvl w:val="0"/>
          <w:numId w:val="27"/>
        </w:numPr>
        <w:tabs>
          <w:tab w:val="left" w:pos="3994"/>
        </w:tabs>
        <w:rPr>
          <w:rFonts w:ascii="Times New Roman" w:hAnsi="Times New Roman" w:cs="Times New Roman"/>
          <w:b/>
          <w:sz w:val="24"/>
          <w:szCs w:val="24"/>
        </w:rPr>
      </w:pPr>
      <w:r>
        <w:rPr>
          <w:rFonts w:ascii="Times New Roman" w:hAnsi="Times New Roman" w:cs="Times New Roman"/>
          <w:sz w:val="24"/>
          <w:szCs w:val="24"/>
        </w:rPr>
        <w:t xml:space="preserve">The outcomes of tort cases depend for their acceptance on a general belief or consensus among members of the public that justice has been done. </w:t>
      </w:r>
    </w:p>
    <w:p w:rsidR="00727EF0" w:rsidRPr="005F30BD" w:rsidRDefault="00727EF0" w:rsidP="00727EF0">
      <w:pPr>
        <w:pStyle w:val="ListParagraph"/>
        <w:numPr>
          <w:ilvl w:val="0"/>
          <w:numId w:val="26"/>
        </w:numPr>
        <w:tabs>
          <w:tab w:val="left" w:pos="3994"/>
        </w:tabs>
        <w:rPr>
          <w:rFonts w:ascii="Times New Roman" w:hAnsi="Times New Roman" w:cs="Times New Roman"/>
          <w:b/>
          <w:sz w:val="24"/>
          <w:szCs w:val="24"/>
        </w:rPr>
      </w:pPr>
      <w:r>
        <w:rPr>
          <w:rFonts w:ascii="Times New Roman" w:hAnsi="Times New Roman" w:cs="Times New Roman"/>
          <w:sz w:val="24"/>
          <w:szCs w:val="24"/>
        </w:rPr>
        <w:t>In this manner, the tort law system serves to connect individuals and the general public in a very direct and “consensus-building” way to social norms and laws surrounding individuals’ conduct rights, and responsibilities in society.</w:t>
      </w:r>
    </w:p>
    <w:p w:rsidR="00727EF0" w:rsidRPr="0046282C" w:rsidRDefault="00727EF0" w:rsidP="00727EF0">
      <w:pPr>
        <w:pStyle w:val="ListParagraph"/>
        <w:numPr>
          <w:ilvl w:val="0"/>
          <w:numId w:val="26"/>
        </w:numPr>
        <w:tabs>
          <w:tab w:val="left" w:pos="3994"/>
        </w:tabs>
        <w:rPr>
          <w:rFonts w:ascii="Times New Roman" w:hAnsi="Times New Roman" w:cs="Times New Roman"/>
          <w:b/>
          <w:sz w:val="24"/>
          <w:szCs w:val="24"/>
        </w:rPr>
      </w:pPr>
      <w:r w:rsidRPr="00C06133">
        <w:rPr>
          <w:rFonts w:ascii="Times New Roman" w:hAnsi="Times New Roman" w:cs="Times New Roman"/>
          <w:b/>
          <w:sz w:val="24"/>
          <w:szCs w:val="24"/>
        </w:rPr>
        <w:t>Durkheim:</w:t>
      </w:r>
      <w:r>
        <w:rPr>
          <w:rFonts w:ascii="Times New Roman" w:hAnsi="Times New Roman" w:cs="Times New Roman"/>
          <w:sz w:val="24"/>
          <w:szCs w:val="24"/>
        </w:rPr>
        <w:t xml:space="preserve"> Ceremonies like tort law court proceedings and decisions thus serve to bring together individuals to reaffirm collective sentiments of right and wrong, of justice, in society. </w:t>
      </w:r>
    </w:p>
    <w:p w:rsidR="00727EF0" w:rsidRPr="00197953" w:rsidRDefault="00727EF0" w:rsidP="00727EF0">
      <w:pPr>
        <w:pStyle w:val="ListParagraph"/>
        <w:numPr>
          <w:ilvl w:val="0"/>
          <w:numId w:val="28"/>
        </w:numPr>
        <w:tabs>
          <w:tab w:val="left" w:pos="3994"/>
        </w:tabs>
        <w:rPr>
          <w:rFonts w:ascii="Times New Roman" w:hAnsi="Times New Roman" w:cs="Times New Roman"/>
          <w:b/>
          <w:sz w:val="24"/>
          <w:szCs w:val="24"/>
        </w:rPr>
      </w:pPr>
      <w:r>
        <w:rPr>
          <w:rFonts w:ascii="Times New Roman" w:hAnsi="Times New Roman" w:cs="Times New Roman"/>
          <w:b/>
          <w:sz w:val="24"/>
          <w:szCs w:val="24"/>
        </w:rPr>
        <w:t xml:space="preserve">Tort and Inequality: </w:t>
      </w:r>
      <w:r>
        <w:rPr>
          <w:rFonts w:ascii="Times New Roman" w:hAnsi="Times New Roman" w:cs="Times New Roman"/>
          <w:sz w:val="24"/>
          <w:szCs w:val="24"/>
        </w:rPr>
        <w:t xml:space="preserve">The Tort law system serves to redress some of the inequalities in power between individual plaintiffs and large corporate defendants, providing at least in part a mechanism for the powerless to be heard and even compensated for the wrongs that have been done to them. </w:t>
      </w:r>
    </w:p>
    <w:p w:rsidR="00727EF0" w:rsidRPr="00197953" w:rsidRDefault="00727EF0" w:rsidP="00727EF0">
      <w:pPr>
        <w:pStyle w:val="ListParagraph"/>
        <w:tabs>
          <w:tab w:val="left" w:pos="3994"/>
        </w:tabs>
        <w:rPr>
          <w:rFonts w:ascii="Times New Roman" w:hAnsi="Times New Roman" w:cs="Times New Roman"/>
          <w:b/>
          <w:sz w:val="24"/>
          <w:szCs w:val="24"/>
        </w:rPr>
      </w:pPr>
    </w:p>
    <w:p w:rsidR="00727EF0" w:rsidRDefault="00727EF0" w:rsidP="00727EF0">
      <w:pPr>
        <w:pStyle w:val="ListParagraph"/>
        <w:numPr>
          <w:ilvl w:val="0"/>
          <w:numId w:val="28"/>
        </w:numPr>
        <w:tabs>
          <w:tab w:val="left" w:pos="3994"/>
        </w:tabs>
        <w:rPr>
          <w:rFonts w:ascii="Times New Roman" w:hAnsi="Times New Roman" w:cs="Times New Roman"/>
          <w:sz w:val="24"/>
          <w:szCs w:val="24"/>
        </w:rPr>
      </w:pPr>
      <w:r w:rsidRPr="00DD439A">
        <w:rPr>
          <w:rFonts w:ascii="Times New Roman" w:hAnsi="Times New Roman" w:cs="Times New Roman"/>
          <w:sz w:val="24"/>
          <w:szCs w:val="24"/>
        </w:rPr>
        <w:t>Disputes between Individuals and Organizations</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sidRPr="00DD439A">
        <w:rPr>
          <w:rFonts w:ascii="Times New Roman" w:hAnsi="Times New Roman" w:cs="Times New Roman"/>
          <w:b/>
          <w:sz w:val="24"/>
          <w:szCs w:val="24"/>
        </w:rPr>
        <w:t>Marc Galanter</w:t>
      </w:r>
      <w:r>
        <w:rPr>
          <w:rFonts w:ascii="Times New Roman" w:hAnsi="Times New Roman" w:cs="Times New Roman"/>
          <w:sz w:val="24"/>
          <w:szCs w:val="24"/>
        </w:rPr>
        <w:t>: In general, organizations are more successful as both plaintiffs and defendants than are individuals.</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Galanter’s conclusion is supported by the Wal-Mart example and reinforced by Donald Black’s contention that law and organization are inversely related: Law is greater towards less organization. </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Pr>
          <w:rFonts w:ascii="Times New Roman" w:hAnsi="Times New Roman" w:cs="Times New Roman"/>
          <w:sz w:val="24"/>
          <w:szCs w:val="24"/>
        </w:rPr>
        <w:t>Over one-half of the plaintiffs in civil cases in the United States are organizations, and two-thirds of the defendants are individuals.</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Organizations win more often than individuals. </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Pr>
          <w:rFonts w:ascii="Times New Roman" w:hAnsi="Times New Roman" w:cs="Times New Roman"/>
          <w:sz w:val="24"/>
          <w:szCs w:val="24"/>
        </w:rPr>
        <w:t>In small-claims courts, as well, more organizations sue individuals than the other way around. In these instances, the plaintiffs nearly always win.</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Pr>
          <w:rFonts w:ascii="Times New Roman" w:hAnsi="Times New Roman" w:cs="Times New Roman"/>
          <w:sz w:val="24"/>
          <w:szCs w:val="24"/>
        </w:rPr>
        <w:t>Moreover, if an organization loses its case against an individual, it is more likely to appeal, and, if it does, it is more likely to win a reversal.</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Pr>
          <w:rFonts w:ascii="Times New Roman" w:hAnsi="Times New Roman" w:cs="Times New Roman"/>
          <w:sz w:val="24"/>
          <w:szCs w:val="24"/>
        </w:rPr>
        <w:t xml:space="preserve">Organization, as Black notes, provides </w:t>
      </w:r>
      <w:r w:rsidR="000B13D8">
        <w:rPr>
          <w:rFonts w:ascii="Times New Roman" w:hAnsi="Times New Roman" w:cs="Times New Roman"/>
          <w:sz w:val="24"/>
          <w:szCs w:val="24"/>
        </w:rPr>
        <w:t>immunity</w:t>
      </w:r>
      <w:r>
        <w:rPr>
          <w:rFonts w:ascii="Times New Roman" w:hAnsi="Times New Roman" w:cs="Times New Roman"/>
          <w:sz w:val="24"/>
          <w:szCs w:val="24"/>
        </w:rPr>
        <w:t xml:space="preserve"> from law and “an offense committed by an organization or its representative is less serious than an offense by an individual on his own, and the more organized the organization, the less serious it is”.</w:t>
      </w:r>
    </w:p>
    <w:p w:rsidR="00727EF0" w:rsidRDefault="00727EF0" w:rsidP="00727EF0">
      <w:pPr>
        <w:pStyle w:val="ListParagraph"/>
        <w:numPr>
          <w:ilvl w:val="0"/>
          <w:numId w:val="29"/>
        </w:numPr>
        <w:tabs>
          <w:tab w:val="left" w:pos="3994"/>
        </w:tabs>
        <w:rPr>
          <w:rFonts w:ascii="Times New Roman" w:hAnsi="Times New Roman" w:cs="Times New Roman"/>
          <w:sz w:val="24"/>
          <w:szCs w:val="24"/>
        </w:rPr>
      </w:pPr>
      <w:r>
        <w:rPr>
          <w:rFonts w:ascii="Times New Roman" w:hAnsi="Times New Roman" w:cs="Times New Roman"/>
          <w:sz w:val="24"/>
          <w:szCs w:val="24"/>
        </w:rPr>
        <w:t>Although organizations have a greater chance</w:t>
      </w:r>
      <w:r w:rsidRPr="00CD6F14">
        <w:rPr>
          <w:rFonts w:ascii="Times New Roman" w:hAnsi="Times New Roman" w:cs="Times New Roman"/>
          <w:sz w:val="24"/>
          <w:szCs w:val="24"/>
        </w:rPr>
        <w:t xml:space="preserve"> </w:t>
      </w:r>
      <w:r>
        <w:rPr>
          <w:rFonts w:ascii="Times New Roman" w:hAnsi="Times New Roman" w:cs="Times New Roman"/>
          <w:sz w:val="24"/>
          <w:szCs w:val="24"/>
        </w:rPr>
        <w:t>of winning and a higher frequency of initiating lawsuits, it does not mean that individuals do not sue organizations. On the contrary, individuals are increasingly taking their disputes with organization to courts.</w:t>
      </w:r>
    </w:p>
    <w:p w:rsidR="00727EF0" w:rsidRDefault="00727EF0" w:rsidP="00727EF0">
      <w:pPr>
        <w:pStyle w:val="ListParagraph"/>
        <w:numPr>
          <w:ilvl w:val="0"/>
          <w:numId w:val="30"/>
        </w:numPr>
        <w:tabs>
          <w:tab w:val="left" w:pos="3994"/>
        </w:tabs>
        <w:rPr>
          <w:rFonts w:ascii="Times New Roman" w:hAnsi="Times New Roman" w:cs="Times New Roman"/>
          <w:sz w:val="24"/>
          <w:szCs w:val="24"/>
        </w:rPr>
      </w:pPr>
      <w:r>
        <w:rPr>
          <w:rFonts w:ascii="Times New Roman" w:hAnsi="Times New Roman" w:cs="Times New Roman"/>
          <w:sz w:val="24"/>
          <w:szCs w:val="24"/>
        </w:rPr>
        <w:t>Example of Toronto-Dominion Black and mandatory drug-testing policy for both newly hired and returning employees in 1990.</w:t>
      </w:r>
    </w:p>
    <w:p w:rsidR="00727EF0" w:rsidRDefault="00727EF0" w:rsidP="00727EF0">
      <w:pPr>
        <w:pStyle w:val="ListParagraph"/>
        <w:numPr>
          <w:ilvl w:val="0"/>
          <w:numId w:val="30"/>
        </w:numPr>
        <w:tabs>
          <w:tab w:val="left" w:pos="3994"/>
        </w:tabs>
        <w:rPr>
          <w:rFonts w:ascii="Times New Roman" w:hAnsi="Times New Roman" w:cs="Times New Roman"/>
          <w:sz w:val="24"/>
          <w:szCs w:val="24"/>
        </w:rPr>
      </w:pPr>
      <w:r>
        <w:rPr>
          <w:rFonts w:ascii="Times New Roman" w:hAnsi="Times New Roman" w:cs="Times New Roman"/>
          <w:sz w:val="24"/>
          <w:szCs w:val="24"/>
        </w:rPr>
        <w:t>Plaintiffs filed complaint with the Canadian Human Rights Tribunal that the policy constituted discrimination on the basis of disability. Disability is defined as any previous or existing mental health or physical disability and includes disfigurement and previous or existing dependence on alcohol or a drug.</w:t>
      </w:r>
    </w:p>
    <w:p w:rsidR="00727EF0" w:rsidRDefault="00727EF0" w:rsidP="00727EF0">
      <w:pPr>
        <w:pStyle w:val="ListParagraph"/>
        <w:numPr>
          <w:ilvl w:val="0"/>
          <w:numId w:val="30"/>
        </w:numPr>
        <w:tabs>
          <w:tab w:val="left" w:pos="3994"/>
        </w:tabs>
        <w:rPr>
          <w:rFonts w:ascii="Times New Roman" w:hAnsi="Times New Roman" w:cs="Times New Roman"/>
          <w:sz w:val="24"/>
          <w:szCs w:val="24"/>
        </w:rPr>
      </w:pPr>
      <w:r>
        <w:rPr>
          <w:rFonts w:ascii="Times New Roman" w:hAnsi="Times New Roman" w:cs="Times New Roman"/>
          <w:sz w:val="24"/>
          <w:szCs w:val="24"/>
        </w:rPr>
        <w:t>The policy was found to be in violation of the Canadian Human Rights Act because it could discriminate against certain employees and because it was not sufficiently related to job performance.</w:t>
      </w:r>
    </w:p>
    <w:p w:rsidR="00727EF0" w:rsidRDefault="00727EF0" w:rsidP="00727EF0">
      <w:pPr>
        <w:pStyle w:val="ListParagraph"/>
        <w:numPr>
          <w:ilvl w:val="0"/>
          <w:numId w:val="30"/>
        </w:numPr>
        <w:tabs>
          <w:tab w:val="left" w:pos="3994"/>
        </w:tabs>
        <w:rPr>
          <w:rFonts w:ascii="Times New Roman" w:hAnsi="Times New Roman" w:cs="Times New Roman"/>
          <w:sz w:val="24"/>
          <w:szCs w:val="24"/>
        </w:rPr>
      </w:pPr>
      <w:r>
        <w:rPr>
          <w:rFonts w:ascii="Times New Roman" w:hAnsi="Times New Roman" w:cs="Times New Roman"/>
          <w:sz w:val="24"/>
          <w:szCs w:val="24"/>
        </w:rPr>
        <w:t>While drug test requirements by employees in the federal jurisdiction are normally considered to be discriminatory, “no law in Canada states that it is illegal for an employer to insist, before or after hiring, that an employee take a test to confirm the absence of drug use.</w:t>
      </w:r>
    </w:p>
    <w:p w:rsidR="00727EF0" w:rsidRDefault="00727EF0" w:rsidP="00727EF0">
      <w:pPr>
        <w:pStyle w:val="ListParagraph"/>
        <w:numPr>
          <w:ilvl w:val="0"/>
          <w:numId w:val="30"/>
        </w:numPr>
        <w:tabs>
          <w:tab w:val="left" w:pos="3994"/>
        </w:tabs>
        <w:rPr>
          <w:rFonts w:ascii="Times New Roman" w:hAnsi="Times New Roman" w:cs="Times New Roman"/>
          <w:sz w:val="24"/>
          <w:szCs w:val="24"/>
        </w:rPr>
      </w:pPr>
      <w:r>
        <w:rPr>
          <w:rFonts w:ascii="Times New Roman" w:hAnsi="Times New Roman" w:cs="Times New Roman"/>
          <w:sz w:val="24"/>
          <w:szCs w:val="24"/>
        </w:rPr>
        <w:t>There is also no constitutional protection against drug testing.</w:t>
      </w:r>
    </w:p>
    <w:p w:rsidR="00727EF0" w:rsidRPr="000B13D8" w:rsidRDefault="00727EF0" w:rsidP="00727EF0">
      <w:pPr>
        <w:pStyle w:val="ListParagraph"/>
        <w:numPr>
          <w:ilvl w:val="0"/>
          <w:numId w:val="30"/>
        </w:numPr>
        <w:tabs>
          <w:tab w:val="left" w:pos="3994"/>
        </w:tabs>
        <w:rPr>
          <w:rFonts w:ascii="Times New Roman" w:hAnsi="Times New Roman" w:cs="Times New Roman"/>
          <w:sz w:val="24"/>
          <w:szCs w:val="24"/>
        </w:rPr>
      </w:pPr>
      <w:r>
        <w:rPr>
          <w:rFonts w:ascii="Times New Roman" w:hAnsi="Times New Roman" w:cs="Times New Roman"/>
          <w:sz w:val="24"/>
          <w:szCs w:val="24"/>
        </w:rPr>
        <w:t>It all depends on whether freedom from drug use is a reasonable requirement of the job, and therefore whether human rights protections are infringed.</w:t>
      </w:r>
    </w:p>
    <w:p w:rsidR="00727EF0" w:rsidRPr="003F626B" w:rsidRDefault="00727EF0" w:rsidP="00727EF0">
      <w:pPr>
        <w:tabs>
          <w:tab w:val="left" w:pos="3994"/>
        </w:tabs>
        <w:rPr>
          <w:rFonts w:ascii="Times New Roman" w:hAnsi="Times New Roman" w:cs="Times New Roman"/>
          <w:b/>
          <w:sz w:val="24"/>
          <w:szCs w:val="24"/>
        </w:rPr>
      </w:pPr>
      <w:r w:rsidRPr="003F626B">
        <w:rPr>
          <w:rFonts w:ascii="Times New Roman" w:hAnsi="Times New Roman" w:cs="Times New Roman"/>
          <w:b/>
          <w:sz w:val="24"/>
          <w:szCs w:val="24"/>
        </w:rPr>
        <w:t xml:space="preserve">Liability: </w:t>
      </w:r>
      <w:r>
        <w:rPr>
          <w:rFonts w:ascii="Times New Roman" w:hAnsi="Times New Roman" w:cs="Times New Roman"/>
          <w:b/>
          <w:sz w:val="24"/>
          <w:szCs w:val="24"/>
        </w:rPr>
        <w:t xml:space="preserve"> </w:t>
      </w:r>
      <w:r>
        <w:rPr>
          <w:rFonts w:ascii="Times New Roman" w:hAnsi="Times New Roman" w:cs="Times New Roman"/>
          <w:sz w:val="24"/>
          <w:szCs w:val="24"/>
        </w:rPr>
        <w:t xml:space="preserve">Some are governed by statutes that do not require the plaintiff to prove that the defendant was at fault. Simply committing the act makes the person guilty. These are offense of </w:t>
      </w:r>
      <w:r w:rsidRPr="003F626B">
        <w:rPr>
          <w:rFonts w:ascii="Times New Roman" w:hAnsi="Times New Roman" w:cs="Times New Roman"/>
          <w:b/>
          <w:sz w:val="24"/>
          <w:szCs w:val="24"/>
        </w:rPr>
        <w:t>strict liability.</w:t>
      </w:r>
    </w:p>
    <w:p w:rsidR="00727EF0" w:rsidRDefault="00727EF0" w:rsidP="00727EF0">
      <w:pPr>
        <w:pStyle w:val="ListParagraph"/>
        <w:numPr>
          <w:ilvl w:val="0"/>
          <w:numId w:val="31"/>
        </w:numPr>
        <w:tabs>
          <w:tab w:val="left" w:pos="3994"/>
        </w:tabs>
        <w:rPr>
          <w:rFonts w:ascii="Times New Roman" w:hAnsi="Times New Roman" w:cs="Times New Roman"/>
          <w:sz w:val="24"/>
          <w:szCs w:val="24"/>
        </w:rPr>
      </w:pPr>
      <w:r w:rsidRPr="003F626B">
        <w:rPr>
          <w:rFonts w:ascii="Times New Roman" w:hAnsi="Times New Roman" w:cs="Times New Roman"/>
          <w:b/>
          <w:sz w:val="24"/>
          <w:szCs w:val="24"/>
        </w:rPr>
        <w:t>Vicarious liability</w:t>
      </w:r>
      <w:r>
        <w:rPr>
          <w:rFonts w:ascii="Times New Roman" w:hAnsi="Times New Roman" w:cs="Times New Roman"/>
          <w:sz w:val="24"/>
          <w:szCs w:val="24"/>
        </w:rPr>
        <w:t xml:space="preserve"> involves situations in </w:t>
      </w:r>
      <w:r w:rsidRPr="003F626B">
        <w:rPr>
          <w:rFonts w:ascii="Times New Roman" w:hAnsi="Times New Roman" w:cs="Times New Roman"/>
          <w:sz w:val="24"/>
          <w:szCs w:val="24"/>
        </w:rPr>
        <w:t>which a person is held responsible for the actions of others. Examples include people in your employ or under your command.</w:t>
      </w:r>
    </w:p>
    <w:p w:rsidR="00727EF0" w:rsidRDefault="00727EF0" w:rsidP="00727EF0">
      <w:pPr>
        <w:pStyle w:val="ListParagraph"/>
        <w:numPr>
          <w:ilvl w:val="0"/>
          <w:numId w:val="31"/>
        </w:numPr>
        <w:tabs>
          <w:tab w:val="left" w:pos="3994"/>
        </w:tabs>
        <w:rPr>
          <w:rFonts w:ascii="Times New Roman" w:hAnsi="Times New Roman" w:cs="Times New Roman"/>
          <w:sz w:val="24"/>
          <w:szCs w:val="24"/>
        </w:rPr>
      </w:pPr>
      <w:r w:rsidRPr="003F626B">
        <w:rPr>
          <w:rFonts w:ascii="Times New Roman" w:hAnsi="Times New Roman" w:cs="Times New Roman"/>
          <w:b/>
          <w:sz w:val="24"/>
          <w:szCs w:val="24"/>
        </w:rPr>
        <w:t>Joint liability</w:t>
      </w:r>
      <w:r>
        <w:rPr>
          <w:rFonts w:ascii="Times New Roman" w:hAnsi="Times New Roman" w:cs="Times New Roman"/>
          <w:sz w:val="24"/>
          <w:szCs w:val="24"/>
        </w:rPr>
        <w:t xml:space="preserve"> refers to situations in which several people are held as jointly responsible for the harm committed. Partners in business are generally responsible for each other’s wrongdoings.</w:t>
      </w:r>
    </w:p>
    <w:p w:rsidR="00727EF0" w:rsidRDefault="00727EF0" w:rsidP="00727EF0">
      <w:pPr>
        <w:pStyle w:val="ListParagraph"/>
        <w:numPr>
          <w:ilvl w:val="0"/>
          <w:numId w:val="31"/>
        </w:numPr>
        <w:tabs>
          <w:tab w:val="left" w:pos="3994"/>
        </w:tabs>
        <w:rPr>
          <w:rFonts w:ascii="Times New Roman" w:hAnsi="Times New Roman" w:cs="Times New Roman"/>
          <w:sz w:val="24"/>
          <w:szCs w:val="24"/>
        </w:rPr>
      </w:pPr>
      <w:r>
        <w:rPr>
          <w:rFonts w:ascii="Times New Roman" w:hAnsi="Times New Roman" w:cs="Times New Roman"/>
          <w:b/>
          <w:sz w:val="24"/>
          <w:szCs w:val="24"/>
        </w:rPr>
        <w:t xml:space="preserve">Premises Liability: </w:t>
      </w:r>
      <w:r>
        <w:rPr>
          <w:rFonts w:ascii="Times New Roman" w:hAnsi="Times New Roman" w:cs="Times New Roman"/>
          <w:sz w:val="24"/>
          <w:szCs w:val="24"/>
        </w:rPr>
        <w:t>The law generally requires that people who own or occupy property take due care to ensure that no one suffers injury or harm when on that property. Schools must put up barriers or signs if the floors have been recently washed and are slippery. Stairs must have guardrails. There must be an operating fire alarm system and adequate fire exits for students. People who have pools must have adequate fencing to ensure that children don’t wander in and drown.  And if they fail to live up to the standards they may be liable for any of kind injury that may occur.</w:t>
      </w:r>
    </w:p>
    <w:p w:rsidR="00727EF0" w:rsidRDefault="00727EF0" w:rsidP="00727EF0">
      <w:pPr>
        <w:pStyle w:val="ListParagraph"/>
        <w:numPr>
          <w:ilvl w:val="0"/>
          <w:numId w:val="32"/>
        </w:numPr>
        <w:tabs>
          <w:tab w:val="left" w:pos="3994"/>
        </w:tabs>
        <w:rPr>
          <w:rFonts w:ascii="Times New Roman" w:hAnsi="Times New Roman" w:cs="Times New Roman"/>
          <w:sz w:val="24"/>
          <w:szCs w:val="24"/>
        </w:rPr>
      </w:pPr>
      <w:r>
        <w:rPr>
          <w:rFonts w:ascii="Times New Roman" w:hAnsi="Times New Roman" w:cs="Times New Roman"/>
          <w:sz w:val="24"/>
          <w:szCs w:val="24"/>
        </w:rPr>
        <w:t>Example of Bullet proof glass barriers and bank robbery: People sue whoever has money and in this case the victim who was the plaintiff sued the bank because the bank did not follow the standard protocol required by banks which involves handing over the money when a robbery is taking place.</w:t>
      </w:r>
    </w:p>
    <w:p w:rsidR="00727EF0" w:rsidRDefault="00727EF0" w:rsidP="00727EF0">
      <w:pPr>
        <w:pStyle w:val="ListParagraph"/>
        <w:numPr>
          <w:ilvl w:val="0"/>
          <w:numId w:val="32"/>
        </w:numPr>
        <w:tabs>
          <w:tab w:val="left" w:pos="3994"/>
        </w:tabs>
        <w:rPr>
          <w:rFonts w:ascii="Times New Roman" w:hAnsi="Times New Roman" w:cs="Times New Roman"/>
          <w:sz w:val="24"/>
          <w:szCs w:val="24"/>
        </w:rPr>
      </w:pPr>
      <w:r>
        <w:rPr>
          <w:rFonts w:ascii="Times New Roman" w:hAnsi="Times New Roman" w:cs="Times New Roman"/>
          <w:sz w:val="24"/>
          <w:szCs w:val="24"/>
        </w:rPr>
        <w:t>The tellers at this bank were not sure about this standard protocol as a result of the bullet proof glass barriers and thus did not prevent the robber from shooting the plaintiff.</w:t>
      </w:r>
    </w:p>
    <w:p w:rsidR="00727EF0" w:rsidRDefault="00727EF0" w:rsidP="00727EF0">
      <w:pPr>
        <w:pStyle w:val="ListParagraph"/>
        <w:numPr>
          <w:ilvl w:val="0"/>
          <w:numId w:val="32"/>
        </w:numPr>
        <w:tabs>
          <w:tab w:val="left" w:pos="3994"/>
        </w:tabs>
        <w:rPr>
          <w:rFonts w:ascii="Times New Roman" w:hAnsi="Times New Roman" w:cs="Times New Roman"/>
          <w:sz w:val="24"/>
          <w:szCs w:val="24"/>
        </w:rPr>
      </w:pPr>
      <w:r>
        <w:rPr>
          <w:rFonts w:ascii="Times New Roman" w:hAnsi="Times New Roman" w:cs="Times New Roman"/>
          <w:sz w:val="24"/>
          <w:szCs w:val="24"/>
        </w:rPr>
        <w:t>Example of Note- pusher and bank robber: This plaintiff in this case did not follow the standard bank protocol of “doesn’t be a hero” and voluntarily exposed himself to risk by fighting the armed robber. Therefore the bank won against the plaintiff by establishing that there was prejudicial conduct (contributory negligence) on the part of the plaintiff.</w:t>
      </w:r>
    </w:p>
    <w:p w:rsidR="00727EF0" w:rsidRDefault="00727EF0" w:rsidP="00727EF0">
      <w:pPr>
        <w:pStyle w:val="ListParagraph"/>
        <w:tabs>
          <w:tab w:val="left" w:pos="3994"/>
        </w:tabs>
        <w:ind w:left="1440"/>
        <w:rPr>
          <w:rFonts w:ascii="Times New Roman" w:hAnsi="Times New Roman" w:cs="Times New Roman"/>
          <w:sz w:val="24"/>
          <w:szCs w:val="24"/>
        </w:rPr>
      </w:pPr>
    </w:p>
    <w:p w:rsidR="00727EF0" w:rsidRDefault="00727EF0" w:rsidP="00727EF0">
      <w:pPr>
        <w:pStyle w:val="ListParagraph"/>
        <w:numPr>
          <w:ilvl w:val="0"/>
          <w:numId w:val="33"/>
        </w:numPr>
        <w:tabs>
          <w:tab w:val="left" w:pos="3994"/>
        </w:tabs>
        <w:rPr>
          <w:rFonts w:ascii="Times New Roman" w:hAnsi="Times New Roman" w:cs="Times New Roman"/>
          <w:sz w:val="24"/>
          <w:szCs w:val="24"/>
        </w:rPr>
      </w:pPr>
      <w:r>
        <w:rPr>
          <w:rFonts w:ascii="Times New Roman" w:hAnsi="Times New Roman" w:cs="Times New Roman"/>
          <w:sz w:val="24"/>
          <w:szCs w:val="24"/>
        </w:rPr>
        <w:t>There is a duty to protect not only invited guests but also trespassers. There are instances where criminals have sued for being harmed by getting hurt on someone’s property. There is a duty to protect.</w:t>
      </w:r>
    </w:p>
    <w:p w:rsidR="00727EF0" w:rsidRDefault="00727EF0" w:rsidP="00727EF0">
      <w:pPr>
        <w:pStyle w:val="ListParagraph"/>
        <w:numPr>
          <w:ilvl w:val="0"/>
          <w:numId w:val="33"/>
        </w:numPr>
        <w:tabs>
          <w:tab w:val="left" w:pos="3994"/>
        </w:tabs>
        <w:rPr>
          <w:rFonts w:ascii="Times New Roman" w:hAnsi="Times New Roman" w:cs="Times New Roman"/>
          <w:sz w:val="24"/>
          <w:szCs w:val="24"/>
        </w:rPr>
      </w:pPr>
      <w:r w:rsidRPr="00FA3A80">
        <w:rPr>
          <w:rFonts w:ascii="Times New Roman" w:hAnsi="Times New Roman" w:cs="Times New Roman"/>
          <w:b/>
          <w:sz w:val="24"/>
          <w:szCs w:val="24"/>
        </w:rPr>
        <w:t>Host Liability</w:t>
      </w:r>
      <w:r>
        <w:rPr>
          <w:rFonts w:ascii="Times New Roman" w:hAnsi="Times New Roman" w:cs="Times New Roman"/>
          <w:sz w:val="24"/>
          <w:szCs w:val="24"/>
        </w:rPr>
        <w:t>: You can always be liable if you are a host to a party. You can be responsible for getting people intoxicated that they are clearly impaired from driving but you still let do so.</w:t>
      </w:r>
    </w:p>
    <w:p w:rsidR="000B13D8" w:rsidRPr="000B13D8" w:rsidRDefault="00727EF0" w:rsidP="000B13D8">
      <w:pPr>
        <w:pStyle w:val="ListParagraph"/>
        <w:numPr>
          <w:ilvl w:val="0"/>
          <w:numId w:val="33"/>
        </w:numPr>
        <w:tabs>
          <w:tab w:val="left" w:pos="3994"/>
        </w:tabs>
        <w:rPr>
          <w:rFonts w:ascii="Times New Roman" w:hAnsi="Times New Roman" w:cs="Times New Roman"/>
          <w:sz w:val="24"/>
          <w:szCs w:val="24"/>
        </w:rPr>
      </w:pPr>
      <w:r>
        <w:rPr>
          <w:rFonts w:ascii="Times New Roman" w:hAnsi="Times New Roman" w:cs="Times New Roman"/>
          <w:b/>
          <w:sz w:val="24"/>
          <w:szCs w:val="24"/>
        </w:rPr>
        <w:t>Innkeeper’s liability</w:t>
      </w:r>
      <w:r w:rsidRPr="00B24A49">
        <w:rPr>
          <w:rFonts w:ascii="Times New Roman" w:hAnsi="Times New Roman" w:cs="Times New Roman"/>
          <w:sz w:val="24"/>
          <w:szCs w:val="24"/>
        </w:rPr>
        <w:t>:</w:t>
      </w:r>
      <w:r>
        <w:rPr>
          <w:rFonts w:ascii="Times New Roman" w:hAnsi="Times New Roman" w:cs="Times New Roman"/>
          <w:sz w:val="24"/>
          <w:szCs w:val="24"/>
        </w:rPr>
        <w:t xml:space="preserve"> This is found in legislation.</w:t>
      </w:r>
      <w:r w:rsidR="000B13D8" w:rsidRPr="000B13D8">
        <w:rPr>
          <w:rFonts w:ascii="Arial" w:hAnsi="Arial" w:cs="Arial"/>
          <w:color w:val="000000"/>
          <w:sz w:val="20"/>
          <w:szCs w:val="20"/>
          <w:shd w:val="clear" w:color="auto" w:fill="FFFFFF"/>
        </w:rPr>
        <w:t xml:space="preserve"> </w:t>
      </w:r>
      <w:r w:rsidR="000B13D8" w:rsidRPr="000B13D8">
        <w:rPr>
          <w:rFonts w:ascii="Times New Roman" w:hAnsi="Times New Roman" w:cs="Times New Roman"/>
          <w:sz w:val="24"/>
          <w:szCs w:val="24"/>
        </w:rPr>
        <w:t>An innkeeper has an obligation to reasonably protect guests from injury while at the inn. This duty of reasonable care mandates vigilance in protection of the guests from foreseeable risks. The innkeeper must protect guests from injury at the hands of other guests and from assaults and negligent acts of his or her own employees. The obligation to protect guests is not met merely by warning them, but must be coupled with a policing of the premises.</w:t>
      </w:r>
    </w:p>
    <w:p w:rsidR="00727EF0" w:rsidRPr="00FA3A80" w:rsidRDefault="00727EF0" w:rsidP="00727EF0">
      <w:pPr>
        <w:pStyle w:val="ListParagraph"/>
        <w:numPr>
          <w:ilvl w:val="0"/>
          <w:numId w:val="33"/>
        </w:numPr>
        <w:tabs>
          <w:tab w:val="left" w:pos="3994"/>
        </w:tabs>
        <w:rPr>
          <w:rFonts w:ascii="Times New Roman" w:hAnsi="Times New Roman" w:cs="Times New Roman"/>
          <w:sz w:val="24"/>
          <w:szCs w:val="24"/>
        </w:rPr>
      </w:pPr>
      <w:r>
        <w:rPr>
          <w:rFonts w:ascii="Times New Roman" w:hAnsi="Times New Roman" w:cs="Times New Roman"/>
          <w:b/>
          <w:sz w:val="24"/>
          <w:szCs w:val="24"/>
        </w:rPr>
        <w:t>Product Liability</w:t>
      </w:r>
      <w:r w:rsidRPr="00B24A49">
        <w:rPr>
          <w:rFonts w:ascii="Times New Roman" w:hAnsi="Times New Roman" w:cs="Times New Roman"/>
          <w:sz w:val="24"/>
          <w:szCs w:val="24"/>
        </w:rPr>
        <w:t>:</w:t>
      </w:r>
      <w:r>
        <w:rPr>
          <w:rFonts w:ascii="Times New Roman" w:hAnsi="Times New Roman" w:cs="Times New Roman"/>
          <w:sz w:val="24"/>
          <w:szCs w:val="24"/>
        </w:rPr>
        <w:t xml:space="preserve"> Manufacturers can be sued if there products are defective and resulting injury. The onus is on the manufacturer to show they have used due care in producing the product. Hence warning labels are used. </w:t>
      </w:r>
    </w:p>
    <w:p w:rsidR="0062000A" w:rsidRDefault="0062000A">
      <w:pPr>
        <w:rPr>
          <w:rFonts w:ascii="Times New Roman" w:hAnsi="Times New Roman" w:cs="Times New Roman"/>
          <w:b/>
          <w:sz w:val="24"/>
          <w:szCs w:val="24"/>
        </w:rPr>
      </w:pPr>
      <w:r w:rsidRPr="0062000A">
        <w:rPr>
          <w:rFonts w:ascii="Times New Roman" w:hAnsi="Times New Roman" w:cs="Times New Roman"/>
          <w:b/>
          <w:sz w:val="24"/>
          <w:szCs w:val="24"/>
        </w:rPr>
        <w:t>The Increase in Tort Actions</w:t>
      </w:r>
    </w:p>
    <w:p w:rsidR="0062000A" w:rsidRPr="0062000A" w:rsidRDefault="0062000A" w:rsidP="0062000A">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Tort litigation has increased in both the United States and Canada over the years. There are s</w:t>
      </w:r>
      <w:r w:rsidR="00E95F86">
        <w:rPr>
          <w:rFonts w:ascii="Times New Roman" w:hAnsi="Times New Roman" w:cs="Times New Roman"/>
          <w:sz w:val="24"/>
          <w:szCs w:val="24"/>
        </w:rPr>
        <w:t xml:space="preserve">ix </w:t>
      </w:r>
      <w:r w:rsidR="003076FA">
        <w:rPr>
          <w:rFonts w:ascii="Times New Roman" w:hAnsi="Times New Roman" w:cs="Times New Roman"/>
          <w:sz w:val="24"/>
          <w:szCs w:val="24"/>
        </w:rPr>
        <w:t xml:space="preserve">reasons for </w:t>
      </w:r>
      <w:r w:rsidR="000B37B5">
        <w:rPr>
          <w:rFonts w:ascii="Times New Roman" w:hAnsi="Times New Roman" w:cs="Times New Roman"/>
          <w:sz w:val="24"/>
          <w:szCs w:val="24"/>
        </w:rPr>
        <w:t>this</w:t>
      </w:r>
      <w:r>
        <w:rPr>
          <w:rFonts w:ascii="Times New Roman" w:hAnsi="Times New Roman" w:cs="Times New Roman"/>
          <w:sz w:val="24"/>
          <w:szCs w:val="24"/>
        </w:rPr>
        <w:t>:</w:t>
      </w:r>
    </w:p>
    <w:p w:rsidR="0062000A" w:rsidRPr="0062000A" w:rsidRDefault="000B13D8" w:rsidP="0062000A">
      <w:pPr>
        <w:pStyle w:val="ListParagraph"/>
        <w:numPr>
          <w:ilvl w:val="0"/>
          <w:numId w:val="35"/>
        </w:numPr>
        <w:rPr>
          <w:rFonts w:ascii="Times New Roman" w:hAnsi="Times New Roman" w:cs="Times New Roman"/>
          <w:b/>
          <w:sz w:val="24"/>
          <w:szCs w:val="24"/>
        </w:rPr>
      </w:pPr>
      <w:r>
        <w:rPr>
          <w:rFonts w:ascii="Times New Roman" w:hAnsi="Times New Roman" w:cs="Times New Roman"/>
          <w:b/>
          <w:sz w:val="24"/>
          <w:szCs w:val="24"/>
        </w:rPr>
        <w:t>Changing values and attitudes:</w:t>
      </w:r>
      <w:r w:rsidR="0062000A">
        <w:rPr>
          <w:rFonts w:ascii="Times New Roman" w:hAnsi="Times New Roman" w:cs="Times New Roman"/>
          <w:sz w:val="24"/>
          <w:szCs w:val="24"/>
        </w:rPr>
        <w:t xml:space="preserve"> Previously, lawsuits were seen as stigmatizing whereas they are now seen as improving society and protecting people against organizations.</w:t>
      </w:r>
    </w:p>
    <w:p w:rsidR="0062000A" w:rsidRPr="0062000A" w:rsidRDefault="000B13D8" w:rsidP="0062000A">
      <w:pPr>
        <w:pStyle w:val="ListParagraph"/>
        <w:numPr>
          <w:ilvl w:val="0"/>
          <w:numId w:val="35"/>
        </w:numPr>
        <w:rPr>
          <w:rFonts w:ascii="Times New Roman" w:hAnsi="Times New Roman" w:cs="Times New Roman"/>
          <w:b/>
          <w:sz w:val="24"/>
          <w:szCs w:val="24"/>
        </w:rPr>
      </w:pPr>
      <w:r w:rsidRPr="000B13D8">
        <w:rPr>
          <w:rFonts w:ascii="Times New Roman" w:hAnsi="Times New Roman" w:cs="Times New Roman"/>
          <w:b/>
          <w:sz w:val="24"/>
          <w:szCs w:val="24"/>
        </w:rPr>
        <w:t>Duty of Care:</w:t>
      </w:r>
      <w:r>
        <w:rPr>
          <w:rFonts w:ascii="Times New Roman" w:hAnsi="Times New Roman" w:cs="Times New Roman"/>
          <w:sz w:val="24"/>
          <w:szCs w:val="24"/>
        </w:rPr>
        <w:t xml:space="preserve"> </w:t>
      </w:r>
      <w:r w:rsidR="0062000A">
        <w:rPr>
          <w:rFonts w:ascii="Times New Roman" w:hAnsi="Times New Roman" w:cs="Times New Roman"/>
          <w:sz w:val="24"/>
          <w:szCs w:val="24"/>
        </w:rPr>
        <w:t xml:space="preserve">The second reason is duty of care which makes it easier to accuse someone of being at fault or for failing to act (omission) very easily. </w:t>
      </w:r>
    </w:p>
    <w:p w:rsidR="0062000A" w:rsidRPr="0062000A" w:rsidRDefault="000B13D8" w:rsidP="0062000A">
      <w:pPr>
        <w:pStyle w:val="ListParagraph"/>
        <w:numPr>
          <w:ilvl w:val="0"/>
          <w:numId w:val="35"/>
        </w:numPr>
        <w:rPr>
          <w:rFonts w:ascii="Times New Roman" w:hAnsi="Times New Roman" w:cs="Times New Roman"/>
          <w:b/>
          <w:sz w:val="24"/>
          <w:szCs w:val="24"/>
        </w:rPr>
      </w:pPr>
      <w:r w:rsidRPr="000B13D8">
        <w:rPr>
          <w:rFonts w:ascii="Times New Roman" w:hAnsi="Times New Roman" w:cs="Times New Roman"/>
          <w:b/>
          <w:sz w:val="24"/>
          <w:szCs w:val="24"/>
        </w:rPr>
        <w:t>Contingency fees:</w:t>
      </w:r>
      <w:r>
        <w:rPr>
          <w:rFonts w:ascii="Times New Roman" w:hAnsi="Times New Roman" w:cs="Times New Roman"/>
          <w:sz w:val="24"/>
          <w:szCs w:val="24"/>
        </w:rPr>
        <w:t xml:space="preserve"> </w:t>
      </w:r>
      <w:r w:rsidR="0062000A">
        <w:rPr>
          <w:rFonts w:ascii="Times New Roman" w:hAnsi="Times New Roman" w:cs="Times New Roman"/>
          <w:sz w:val="24"/>
          <w:szCs w:val="24"/>
        </w:rPr>
        <w:t>Contingency fees have greatly increased too and lawyers receive 30 to 40 % of the gain from the victory.</w:t>
      </w:r>
    </w:p>
    <w:p w:rsidR="0062000A" w:rsidRPr="0062000A" w:rsidRDefault="000B13D8" w:rsidP="0062000A">
      <w:pPr>
        <w:pStyle w:val="ListParagraph"/>
        <w:numPr>
          <w:ilvl w:val="0"/>
          <w:numId w:val="35"/>
        </w:numPr>
        <w:rPr>
          <w:rFonts w:ascii="Times New Roman" w:hAnsi="Times New Roman" w:cs="Times New Roman"/>
          <w:b/>
          <w:sz w:val="24"/>
          <w:szCs w:val="24"/>
        </w:rPr>
      </w:pPr>
      <w:r w:rsidRPr="000B13D8">
        <w:rPr>
          <w:rFonts w:ascii="Times New Roman" w:hAnsi="Times New Roman" w:cs="Times New Roman"/>
          <w:b/>
          <w:sz w:val="24"/>
          <w:szCs w:val="24"/>
        </w:rPr>
        <w:t>Other motifs:</w:t>
      </w:r>
      <w:r>
        <w:rPr>
          <w:rFonts w:ascii="Times New Roman" w:hAnsi="Times New Roman" w:cs="Times New Roman"/>
          <w:sz w:val="24"/>
          <w:szCs w:val="24"/>
        </w:rPr>
        <w:t xml:space="preserve"> </w:t>
      </w:r>
      <w:r w:rsidR="0062000A">
        <w:rPr>
          <w:rFonts w:ascii="Times New Roman" w:hAnsi="Times New Roman" w:cs="Times New Roman"/>
          <w:sz w:val="24"/>
          <w:szCs w:val="24"/>
        </w:rPr>
        <w:t>Torts are not only used to receive financial compensation for damages but also for the sake of moral victory and venge</w:t>
      </w:r>
      <w:r w:rsidR="009B46A7">
        <w:rPr>
          <w:rFonts w:ascii="Times New Roman" w:hAnsi="Times New Roman" w:cs="Times New Roman"/>
          <w:sz w:val="24"/>
          <w:szCs w:val="24"/>
        </w:rPr>
        <w:t>ance. This is particularly true</w:t>
      </w:r>
      <w:r w:rsidR="0062000A">
        <w:rPr>
          <w:rFonts w:ascii="Times New Roman" w:hAnsi="Times New Roman" w:cs="Times New Roman"/>
          <w:sz w:val="24"/>
          <w:szCs w:val="24"/>
        </w:rPr>
        <w:t xml:space="preserve"> in civil cases involving divorce and other kinds of family disputes.</w:t>
      </w:r>
    </w:p>
    <w:p w:rsidR="009B46A7" w:rsidRPr="009B46A7" w:rsidRDefault="000B13D8" w:rsidP="0062000A">
      <w:pPr>
        <w:pStyle w:val="ListParagraph"/>
        <w:numPr>
          <w:ilvl w:val="0"/>
          <w:numId w:val="35"/>
        </w:numPr>
        <w:rPr>
          <w:rFonts w:ascii="Times New Roman" w:hAnsi="Times New Roman" w:cs="Times New Roman"/>
          <w:b/>
          <w:sz w:val="24"/>
          <w:szCs w:val="24"/>
        </w:rPr>
      </w:pPr>
      <w:r w:rsidRPr="000B13D8">
        <w:rPr>
          <w:rFonts w:ascii="Times New Roman" w:hAnsi="Times New Roman" w:cs="Times New Roman"/>
          <w:b/>
          <w:sz w:val="24"/>
          <w:szCs w:val="24"/>
        </w:rPr>
        <w:t xml:space="preserve"> Entitlement Mentality:</w:t>
      </w:r>
      <w:r>
        <w:rPr>
          <w:rFonts w:ascii="Times New Roman" w:hAnsi="Times New Roman" w:cs="Times New Roman"/>
          <w:sz w:val="24"/>
          <w:szCs w:val="24"/>
        </w:rPr>
        <w:t xml:space="preserve"> </w:t>
      </w:r>
      <w:r w:rsidR="009B46A7">
        <w:rPr>
          <w:rFonts w:ascii="Times New Roman" w:hAnsi="Times New Roman" w:cs="Times New Roman"/>
          <w:sz w:val="24"/>
          <w:szCs w:val="24"/>
        </w:rPr>
        <w:t>There is a sense and mentality of entitlement in modern society. People now seek all kinds of rights and values, and believe they are entitled to redress for example the case of the woman who sued MacDonald’s as she got burnt by a cup of coffee.  In the United States prisoner lawsuits account for 20 % of the civil lawsuits, although they are usually frivolous and do not result in victories for the prisoners.</w:t>
      </w:r>
    </w:p>
    <w:p w:rsidR="0062000A" w:rsidRPr="00391E64" w:rsidRDefault="009B46A7" w:rsidP="0062000A">
      <w:pPr>
        <w:pStyle w:val="ListParagraph"/>
        <w:numPr>
          <w:ilvl w:val="0"/>
          <w:numId w:val="35"/>
        </w:numPr>
        <w:rPr>
          <w:rFonts w:ascii="Times New Roman" w:hAnsi="Times New Roman" w:cs="Times New Roman"/>
          <w:b/>
          <w:sz w:val="24"/>
          <w:szCs w:val="24"/>
        </w:rPr>
      </w:pPr>
      <w:r w:rsidRPr="000B13D8">
        <w:rPr>
          <w:rFonts w:ascii="Times New Roman" w:hAnsi="Times New Roman" w:cs="Times New Roman"/>
          <w:b/>
          <w:sz w:val="24"/>
          <w:szCs w:val="24"/>
        </w:rPr>
        <w:t>Expansion of laws:</w:t>
      </w:r>
      <w:r>
        <w:rPr>
          <w:rFonts w:ascii="Times New Roman" w:hAnsi="Times New Roman" w:cs="Times New Roman"/>
          <w:sz w:val="24"/>
          <w:szCs w:val="24"/>
        </w:rPr>
        <w:t xml:space="preserve">  The variety of laws has increased and with that the increase in potential lawsuits has increased too, and so has the practice of taking action against people who have wronged you</w:t>
      </w:r>
      <w:r w:rsidR="000B13D8">
        <w:rPr>
          <w:rFonts w:ascii="Times New Roman" w:hAnsi="Times New Roman" w:cs="Times New Roman"/>
          <w:sz w:val="24"/>
          <w:szCs w:val="24"/>
        </w:rPr>
        <w:t>. More and more of our behaviour has come to be governed by the law. Therefore the increase/expansion in law has led to the increase in litigation which creates new rights and potential conflict as people ensure their rights are protected and use the courts to do so.</w:t>
      </w:r>
    </w:p>
    <w:p w:rsidR="00391E64" w:rsidRDefault="00391E64" w:rsidP="00391E64">
      <w:pPr>
        <w:rPr>
          <w:rFonts w:ascii="Times New Roman" w:hAnsi="Times New Roman" w:cs="Times New Roman"/>
          <w:b/>
          <w:sz w:val="24"/>
          <w:szCs w:val="24"/>
        </w:rPr>
      </w:pPr>
      <w:r>
        <w:rPr>
          <w:rFonts w:ascii="Times New Roman" w:hAnsi="Times New Roman" w:cs="Times New Roman"/>
          <w:b/>
          <w:sz w:val="24"/>
          <w:szCs w:val="24"/>
        </w:rPr>
        <w:t xml:space="preserve">Frivolous and </w:t>
      </w:r>
      <w:r w:rsidRPr="000B37B5">
        <w:rPr>
          <w:rFonts w:ascii="Times New Roman" w:hAnsi="Times New Roman" w:cs="Times New Roman"/>
          <w:b/>
          <w:sz w:val="24"/>
          <w:szCs w:val="24"/>
        </w:rPr>
        <w:t xml:space="preserve">Abusive </w:t>
      </w:r>
      <w:r>
        <w:rPr>
          <w:rFonts w:ascii="Times New Roman" w:hAnsi="Times New Roman" w:cs="Times New Roman"/>
          <w:b/>
          <w:sz w:val="24"/>
          <w:szCs w:val="24"/>
        </w:rPr>
        <w:t>Lawsuits</w:t>
      </w:r>
    </w:p>
    <w:p w:rsidR="00391E64" w:rsidRPr="00E27B34" w:rsidRDefault="00391E64" w:rsidP="00391E64">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 xml:space="preserve">The case of </w:t>
      </w:r>
      <w:r w:rsidRPr="00E27B34">
        <w:rPr>
          <w:rFonts w:ascii="Times New Roman" w:hAnsi="Times New Roman" w:cs="Times New Roman"/>
          <w:b/>
          <w:i/>
          <w:sz w:val="24"/>
          <w:szCs w:val="24"/>
        </w:rPr>
        <w:t>Stella Lieback v. McDonald’s restaurants</w:t>
      </w:r>
      <w:r>
        <w:rPr>
          <w:rFonts w:ascii="Times New Roman" w:hAnsi="Times New Roman" w:cs="Times New Roman"/>
          <w:i/>
          <w:sz w:val="24"/>
          <w:szCs w:val="24"/>
        </w:rPr>
        <w:t xml:space="preserve">:  </w:t>
      </w:r>
      <w:r w:rsidRPr="00391E64">
        <w:rPr>
          <w:rFonts w:ascii="Times New Roman" w:hAnsi="Times New Roman" w:cs="Times New Roman"/>
          <w:sz w:val="24"/>
          <w:szCs w:val="24"/>
        </w:rPr>
        <w:t>This is also</w:t>
      </w:r>
      <w:r>
        <w:rPr>
          <w:rFonts w:ascii="Times New Roman" w:hAnsi="Times New Roman" w:cs="Times New Roman"/>
          <w:i/>
          <w:sz w:val="24"/>
          <w:szCs w:val="24"/>
        </w:rPr>
        <w:t xml:space="preserve"> </w:t>
      </w:r>
      <w:r w:rsidRPr="00391E64">
        <w:rPr>
          <w:rFonts w:ascii="Times New Roman" w:hAnsi="Times New Roman" w:cs="Times New Roman"/>
          <w:color w:val="000000" w:themeColor="text1"/>
        </w:rPr>
        <w:t>known as the </w:t>
      </w:r>
      <w:r w:rsidRPr="00391E64">
        <w:rPr>
          <w:rFonts w:ascii="Times New Roman" w:hAnsi="Times New Roman" w:cs="Times New Roman"/>
          <w:bCs/>
          <w:color w:val="000000" w:themeColor="text1"/>
        </w:rPr>
        <w:t>McDonald's coffee case</w:t>
      </w:r>
      <w:r w:rsidRPr="00391E64">
        <w:rPr>
          <w:rFonts w:ascii="Times New Roman" w:hAnsi="Times New Roman" w:cs="Times New Roman"/>
          <w:color w:val="000000" w:themeColor="text1"/>
        </w:rPr>
        <w:t> and </w:t>
      </w:r>
      <w:r w:rsidRPr="00391E64">
        <w:rPr>
          <w:rFonts w:ascii="Times New Roman" w:hAnsi="Times New Roman" w:cs="Times New Roman"/>
          <w:bCs/>
          <w:color w:val="000000" w:themeColor="text1"/>
        </w:rPr>
        <w:t>the hot coffee lawsuit</w:t>
      </w:r>
      <w:r w:rsidRPr="00391E64">
        <w:rPr>
          <w:rFonts w:ascii="Times New Roman" w:hAnsi="Times New Roman" w:cs="Times New Roman"/>
          <w:color w:val="000000" w:themeColor="text1"/>
        </w:rPr>
        <w:t>, was a 1994 </w:t>
      </w:r>
      <w:hyperlink r:id="rId8" w:tooltip="Product liability" w:history="1">
        <w:r w:rsidRPr="00391E64">
          <w:rPr>
            <w:rStyle w:val="Hyperlink"/>
            <w:rFonts w:ascii="Times New Roman" w:hAnsi="Times New Roman" w:cs="Times New Roman"/>
            <w:color w:val="000000" w:themeColor="text1"/>
            <w:u w:val="none"/>
          </w:rPr>
          <w:t>product liability</w:t>
        </w:r>
      </w:hyperlink>
      <w:hyperlink r:id="rId9" w:tooltip="Lawsuit" w:history="1">
        <w:r w:rsidRPr="00391E64">
          <w:rPr>
            <w:rStyle w:val="Hyperlink"/>
            <w:rFonts w:ascii="Times New Roman" w:hAnsi="Times New Roman" w:cs="Times New Roman"/>
            <w:color w:val="000000" w:themeColor="text1"/>
            <w:u w:val="none"/>
          </w:rPr>
          <w:t>lawsuit</w:t>
        </w:r>
      </w:hyperlink>
      <w:r w:rsidRPr="00391E64">
        <w:rPr>
          <w:rFonts w:ascii="Times New Roman" w:hAnsi="Times New Roman" w:cs="Times New Roman"/>
          <w:color w:val="000000" w:themeColor="text1"/>
        </w:rPr>
        <w:t> that became a flashpoint in the debate in the </w:t>
      </w:r>
      <w:hyperlink r:id="rId10" w:tooltip="United States" w:history="1">
        <w:r w:rsidRPr="00391E64">
          <w:rPr>
            <w:rStyle w:val="Hyperlink"/>
            <w:rFonts w:ascii="Times New Roman" w:hAnsi="Times New Roman" w:cs="Times New Roman"/>
            <w:color w:val="000000" w:themeColor="text1"/>
            <w:u w:val="none"/>
          </w:rPr>
          <w:t>United States</w:t>
        </w:r>
      </w:hyperlink>
      <w:r w:rsidRPr="00391E64">
        <w:rPr>
          <w:rFonts w:ascii="Times New Roman" w:hAnsi="Times New Roman" w:cs="Times New Roman"/>
          <w:color w:val="000000" w:themeColor="text1"/>
        </w:rPr>
        <w:t> over </w:t>
      </w:r>
      <w:hyperlink r:id="rId11" w:tooltip="Tort reform" w:history="1">
        <w:r w:rsidRPr="00391E64">
          <w:rPr>
            <w:rStyle w:val="Hyperlink"/>
            <w:rFonts w:ascii="Times New Roman" w:hAnsi="Times New Roman" w:cs="Times New Roman"/>
            <w:color w:val="000000" w:themeColor="text1"/>
            <w:u w:val="none"/>
          </w:rPr>
          <w:t>tort reform</w:t>
        </w:r>
      </w:hyperlink>
      <w:r w:rsidRPr="00391E64">
        <w:rPr>
          <w:rFonts w:ascii="Times New Roman" w:hAnsi="Times New Roman" w:cs="Times New Roman"/>
          <w:color w:val="000000" w:themeColor="text1"/>
        </w:rPr>
        <w:t>. A </w:t>
      </w:r>
      <w:hyperlink r:id="rId12" w:tooltip="New Mexico" w:history="1">
        <w:r w:rsidRPr="00391E64">
          <w:rPr>
            <w:rStyle w:val="Hyperlink"/>
            <w:rFonts w:ascii="Times New Roman" w:hAnsi="Times New Roman" w:cs="Times New Roman"/>
            <w:color w:val="000000" w:themeColor="text1"/>
            <w:u w:val="none"/>
          </w:rPr>
          <w:t>New Mexico</w:t>
        </w:r>
      </w:hyperlink>
      <w:r w:rsidRPr="00391E64">
        <w:rPr>
          <w:rFonts w:ascii="Times New Roman" w:hAnsi="Times New Roman" w:cs="Times New Roman"/>
          <w:color w:val="000000" w:themeColor="text1"/>
        </w:rPr>
        <w:t> civil </w:t>
      </w:r>
      <w:hyperlink r:id="rId13" w:anchor="Civil_juries" w:tooltip="Juries in the United States" w:history="1">
        <w:r w:rsidRPr="00391E64">
          <w:rPr>
            <w:rStyle w:val="Hyperlink"/>
            <w:rFonts w:ascii="Times New Roman" w:hAnsi="Times New Roman" w:cs="Times New Roman"/>
            <w:color w:val="000000" w:themeColor="text1"/>
            <w:u w:val="none"/>
          </w:rPr>
          <w:t>jury</w:t>
        </w:r>
      </w:hyperlink>
      <w:r w:rsidRPr="00391E64">
        <w:rPr>
          <w:rFonts w:ascii="Times New Roman" w:hAnsi="Times New Roman" w:cs="Times New Roman"/>
          <w:color w:val="000000" w:themeColor="text1"/>
        </w:rPr>
        <w:t> awarded $2.86 million to plaintiff Stella Liebeck who had suffered third-degree burns in her pelvic region when she accidentally spilled hot </w:t>
      </w:r>
      <w:hyperlink r:id="rId14" w:tooltip="Coffee" w:history="1">
        <w:r w:rsidRPr="00391E64">
          <w:rPr>
            <w:rStyle w:val="Hyperlink"/>
            <w:rFonts w:ascii="Times New Roman" w:hAnsi="Times New Roman" w:cs="Times New Roman"/>
            <w:color w:val="000000" w:themeColor="text1"/>
            <w:u w:val="none"/>
          </w:rPr>
          <w:t>coffee</w:t>
        </w:r>
      </w:hyperlink>
      <w:r w:rsidRPr="00391E64">
        <w:rPr>
          <w:rFonts w:ascii="Times New Roman" w:hAnsi="Times New Roman" w:cs="Times New Roman"/>
          <w:color w:val="000000" w:themeColor="text1"/>
        </w:rPr>
        <w:t> in her lap after purchasing it from a</w:t>
      </w:r>
      <w:r>
        <w:rPr>
          <w:rFonts w:ascii="Times New Roman" w:hAnsi="Times New Roman" w:cs="Times New Roman"/>
          <w:color w:val="000000" w:themeColor="text1"/>
        </w:rPr>
        <w:t xml:space="preserve"> </w:t>
      </w:r>
      <w:hyperlink r:id="rId15" w:tooltip="McDonald's" w:history="1">
        <w:r w:rsidRPr="00391E64">
          <w:rPr>
            <w:rStyle w:val="Hyperlink"/>
            <w:rFonts w:ascii="Times New Roman" w:hAnsi="Times New Roman" w:cs="Times New Roman"/>
            <w:color w:val="000000" w:themeColor="text1"/>
            <w:u w:val="none"/>
          </w:rPr>
          <w:t>McDonald's</w:t>
        </w:r>
      </w:hyperlink>
      <w:r w:rsidRPr="00391E64">
        <w:rPr>
          <w:rFonts w:ascii="Times New Roman" w:hAnsi="Times New Roman" w:cs="Times New Roman"/>
          <w:color w:val="000000" w:themeColor="text1"/>
        </w:rPr>
        <w:t> restaurant. Liebeck was hospitalized for eight days while she underwent </w:t>
      </w:r>
      <w:hyperlink r:id="rId16" w:tooltip="Skin grafting" w:history="1">
        <w:r w:rsidRPr="00391E64">
          <w:rPr>
            <w:rStyle w:val="Hyperlink"/>
            <w:rFonts w:ascii="Times New Roman" w:hAnsi="Times New Roman" w:cs="Times New Roman"/>
            <w:color w:val="000000" w:themeColor="text1"/>
            <w:u w:val="none"/>
          </w:rPr>
          <w:t>skin grafting</w:t>
        </w:r>
      </w:hyperlink>
      <w:r w:rsidRPr="00391E64">
        <w:rPr>
          <w:rFonts w:ascii="Times New Roman" w:hAnsi="Times New Roman" w:cs="Times New Roman"/>
          <w:color w:val="000000" w:themeColor="text1"/>
        </w:rPr>
        <w:t>, followed by two years of medical treatment.</w:t>
      </w:r>
    </w:p>
    <w:p w:rsidR="00E27B34" w:rsidRPr="00391E64" w:rsidRDefault="00E27B34" w:rsidP="00E27B34">
      <w:pPr>
        <w:pStyle w:val="ListParagraph"/>
        <w:rPr>
          <w:rFonts w:ascii="Times New Roman" w:hAnsi="Times New Roman" w:cs="Times New Roman"/>
          <w:b/>
          <w:sz w:val="24"/>
          <w:szCs w:val="24"/>
        </w:rPr>
      </w:pPr>
    </w:p>
    <w:p w:rsidR="00391E64" w:rsidRDefault="00391E64" w:rsidP="00E27B34">
      <w:pPr>
        <w:pStyle w:val="ListParagraph"/>
        <w:numPr>
          <w:ilvl w:val="0"/>
          <w:numId w:val="34"/>
        </w:numPr>
        <w:rPr>
          <w:rFonts w:ascii="Times New Roman" w:hAnsi="Times New Roman" w:cs="Times New Roman"/>
          <w:color w:val="000000" w:themeColor="text1"/>
          <w:sz w:val="24"/>
          <w:szCs w:val="24"/>
        </w:rPr>
      </w:pPr>
      <w:r w:rsidRPr="00E27B34">
        <w:rPr>
          <w:rFonts w:ascii="Times New Roman" w:hAnsi="Times New Roman" w:cs="Times New Roman"/>
          <w:color w:val="000000" w:themeColor="text1"/>
          <w:sz w:val="24"/>
          <w:szCs w:val="24"/>
        </w:rPr>
        <w:t>Liebeck's attorneys argued that at 180–190 °F (82–88 °C), McDonald's coffee was defective, claiming it was too hot and more likely to cause serious injury than coffee served at any other establishment. McDonald's had refused several prior opportunities to </w:t>
      </w:r>
      <w:hyperlink r:id="rId17" w:tooltip="Settlement (law)" w:history="1">
        <w:r w:rsidRPr="00E27B34">
          <w:rPr>
            <w:rStyle w:val="Hyperlink"/>
            <w:rFonts w:ascii="Times New Roman" w:hAnsi="Times New Roman" w:cs="Times New Roman"/>
            <w:color w:val="000000" w:themeColor="text1"/>
            <w:sz w:val="24"/>
            <w:szCs w:val="24"/>
            <w:u w:val="none"/>
          </w:rPr>
          <w:t>settle</w:t>
        </w:r>
      </w:hyperlink>
      <w:r w:rsidRPr="00E27B34">
        <w:rPr>
          <w:rFonts w:ascii="Times New Roman" w:hAnsi="Times New Roman" w:cs="Times New Roman"/>
          <w:color w:val="000000" w:themeColor="text1"/>
          <w:sz w:val="24"/>
          <w:szCs w:val="24"/>
        </w:rPr>
        <w:t> for less than what the jury ultimately awarded.</w:t>
      </w:r>
      <w:hyperlink r:id="rId18" w:anchor="cite_note-Gerlin-2" w:history="1">
        <w:r w:rsidRPr="00E27B34">
          <w:rPr>
            <w:rStyle w:val="Hyperlink"/>
            <w:rFonts w:ascii="Times New Roman" w:hAnsi="Times New Roman" w:cs="Times New Roman"/>
            <w:color w:val="000000" w:themeColor="text1"/>
            <w:sz w:val="24"/>
            <w:szCs w:val="24"/>
            <w:u w:val="none"/>
            <w:vertAlign w:val="superscript"/>
          </w:rPr>
          <w:t>[2]</w:t>
        </w:r>
      </w:hyperlink>
      <w:r w:rsidRPr="00E27B34">
        <w:rPr>
          <w:rFonts w:ascii="Times New Roman" w:hAnsi="Times New Roman" w:cs="Times New Roman"/>
          <w:color w:val="000000" w:themeColor="text1"/>
          <w:sz w:val="24"/>
          <w:szCs w:val="24"/>
        </w:rPr>
        <w:t> The jury damages included $160,000</w:t>
      </w:r>
      <w:hyperlink r:id="rId19" w:anchor="cite_note-lectlaw-3" w:history="1">
        <w:r w:rsidRPr="00E27B34">
          <w:rPr>
            <w:rStyle w:val="Hyperlink"/>
            <w:rFonts w:ascii="Times New Roman" w:hAnsi="Times New Roman" w:cs="Times New Roman"/>
            <w:color w:val="000000" w:themeColor="text1"/>
            <w:sz w:val="24"/>
            <w:szCs w:val="24"/>
            <w:u w:val="none"/>
            <w:vertAlign w:val="superscript"/>
          </w:rPr>
          <w:t>[3]</w:t>
        </w:r>
      </w:hyperlink>
      <w:r w:rsidRPr="00E27B34">
        <w:rPr>
          <w:rFonts w:ascii="Times New Roman" w:hAnsi="Times New Roman" w:cs="Times New Roman"/>
          <w:color w:val="000000" w:themeColor="text1"/>
          <w:sz w:val="24"/>
          <w:szCs w:val="24"/>
        </w:rPr>
        <w:t> to cover medical expenses and </w:t>
      </w:r>
      <w:hyperlink r:id="rId20" w:tooltip="Compensatory damages" w:history="1">
        <w:r w:rsidRPr="00E27B34">
          <w:rPr>
            <w:rStyle w:val="Hyperlink"/>
            <w:rFonts w:ascii="Times New Roman" w:hAnsi="Times New Roman" w:cs="Times New Roman"/>
            <w:color w:val="000000" w:themeColor="text1"/>
            <w:sz w:val="24"/>
            <w:szCs w:val="24"/>
            <w:u w:val="none"/>
          </w:rPr>
          <w:t>compensatory damages</w:t>
        </w:r>
      </w:hyperlink>
      <w:r w:rsidRPr="00E27B34">
        <w:rPr>
          <w:rFonts w:ascii="Times New Roman" w:hAnsi="Times New Roman" w:cs="Times New Roman"/>
          <w:color w:val="000000" w:themeColor="text1"/>
          <w:sz w:val="24"/>
          <w:szCs w:val="24"/>
        </w:rPr>
        <w:t> and $2.7 million in </w:t>
      </w:r>
      <w:hyperlink r:id="rId21" w:tooltip="Punitive damages" w:history="1">
        <w:r w:rsidRPr="00E27B34">
          <w:rPr>
            <w:rStyle w:val="Hyperlink"/>
            <w:rFonts w:ascii="Times New Roman" w:hAnsi="Times New Roman" w:cs="Times New Roman"/>
            <w:color w:val="000000" w:themeColor="text1"/>
            <w:sz w:val="24"/>
            <w:szCs w:val="24"/>
            <w:u w:val="none"/>
          </w:rPr>
          <w:t>punitive damages</w:t>
        </w:r>
      </w:hyperlink>
      <w:r w:rsidRPr="00E27B34">
        <w:rPr>
          <w:rFonts w:ascii="Times New Roman" w:hAnsi="Times New Roman" w:cs="Times New Roman"/>
          <w:color w:val="000000" w:themeColor="text1"/>
          <w:sz w:val="24"/>
          <w:szCs w:val="24"/>
        </w:rPr>
        <w:t>. The trial judge </w:t>
      </w:r>
      <w:hyperlink r:id="rId22" w:tooltip="Remittitur" w:history="1">
        <w:r w:rsidRPr="00E27B34">
          <w:rPr>
            <w:rStyle w:val="Hyperlink"/>
            <w:rFonts w:ascii="Times New Roman" w:hAnsi="Times New Roman" w:cs="Times New Roman"/>
            <w:color w:val="000000" w:themeColor="text1"/>
            <w:sz w:val="24"/>
            <w:szCs w:val="24"/>
            <w:u w:val="none"/>
          </w:rPr>
          <w:t>reduced</w:t>
        </w:r>
      </w:hyperlink>
      <w:r w:rsidRPr="00E27B34">
        <w:rPr>
          <w:rFonts w:ascii="Times New Roman" w:hAnsi="Times New Roman" w:cs="Times New Roman"/>
          <w:color w:val="000000" w:themeColor="text1"/>
          <w:sz w:val="24"/>
          <w:szCs w:val="24"/>
        </w:rPr>
        <w:t> the final verdict to $640,000, and the parties settled for a confidential amount before an </w:t>
      </w:r>
      <w:hyperlink r:id="rId23" w:tooltip="Appeal" w:history="1">
        <w:r w:rsidRPr="00E27B34">
          <w:rPr>
            <w:rStyle w:val="Hyperlink"/>
            <w:rFonts w:ascii="Times New Roman" w:hAnsi="Times New Roman" w:cs="Times New Roman"/>
            <w:color w:val="000000" w:themeColor="text1"/>
            <w:sz w:val="24"/>
            <w:szCs w:val="24"/>
            <w:u w:val="none"/>
          </w:rPr>
          <w:t>appeal</w:t>
        </w:r>
      </w:hyperlink>
      <w:r w:rsidRPr="00E27B34">
        <w:rPr>
          <w:rFonts w:ascii="Times New Roman" w:hAnsi="Times New Roman" w:cs="Times New Roman"/>
          <w:color w:val="000000" w:themeColor="text1"/>
          <w:sz w:val="24"/>
          <w:szCs w:val="24"/>
        </w:rPr>
        <w:t> was decided.</w:t>
      </w:r>
    </w:p>
    <w:p w:rsidR="00E27B34" w:rsidRDefault="00E27B34" w:rsidP="00E27B34">
      <w:pPr>
        <w:pStyle w:val="ListParagraph"/>
        <w:rPr>
          <w:rFonts w:ascii="Times New Roman" w:hAnsi="Times New Roman" w:cs="Times New Roman"/>
          <w:color w:val="000000" w:themeColor="text1"/>
          <w:sz w:val="24"/>
          <w:szCs w:val="24"/>
        </w:rPr>
      </w:pPr>
    </w:p>
    <w:p w:rsidR="00E27B34" w:rsidRDefault="00E27B34" w:rsidP="00E27B34">
      <w:pPr>
        <w:pStyle w:val="ListParagraph"/>
        <w:numPr>
          <w:ilvl w:val="0"/>
          <w:numId w:val="34"/>
        </w:numPr>
        <w:rPr>
          <w:rFonts w:ascii="Times New Roman" w:hAnsi="Times New Roman" w:cs="Times New Roman"/>
          <w:color w:val="000000" w:themeColor="text1"/>
          <w:sz w:val="24"/>
          <w:szCs w:val="24"/>
        </w:rPr>
      </w:pPr>
      <w:r w:rsidRPr="00E27B34">
        <w:rPr>
          <w:rFonts w:ascii="Times New Roman" w:hAnsi="Times New Roman" w:cs="Times New Roman"/>
          <w:color w:val="000000" w:themeColor="text1"/>
          <w:sz w:val="24"/>
          <w:szCs w:val="24"/>
        </w:rPr>
        <w:t>Detractors have argued that McDonald's refusal to offer more than an $800 settlement for the $10,500 in medical bills indicated that the suit was meritless and highlighted the fact that Liebeck spilled the coffee on herself rather than any wrongdoing on the company's part. They also argued that the coffee was not defective because McDonald's coffee conformed to industry standards, and coffee continues to be served as hot or hotter today at McDonald's and chains like </w:t>
      </w:r>
      <w:hyperlink r:id="rId24" w:tooltip="Starbucks" w:history="1">
        <w:r w:rsidRPr="00E27B34">
          <w:rPr>
            <w:rStyle w:val="Hyperlink"/>
            <w:rFonts w:ascii="Times New Roman" w:hAnsi="Times New Roman" w:cs="Times New Roman"/>
            <w:color w:val="000000" w:themeColor="text1"/>
            <w:sz w:val="24"/>
            <w:szCs w:val="24"/>
            <w:u w:val="none"/>
          </w:rPr>
          <w:t>Starbucks</w:t>
        </w:r>
      </w:hyperlink>
      <w:r w:rsidRPr="00E27B34">
        <w:rPr>
          <w:rFonts w:ascii="Times New Roman" w:hAnsi="Times New Roman" w:cs="Times New Roman"/>
          <w:color w:val="000000" w:themeColor="text1"/>
          <w:sz w:val="24"/>
          <w:szCs w:val="24"/>
        </w:rPr>
        <w:t>. They further assert that the vast majority of judges who consider similar cases dismiss them before they get to a jury. From 2002 to 2007, an offshoot from a weekly news column by writer </w:t>
      </w:r>
      <w:hyperlink r:id="rId25" w:tooltip="Randy Cassingham" w:history="1">
        <w:r w:rsidRPr="00E27B34">
          <w:rPr>
            <w:rStyle w:val="Hyperlink"/>
            <w:rFonts w:ascii="Times New Roman" w:hAnsi="Times New Roman" w:cs="Times New Roman"/>
            <w:color w:val="000000" w:themeColor="text1"/>
            <w:sz w:val="24"/>
            <w:szCs w:val="24"/>
            <w:u w:val="none"/>
          </w:rPr>
          <w:t>Randy Cassingham</w:t>
        </w:r>
      </w:hyperlink>
      <w:r w:rsidRPr="00E27B34">
        <w:rPr>
          <w:rFonts w:ascii="Times New Roman" w:hAnsi="Times New Roman" w:cs="Times New Roman"/>
          <w:color w:val="000000" w:themeColor="text1"/>
          <w:sz w:val="24"/>
          <w:szCs w:val="24"/>
        </w:rPr>
        <w:t> resulted in a website called the "</w:t>
      </w:r>
      <w:hyperlink r:id="rId26" w:tooltip="Stella Awards" w:history="1">
        <w:r w:rsidRPr="00E27B34">
          <w:rPr>
            <w:rStyle w:val="Hyperlink"/>
            <w:rFonts w:ascii="Times New Roman" w:hAnsi="Times New Roman" w:cs="Times New Roman"/>
            <w:color w:val="000000" w:themeColor="text1"/>
            <w:sz w:val="24"/>
            <w:szCs w:val="24"/>
            <w:u w:val="none"/>
          </w:rPr>
          <w:t>Stella Awards</w:t>
        </w:r>
      </w:hyperlink>
      <w:r w:rsidRPr="00E27B34">
        <w:rPr>
          <w:rFonts w:ascii="Times New Roman" w:hAnsi="Times New Roman" w:cs="Times New Roman"/>
          <w:color w:val="000000" w:themeColor="text1"/>
          <w:sz w:val="24"/>
          <w:szCs w:val="24"/>
        </w:rPr>
        <w:t>", which purported to give awards to people who filed "outrageous and frivolous lawsuits</w:t>
      </w:r>
      <w:r w:rsidR="000B37B5">
        <w:rPr>
          <w:rFonts w:ascii="Times New Roman" w:hAnsi="Times New Roman" w:cs="Times New Roman"/>
          <w:color w:val="000000" w:themeColor="text1"/>
          <w:sz w:val="24"/>
          <w:szCs w:val="24"/>
        </w:rPr>
        <w:t>.</w:t>
      </w:r>
    </w:p>
    <w:p w:rsidR="000B37B5" w:rsidRPr="000B37B5" w:rsidRDefault="000B37B5" w:rsidP="000B37B5">
      <w:pPr>
        <w:pStyle w:val="ListParagraph"/>
        <w:rPr>
          <w:rFonts w:ascii="Times New Roman" w:hAnsi="Times New Roman" w:cs="Times New Roman"/>
          <w:color w:val="000000" w:themeColor="text1"/>
          <w:sz w:val="24"/>
          <w:szCs w:val="24"/>
        </w:rPr>
      </w:pPr>
    </w:p>
    <w:p w:rsidR="000B37B5" w:rsidRPr="004A337A" w:rsidRDefault="000B37B5" w:rsidP="004A337A">
      <w:pPr>
        <w:pStyle w:val="ListParagraph"/>
        <w:numPr>
          <w:ilvl w:val="0"/>
          <w:numId w:val="34"/>
        </w:numPr>
        <w:rPr>
          <w:rFonts w:ascii="Times New Roman" w:hAnsi="Times New Roman" w:cs="Times New Roman"/>
          <w:color w:val="000000" w:themeColor="text1"/>
          <w:sz w:val="24"/>
          <w:szCs w:val="24"/>
        </w:rPr>
      </w:pPr>
      <w:r w:rsidRPr="000B37B5">
        <w:rPr>
          <w:rFonts w:ascii="Times New Roman" w:hAnsi="Times New Roman" w:cs="Times New Roman"/>
          <w:b/>
          <w:i/>
          <w:color w:val="000000" w:themeColor="text1"/>
          <w:sz w:val="24"/>
          <w:szCs w:val="24"/>
        </w:rPr>
        <w:t>Mustapha v Culligan of Canada Ltd</w:t>
      </w:r>
      <w:r w:rsidRPr="000B37B5">
        <w:rPr>
          <w:rFonts w:ascii="Times New Roman" w:hAnsi="Times New Roman" w:cs="Times New Roman"/>
          <w:b/>
          <w:color w:val="000000" w:themeColor="text1"/>
          <w:sz w:val="24"/>
          <w:szCs w:val="24"/>
        </w:rPr>
        <w:t xml:space="preserve">: </w:t>
      </w:r>
      <w:r w:rsidRPr="000B37B5">
        <w:rPr>
          <w:rFonts w:ascii="Times New Roman" w:hAnsi="Times New Roman" w:cs="Times New Roman"/>
          <w:color w:val="000000" w:themeColor="text1"/>
          <w:sz w:val="24"/>
          <w:szCs w:val="24"/>
        </w:rPr>
        <w:t>Mustapha had purchased bottled water from Culligan for 15 years. The last time he witnessed the delivery he saw a dead fly, and parts of another dead fly in one of the unopened bottles. This image severely scarred him, causing sig</w:t>
      </w:r>
      <w:r w:rsidRPr="004A337A">
        <w:rPr>
          <w:rFonts w:ascii="Times New Roman" w:hAnsi="Times New Roman" w:cs="Times New Roman"/>
          <w:color w:val="000000" w:themeColor="text1"/>
          <w:sz w:val="24"/>
          <w:szCs w:val="24"/>
        </w:rPr>
        <w:t xml:space="preserve">nificant psychological harm. He is suing for the psychiatric harm resulting from the negligence of Culligan claiming he could no longer drink, shower, or have sex as a result. He was successful at trial, but this was overturned by the Court of Appeal stating that the injury was not reasonably foreseeable. </w:t>
      </w:r>
    </w:p>
    <w:p w:rsidR="000B37B5" w:rsidRPr="000B37B5" w:rsidRDefault="000B37B5" w:rsidP="000B37B5">
      <w:pPr>
        <w:pStyle w:val="ListParagraph"/>
        <w:rPr>
          <w:rFonts w:ascii="Times New Roman" w:hAnsi="Times New Roman" w:cs="Times New Roman"/>
          <w:color w:val="000000" w:themeColor="text1"/>
          <w:sz w:val="24"/>
          <w:szCs w:val="24"/>
        </w:rPr>
      </w:pPr>
    </w:p>
    <w:p w:rsidR="00391E64" w:rsidRDefault="006F2D72" w:rsidP="000B37B5">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Joseph </w:t>
      </w:r>
      <w:r w:rsidR="004A337A">
        <w:rPr>
          <w:rFonts w:ascii="Times New Roman" w:hAnsi="Times New Roman" w:cs="Times New Roman"/>
          <w:b/>
          <w:color w:val="000000" w:themeColor="text1"/>
          <w:sz w:val="24"/>
          <w:szCs w:val="24"/>
        </w:rPr>
        <w:t>-</w:t>
      </w:r>
      <w:r w:rsidR="000B37B5" w:rsidRPr="000B37B5">
        <w:rPr>
          <w:rFonts w:ascii="Times New Roman" w:hAnsi="Times New Roman" w:cs="Times New Roman"/>
          <w:b/>
          <w:color w:val="000000" w:themeColor="text1"/>
          <w:sz w:val="24"/>
          <w:szCs w:val="24"/>
        </w:rPr>
        <w:t>The Vexatious Litigant</w:t>
      </w:r>
      <w:r w:rsidR="000B37B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This man was a paralegal with a passion for launching lawsuits. The court stopped ahead from going ahead with lawsuits but in the meantime he had 73 lawsuits that he initiated over 10 years. The judge ordered that he must receive special permission from the courts to carry out a lawsuit against any individual or corporation. He was taken to court by a law firm and the brief stated he had harassed individuals. Furthermore, the brief said he was a professional litigant with a history of suing people for personal vendettas. </w:t>
      </w:r>
    </w:p>
    <w:p w:rsidR="004A337A" w:rsidRPr="004A337A" w:rsidRDefault="004A337A" w:rsidP="004A337A">
      <w:pPr>
        <w:pStyle w:val="ListParagraph"/>
        <w:rPr>
          <w:rFonts w:ascii="Times New Roman" w:hAnsi="Times New Roman" w:cs="Times New Roman"/>
          <w:color w:val="000000" w:themeColor="text1"/>
          <w:sz w:val="24"/>
          <w:szCs w:val="24"/>
        </w:rPr>
      </w:pPr>
    </w:p>
    <w:p w:rsidR="004A337A" w:rsidRDefault="004A337A" w:rsidP="00FD4FC7">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a result of such frivolous lawsuits we now have all kinds of warnings by corporations and manufacturers</w:t>
      </w:r>
      <w:r w:rsidR="00FD4FC7">
        <w:rPr>
          <w:rFonts w:ascii="Times New Roman" w:hAnsi="Times New Roman" w:cs="Times New Roman"/>
          <w:color w:val="000000" w:themeColor="text1"/>
          <w:sz w:val="24"/>
          <w:szCs w:val="24"/>
        </w:rPr>
        <w:t>.  Therefore law</w:t>
      </w:r>
      <w:r w:rsidR="00FD4FC7" w:rsidRPr="00FD4FC7">
        <w:rPr>
          <w:rFonts w:ascii="Times New Roman" w:hAnsi="Times New Roman" w:cs="Times New Roman"/>
          <w:color w:val="000000" w:themeColor="text1"/>
          <w:sz w:val="24"/>
          <w:szCs w:val="24"/>
        </w:rPr>
        <w:t>suits</w:t>
      </w:r>
      <w:r w:rsidR="00FD4FC7">
        <w:rPr>
          <w:rFonts w:ascii="Times New Roman" w:hAnsi="Times New Roman" w:cs="Times New Roman"/>
          <w:color w:val="000000" w:themeColor="text1"/>
          <w:sz w:val="24"/>
          <w:szCs w:val="24"/>
        </w:rPr>
        <w:t xml:space="preserve"> are seen to have a very important social function in providing common good. However, there is an ongoing legal debate in the legal profession of the benefits of increasing lawsuits.</w:t>
      </w:r>
    </w:p>
    <w:p w:rsidR="00385725" w:rsidRPr="00385725" w:rsidRDefault="00385725" w:rsidP="00385725">
      <w:pPr>
        <w:pStyle w:val="ListParagraph"/>
        <w:rPr>
          <w:rFonts w:ascii="Times New Roman" w:hAnsi="Times New Roman" w:cs="Times New Roman"/>
          <w:color w:val="000000" w:themeColor="text1"/>
          <w:sz w:val="24"/>
          <w:szCs w:val="24"/>
        </w:rPr>
      </w:pPr>
    </w:p>
    <w:p w:rsidR="00385725" w:rsidRDefault="00385725" w:rsidP="00FD4FC7">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Three weeks’ worth of reading and lectures to finish as </w:t>
      </w:r>
      <w:r w:rsidR="00C639E2">
        <w:rPr>
          <w:rFonts w:ascii="Times New Roman" w:hAnsi="Times New Roman" w:cs="Times New Roman"/>
          <w:color w:val="000000" w:themeColor="text1"/>
          <w:sz w:val="24"/>
          <w:szCs w:val="24"/>
        </w:rPr>
        <w:t>of 29th</w:t>
      </w:r>
      <w:r>
        <w:rPr>
          <w:rFonts w:ascii="Times New Roman" w:hAnsi="Times New Roman" w:cs="Times New Roman"/>
          <w:color w:val="000000" w:themeColor="text1"/>
          <w:sz w:val="24"/>
          <w:szCs w:val="24"/>
        </w:rPr>
        <w:t xml:space="preserve"> June. Readings include Week 5 (Legal History)</w:t>
      </w:r>
      <w:r w:rsidR="00C639E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 Week 8 (Criminal).</w:t>
      </w:r>
    </w:p>
    <w:p w:rsidR="00385725" w:rsidRPr="00385725" w:rsidRDefault="00385725" w:rsidP="00385725">
      <w:pPr>
        <w:pStyle w:val="ListParagraph"/>
        <w:rPr>
          <w:rFonts w:ascii="Times New Roman" w:hAnsi="Times New Roman" w:cs="Times New Roman"/>
          <w:color w:val="000000" w:themeColor="text1"/>
          <w:sz w:val="24"/>
          <w:szCs w:val="24"/>
        </w:rPr>
      </w:pPr>
    </w:p>
    <w:p w:rsidR="00385725" w:rsidRDefault="007D64C6" w:rsidP="00385725">
      <w:pPr>
        <w:pStyle w:val="ListParagraph"/>
        <w:rPr>
          <w:rFonts w:ascii="Times New Roman" w:hAnsi="Times New Roman" w:cs="Times New Roman"/>
          <w:b/>
          <w:color w:val="000000" w:themeColor="text1"/>
          <w:sz w:val="24"/>
          <w:szCs w:val="24"/>
        </w:rPr>
      </w:pPr>
      <w:r w:rsidRPr="007D64C6">
        <w:rPr>
          <w:rFonts w:ascii="Times New Roman" w:hAnsi="Times New Roman" w:cs="Times New Roman"/>
          <w:b/>
          <w:color w:val="000000" w:themeColor="text1"/>
          <w:sz w:val="24"/>
          <w:szCs w:val="24"/>
        </w:rPr>
        <w:t>Module 7: Contracts and Contract Law-Principles Underlying Criminal Law and Civil Law</w:t>
      </w:r>
    </w:p>
    <w:p w:rsidR="00943449" w:rsidRPr="00943449" w:rsidRDefault="00F95AF6" w:rsidP="00943449">
      <w:pPr>
        <w:pStyle w:val="ListParagraph"/>
        <w:numPr>
          <w:ilvl w:val="0"/>
          <w:numId w:val="3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C</w:t>
      </w:r>
      <w:r w:rsidR="00943449">
        <w:rPr>
          <w:rFonts w:ascii="Times New Roman" w:hAnsi="Times New Roman" w:cs="Times New Roman"/>
          <w:color w:val="000000" w:themeColor="text1"/>
          <w:sz w:val="24"/>
          <w:szCs w:val="24"/>
        </w:rPr>
        <w:t xml:space="preserve">ivil law is designed to compensate victims for their injuries at the hands of another. The civil law aims to redress personal injuries. Civil law deals with injuries that are defined as torts or occur because of the non-fulfilment of a contract. </w:t>
      </w:r>
    </w:p>
    <w:p w:rsidR="00B53CD6" w:rsidRPr="00B53CD6" w:rsidRDefault="00B53CD6" w:rsidP="00B53CD6">
      <w:pPr>
        <w:pStyle w:val="ListParagraph"/>
        <w:numPr>
          <w:ilvl w:val="0"/>
          <w:numId w:val="34"/>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Bilateral Contracts: </w:t>
      </w:r>
      <w:r>
        <w:rPr>
          <w:rFonts w:ascii="Times New Roman" w:hAnsi="Times New Roman" w:cs="Times New Roman"/>
          <w:color w:val="000000" w:themeColor="text1"/>
          <w:sz w:val="24"/>
          <w:szCs w:val="24"/>
        </w:rPr>
        <w:t>These involve promises by each party.</w:t>
      </w:r>
    </w:p>
    <w:p w:rsidR="00B53CD6" w:rsidRDefault="00B53CD6" w:rsidP="00B53CD6">
      <w:pPr>
        <w:pStyle w:val="ListParagraph"/>
        <w:numPr>
          <w:ilvl w:val="0"/>
          <w:numId w:val="34"/>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Unilateral Contracts: </w:t>
      </w:r>
      <w:r>
        <w:rPr>
          <w:rFonts w:ascii="Times New Roman" w:hAnsi="Times New Roman" w:cs="Times New Roman"/>
          <w:color w:val="000000" w:themeColor="text1"/>
          <w:sz w:val="24"/>
          <w:szCs w:val="24"/>
        </w:rPr>
        <w:t>These involve one party</w:t>
      </w:r>
      <w:r w:rsidR="00D0451B">
        <w:rPr>
          <w:rFonts w:ascii="Times New Roman" w:hAnsi="Times New Roman" w:cs="Times New Roman"/>
          <w:color w:val="000000" w:themeColor="text1"/>
          <w:sz w:val="24"/>
          <w:szCs w:val="24"/>
        </w:rPr>
        <w:t xml:space="preserve"> promising to do something in exchange for an act of the other party, for example offering an award is an example of a unilateral contract.</w:t>
      </w:r>
    </w:p>
    <w:p w:rsidR="007D64C6" w:rsidRDefault="007D64C6" w:rsidP="007D64C6">
      <w:pPr>
        <w:pStyle w:val="ListParagraph"/>
        <w:numPr>
          <w:ilvl w:val="0"/>
          <w:numId w:val="34"/>
        </w:numPr>
        <w:rPr>
          <w:rFonts w:ascii="Times New Roman" w:hAnsi="Times New Roman" w:cs="Times New Roman"/>
          <w:color w:val="000000" w:themeColor="text1"/>
          <w:sz w:val="24"/>
          <w:szCs w:val="24"/>
        </w:rPr>
      </w:pPr>
      <w:r w:rsidRPr="007D64C6">
        <w:rPr>
          <w:rFonts w:ascii="Times New Roman" w:hAnsi="Times New Roman" w:cs="Times New Roman"/>
          <w:b/>
          <w:color w:val="000000" w:themeColor="text1"/>
          <w:sz w:val="24"/>
          <w:szCs w:val="24"/>
        </w:rPr>
        <w:t>Terms of the Contract</w:t>
      </w:r>
      <w:r>
        <w:rPr>
          <w:rFonts w:ascii="Times New Roman" w:hAnsi="Times New Roman" w:cs="Times New Roman"/>
          <w:color w:val="000000" w:themeColor="text1"/>
          <w:sz w:val="24"/>
          <w:szCs w:val="24"/>
        </w:rPr>
        <w:t>: Contract consists of various statements, promises, and stipulations. These are called the terms of the contract.</w:t>
      </w:r>
    </w:p>
    <w:p w:rsidR="007D64C6" w:rsidRDefault="007D64C6" w:rsidP="007D64C6">
      <w:pPr>
        <w:pStyle w:val="ListParagraph"/>
        <w:numPr>
          <w:ilvl w:val="0"/>
          <w:numId w:val="34"/>
        </w:numPr>
        <w:rPr>
          <w:rFonts w:ascii="Times New Roman" w:hAnsi="Times New Roman" w:cs="Times New Roman"/>
          <w:color w:val="000000" w:themeColor="text1"/>
          <w:sz w:val="24"/>
          <w:szCs w:val="24"/>
        </w:rPr>
      </w:pPr>
      <w:r w:rsidRPr="007D64C6">
        <w:rPr>
          <w:rFonts w:ascii="Times New Roman" w:hAnsi="Times New Roman" w:cs="Times New Roman"/>
          <w:b/>
          <w:color w:val="000000" w:themeColor="text1"/>
          <w:sz w:val="24"/>
          <w:szCs w:val="24"/>
        </w:rPr>
        <w:t>Misrepresentations</w:t>
      </w:r>
      <w:r>
        <w:rPr>
          <w:rFonts w:ascii="Times New Roman" w:hAnsi="Times New Roman" w:cs="Times New Roman"/>
          <w:color w:val="000000" w:themeColor="text1"/>
          <w:sz w:val="24"/>
          <w:szCs w:val="24"/>
        </w:rPr>
        <w:t>: A misrepresentation is a false statement of fact that induces a person to enter into a conduct that he/she would otherwise not enter. The seller cannot actively mislead or provide false information or this will be considered as misrepresentation and may void the contract.</w:t>
      </w:r>
    </w:p>
    <w:p w:rsidR="007D64C6" w:rsidRDefault="007D64C6" w:rsidP="007D64C6">
      <w:pPr>
        <w:pStyle w:val="ListParagraph"/>
        <w:numPr>
          <w:ilvl w:val="0"/>
          <w:numId w:val="34"/>
        </w:numPr>
        <w:rPr>
          <w:rFonts w:ascii="Times New Roman" w:hAnsi="Times New Roman" w:cs="Times New Roman"/>
          <w:color w:val="000000" w:themeColor="text1"/>
          <w:sz w:val="24"/>
          <w:szCs w:val="24"/>
        </w:rPr>
      </w:pPr>
      <w:r w:rsidRPr="007D64C6">
        <w:rPr>
          <w:rFonts w:ascii="Times New Roman" w:hAnsi="Times New Roman" w:cs="Times New Roman"/>
          <w:b/>
          <w:color w:val="000000" w:themeColor="text1"/>
          <w:sz w:val="24"/>
          <w:szCs w:val="24"/>
        </w:rPr>
        <w:t>Exclusions Clauses:</w:t>
      </w:r>
      <w:r>
        <w:rPr>
          <w:rFonts w:ascii="Times New Roman" w:hAnsi="Times New Roman" w:cs="Times New Roman"/>
          <w:color w:val="000000" w:themeColor="text1"/>
          <w:sz w:val="24"/>
          <w:szCs w:val="24"/>
        </w:rPr>
        <w:t xml:space="preserve"> An exclusion clause inserted into a contract aims to exclude (or financially limit) one party’s liability for breach of contract, misrepresentation, or negligence.</w:t>
      </w:r>
    </w:p>
    <w:p w:rsidR="007D64C6" w:rsidRPr="007D64C6" w:rsidRDefault="007D64C6" w:rsidP="007D64C6">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Discharging the Contract:</w:t>
      </w:r>
      <w:r>
        <w:rPr>
          <w:rFonts w:ascii="Times New Roman" w:hAnsi="Times New Roman" w:cs="Times New Roman"/>
          <w:sz w:val="24"/>
          <w:szCs w:val="24"/>
        </w:rPr>
        <w:t xml:space="preserve"> A contractual relationship can be brought to an end in four different ways: performance, agreement, frustration, and breach.</w:t>
      </w:r>
    </w:p>
    <w:p w:rsidR="007D64C6" w:rsidRPr="00E66656" w:rsidRDefault="007D64C6" w:rsidP="007D64C6">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The Corporation:</w:t>
      </w:r>
      <w:r>
        <w:rPr>
          <w:rFonts w:ascii="Times New Roman" w:hAnsi="Times New Roman" w:cs="Times New Roman"/>
          <w:sz w:val="24"/>
          <w:szCs w:val="24"/>
        </w:rPr>
        <w:t xml:space="preserve"> The </w:t>
      </w:r>
      <w:r w:rsidR="00672B20">
        <w:rPr>
          <w:rFonts w:ascii="Times New Roman" w:hAnsi="Times New Roman" w:cs="Times New Roman"/>
          <w:sz w:val="24"/>
          <w:szCs w:val="24"/>
        </w:rPr>
        <w:t>Corporation</w:t>
      </w:r>
      <w:r>
        <w:rPr>
          <w:rFonts w:ascii="Times New Roman" w:hAnsi="Times New Roman" w:cs="Times New Roman"/>
          <w:sz w:val="24"/>
          <w:szCs w:val="24"/>
        </w:rPr>
        <w:t xml:space="preserve"> exists under an act of parliament. </w:t>
      </w:r>
      <w:r w:rsidR="00672B20">
        <w:rPr>
          <w:rFonts w:ascii="Times New Roman" w:hAnsi="Times New Roman" w:cs="Times New Roman"/>
          <w:sz w:val="24"/>
          <w:szCs w:val="24"/>
        </w:rPr>
        <w:t xml:space="preserve"> It is a legal entity separate from the owner. If corporations go bankrupt, you cannot get money from the CEO, shareholders, or the Board of Directors</w:t>
      </w:r>
      <w:r w:rsidR="00EF3F6B">
        <w:rPr>
          <w:rFonts w:ascii="Times New Roman" w:hAnsi="Times New Roman" w:cs="Times New Roman"/>
          <w:sz w:val="24"/>
          <w:szCs w:val="24"/>
        </w:rPr>
        <w:t>.</w:t>
      </w:r>
    </w:p>
    <w:p w:rsidR="00E66656" w:rsidRPr="00570005" w:rsidRDefault="00E66656" w:rsidP="007D64C6">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Negligence:</w:t>
      </w:r>
      <w:r>
        <w:rPr>
          <w:rFonts w:ascii="Times New Roman" w:hAnsi="Times New Roman" w:cs="Times New Roman"/>
          <w:sz w:val="24"/>
          <w:szCs w:val="24"/>
        </w:rPr>
        <w:t xml:space="preserve"> Negligence is a principle in both criminal cases and civil cases, particularly torts. Both the act and intent must be present in the case of negligence. A wrongful act can be both criminal and result in civil proceedings against the defendant.</w:t>
      </w:r>
    </w:p>
    <w:p w:rsidR="00570005" w:rsidRPr="00570005" w:rsidRDefault="00570005" w:rsidP="007D64C6">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The Victim’s Role in Civil Cases:</w:t>
      </w:r>
      <w:r>
        <w:rPr>
          <w:rFonts w:ascii="Times New Roman" w:hAnsi="Times New Roman" w:cs="Times New Roman"/>
          <w:sz w:val="24"/>
          <w:szCs w:val="24"/>
        </w:rPr>
        <w:t xml:space="preserve"> The victim plays an active role in civil matters since they are also the client//plaintiff and can place demands on their attorney.</w:t>
      </w:r>
    </w:p>
    <w:p w:rsidR="00570005" w:rsidRPr="00570005" w:rsidRDefault="00570005" w:rsidP="007D64C6">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The Courts:</w:t>
      </w:r>
      <w:r>
        <w:rPr>
          <w:rFonts w:ascii="Times New Roman" w:hAnsi="Times New Roman" w:cs="Times New Roman"/>
          <w:sz w:val="24"/>
          <w:szCs w:val="24"/>
        </w:rPr>
        <w:t xml:space="preserve"> In contract matters, the court attempts to determine the intention of the parties when they entered into the court. The court generally does not concern itself with the fairness of the bargain that was struck.</w:t>
      </w:r>
    </w:p>
    <w:p w:rsidR="008270D9" w:rsidRPr="00541666" w:rsidRDefault="008270D9" w:rsidP="008270D9">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The Judges:</w:t>
      </w:r>
      <w:r>
        <w:rPr>
          <w:rFonts w:ascii="Times New Roman" w:hAnsi="Times New Roman" w:cs="Times New Roman"/>
          <w:sz w:val="24"/>
          <w:szCs w:val="24"/>
        </w:rPr>
        <w:t xml:space="preserve"> Civil cases are typically heard by judge alone but jury trials are allowed in cases involving personal injury. If the defendant is found to be at fault in a civil matter, judges can make three types of rulings: (1) the defendant must pay some or all of the damages claimed by the plaintiff; (2) the defendant must provide the goods or services claimed by the plaintiff; (3) the judge may prohibit the defendant from continuing in certain activities, for example producing goods for which they do not hold a patent or licence; advertise using another person’s song or image; trespassing on someone’s property.</w:t>
      </w:r>
    </w:p>
    <w:p w:rsidR="00541666" w:rsidRPr="00541666" w:rsidRDefault="00541666" w:rsidP="008270D9">
      <w:pPr>
        <w:pStyle w:val="ListParagraph"/>
        <w:numPr>
          <w:ilvl w:val="0"/>
          <w:numId w:val="34"/>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The Remedies to a Breach of Contract</w:t>
      </w:r>
    </w:p>
    <w:p w:rsidR="00541666" w:rsidRDefault="00541666" w:rsidP="007659CA">
      <w:pPr>
        <w:pStyle w:val="ListParagraph"/>
        <w:numPr>
          <w:ilvl w:val="0"/>
          <w:numId w:val="36"/>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Damages: </w:t>
      </w:r>
      <w:r>
        <w:rPr>
          <w:rFonts w:ascii="Times New Roman" w:hAnsi="Times New Roman" w:cs="Times New Roman"/>
          <w:color w:val="000000" w:themeColor="text1"/>
          <w:sz w:val="24"/>
          <w:szCs w:val="24"/>
        </w:rPr>
        <w:t>When a contract has been breached there are several possible remedies. The most common is monetary compensation or damages.</w:t>
      </w:r>
    </w:p>
    <w:p w:rsidR="00541666" w:rsidRDefault="00541666" w:rsidP="007659CA">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claim for </w:t>
      </w:r>
      <w:r w:rsidRPr="00541666">
        <w:rPr>
          <w:rFonts w:ascii="Times New Roman" w:hAnsi="Times New Roman" w:cs="Times New Roman"/>
          <w:b/>
          <w:color w:val="000000" w:themeColor="text1"/>
          <w:sz w:val="24"/>
          <w:szCs w:val="24"/>
          <w:u w:val="single"/>
        </w:rPr>
        <w:t>quantum meruit</w:t>
      </w:r>
      <w:r>
        <w:rPr>
          <w:rFonts w:ascii="Times New Roman" w:hAnsi="Times New Roman" w:cs="Times New Roman"/>
          <w:color w:val="000000" w:themeColor="text1"/>
          <w:sz w:val="24"/>
          <w:szCs w:val="24"/>
        </w:rPr>
        <w:t xml:space="preserve"> is a claim for reasonable remuneration i.e. “As much as he deserves”.</w:t>
      </w:r>
    </w:p>
    <w:p w:rsidR="00541666" w:rsidRDefault="00541666" w:rsidP="007659CA">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Any unusual or unexpected losses, for example remoteness of damages, that could not have been reasonably foreseen by the breaching party at the time of the agreement was entered into will not be included in an award or damages.</w:t>
      </w:r>
    </w:p>
    <w:p w:rsidR="00541666" w:rsidRDefault="00541666" w:rsidP="007659CA">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Damages may be adjusted</w:t>
      </w:r>
      <w:r w:rsidR="00EF39A9">
        <w:rPr>
          <w:rFonts w:ascii="Times New Roman" w:hAnsi="Times New Roman" w:cs="Times New Roman"/>
          <w:color w:val="000000" w:themeColor="text1"/>
          <w:sz w:val="24"/>
          <w:szCs w:val="24"/>
        </w:rPr>
        <w:t xml:space="preserve"> if</w:t>
      </w:r>
      <w:r w:rsidR="00F95AF6">
        <w:rPr>
          <w:rFonts w:ascii="Times New Roman" w:hAnsi="Times New Roman" w:cs="Times New Roman"/>
          <w:color w:val="000000" w:themeColor="text1"/>
          <w:sz w:val="24"/>
          <w:szCs w:val="24"/>
        </w:rPr>
        <w:t xml:space="preserve"> the plaintiff fails to limit losses. This would occur in the case of </w:t>
      </w:r>
      <w:r w:rsidR="00F95AF6" w:rsidRPr="00F95AF6">
        <w:rPr>
          <w:rFonts w:ascii="Times New Roman" w:hAnsi="Times New Roman" w:cs="Times New Roman"/>
          <w:b/>
          <w:color w:val="000000" w:themeColor="text1"/>
          <w:sz w:val="24"/>
          <w:szCs w:val="24"/>
        </w:rPr>
        <w:t>contributory negligence</w:t>
      </w:r>
      <w:r w:rsidR="00F95AF6">
        <w:rPr>
          <w:rFonts w:ascii="Times New Roman" w:hAnsi="Times New Roman" w:cs="Times New Roman"/>
          <w:color w:val="000000" w:themeColor="text1"/>
          <w:sz w:val="24"/>
          <w:szCs w:val="24"/>
        </w:rPr>
        <w:t xml:space="preserve">. </w:t>
      </w:r>
    </w:p>
    <w:p w:rsidR="00F95AF6" w:rsidRDefault="00F95AF6" w:rsidP="007659CA">
      <w:pPr>
        <w:pStyle w:val="ListParagraph"/>
        <w:numPr>
          <w:ilvl w:val="0"/>
          <w:numId w:val="36"/>
        </w:numPr>
        <w:rPr>
          <w:rFonts w:ascii="Times New Roman" w:hAnsi="Times New Roman" w:cs="Times New Roman"/>
          <w:color w:val="000000" w:themeColor="text1"/>
          <w:sz w:val="24"/>
          <w:szCs w:val="24"/>
        </w:rPr>
      </w:pPr>
      <w:r w:rsidRPr="00F95AF6">
        <w:rPr>
          <w:rFonts w:ascii="Times New Roman" w:hAnsi="Times New Roman" w:cs="Times New Roman"/>
          <w:b/>
          <w:color w:val="000000" w:themeColor="text1"/>
          <w:sz w:val="24"/>
          <w:szCs w:val="24"/>
        </w:rPr>
        <w:t>Injunction</w:t>
      </w:r>
      <w:r>
        <w:rPr>
          <w:rFonts w:ascii="Times New Roman" w:hAnsi="Times New Roman" w:cs="Times New Roman"/>
          <w:color w:val="000000" w:themeColor="text1"/>
          <w:sz w:val="24"/>
          <w:szCs w:val="24"/>
        </w:rPr>
        <w:t>: An injunction can be used to make a person stop what he/she is doing if it is inconsistent with the terms of the contract.</w:t>
      </w:r>
    </w:p>
    <w:p w:rsidR="00244424" w:rsidRDefault="00F95AF6" w:rsidP="007659CA">
      <w:pPr>
        <w:pStyle w:val="ListParagraph"/>
        <w:numPr>
          <w:ilvl w:val="0"/>
          <w:numId w:val="36"/>
        </w:numPr>
        <w:rPr>
          <w:rFonts w:ascii="Times New Roman" w:hAnsi="Times New Roman" w:cs="Times New Roman"/>
          <w:color w:val="000000" w:themeColor="text1"/>
          <w:sz w:val="24"/>
          <w:szCs w:val="24"/>
        </w:rPr>
      </w:pPr>
      <w:r w:rsidRPr="00F95AF6">
        <w:rPr>
          <w:rFonts w:ascii="Times New Roman" w:hAnsi="Times New Roman" w:cs="Times New Roman"/>
          <w:b/>
          <w:color w:val="000000" w:themeColor="text1"/>
          <w:sz w:val="24"/>
          <w:szCs w:val="24"/>
        </w:rPr>
        <w:t>Specific Performance</w:t>
      </w:r>
      <w:r>
        <w:rPr>
          <w:rFonts w:ascii="Times New Roman" w:hAnsi="Times New Roman" w:cs="Times New Roman"/>
          <w:color w:val="000000" w:themeColor="text1"/>
          <w:sz w:val="24"/>
          <w:szCs w:val="24"/>
        </w:rPr>
        <w:t>: The Courts may also order the breaching party to finish the work under the contract and that is known as specific performance</w:t>
      </w:r>
      <w:r w:rsidRPr="00244424">
        <w:rPr>
          <w:rFonts w:ascii="Times New Roman" w:hAnsi="Times New Roman" w:cs="Times New Roman"/>
          <w:color w:val="000000" w:themeColor="text1"/>
          <w:sz w:val="24"/>
          <w:szCs w:val="24"/>
        </w:rPr>
        <w:t>.</w:t>
      </w:r>
    </w:p>
    <w:p w:rsidR="00244424" w:rsidRDefault="00244424" w:rsidP="0024442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Principles of the Criminal Law</w:t>
      </w:r>
    </w:p>
    <w:p w:rsidR="00F95AF6" w:rsidRDefault="00244424" w:rsidP="007659CA">
      <w:pPr>
        <w:pStyle w:val="ListParagraph"/>
        <w:numPr>
          <w:ilvl w:val="0"/>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Law and Social Control</w:t>
      </w:r>
    </w:p>
    <w:p w:rsidR="0000032B" w:rsidRDefault="0000032B" w:rsidP="007659CA">
      <w:pPr>
        <w:pStyle w:val="ListParagraph"/>
        <w:numPr>
          <w:ilvl w:val="0"/>
          <w:numId w:val="3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What does it mean to punish an individual who violates a criminal law?</w:t>
      </w:r>
    </w:p>
    <w:p w:rsidR="0000032B" w:rsidRDefault="0000032B" w:rsidP="007659CA">
      <w:pPr>
        <w:pStyle w:val="ListParagraph"/>
        <w:numPr>
          <w:ilvl w:val="0"/>
          <w:numId w:val="3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are two ingredients of punishment as a form of social control:</w:t>
      </w:r>
    </w:p>
    <w:p w:rsidR="0000032B" w:rsidRDefault="0000032B" w:rsidP="007659CA">
      <w:pPr>
        <w:pStyle w:val="ListParagraph"/>
        <w:numPr>
          <w:ilvl w:val="0"/>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is inflicted by the group by the group in in its corporate capacity upon one who is regarded as a member of the same group.</w:t>
      </w:r>
    </w:p>
    <w:p w:rsidR="0000032B" w:rsidRDefault="0000032B" w:rsidP="007659CA">
      <w:pPr>
        <w:pStyle w:val="ListParagraph"/>
        <w:numPr>
          <w:ilvl w:val="0"/>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Punishment involves pain or suffering produced by design and justified by some value that the suffering is assumed to have.</w:t>
      </w:r>
    </w:p>
    <w:p w:rsidR="001C09AF" w:rsidRDefault="001C09AF"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Punishment has these purposes: </w:t>
      </w:r>
      <w:r w:rsidRPr="001C09AF">
        <w:rPr>
          <w:rFonts w:ascii="Times New Roman" w:hAnsi="Times New Roman" w:cs="Times New Roman"/>
          <w:color w:val="000000" w:themeColor="text1"/>
          <w:sz w:val="24"/>
          <w:szCs w:val="24"/>
        </w:rPr>
        <w:t>Retribution, Incapacitation and  Deterrence (Specific and General Deterrence)</w:t>
      </w:r>
    </w:p>
    <w:p w:rsidR="001C09AF" w:rsidRDefault="001C09AF"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Punishment also involves incapacitation, for example a prison term, which prevents a violator from misbehaving during the time he or she is being punished. Judicially created public humiliations are also being introduced in courtrooms as alternatives to incarceration and to satisfy a “retributive impulse”.</w:t>
      </w:r>
    </w:p>
    <w:p w:rsidR="001C09AF" w:rsidRDefault="001C09AF"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They are considered as “shaming penalties” –after punishments such as the stocks favoured by the 17</w:t>
      </w:r>
      <w:r w:rsidRPr="001C09AF">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century Puritans-and they take a </w:t>
      </w:r>
      <w:r w:rsidRPr="001C09AF">
        <w:rPr>
          <w:rFonts w:ascii="Times New Roman" w:hAnsi="Times New Roman" w:cs="Times New Roman"/>
          <w:i/>
          <w:color w:val="000000" w:themeColor="text1"/>
          <w:sz w:val="24"/>
          <w:szCs w:val="24"/>
        </w:rPr>
        <w:t>mea culpa</w:t>
      </w:r>
      <w:r>
        <w:rPr>
          <w:rFonts w:ascii="Times New Roman" w:hAnsi="Times New Roman" w:cs="Times New Roman"/>
          <w:color w:val="000000" w:themeColor="text1"/>
          <w:sz w:val="24"/>
          <w:szCs w:val="24"/>
        </w:rPr>
        <w:t xml:space="preserve"> message to the community.</w:t>
      </w:r>
    </w:p>
    <w:p w:rsidR="0099428C" w:rsidRDefault="001C09AF"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For example, in the United States the names</w:t>
      </w:r>
      <w:r w:rsidR="0099428C">
        <w:rPr>
          <w:rFonts w:ascii="Times New Roman" w:hAnsi="Times New Roman" w:cs="Times New Roman"/>
          <w:color w:val="000000" w:themeColor="text1"/>
          <w:sz w:val="24"/>
          <w:szCs w:val="24"/>
        </w:rPr>
        <w:t xml:space="preserve"> of those who solicit prostitutes are identified in local papers or radio shows; drunken drivers carry signs on their cars announcing their problems and urging other drivers to report their erratic driving to the police; convicted shoplifters must take out advertisements in local papers running their photographs and stating their crimes; and the courts have ordered people convicted of assault or child molestation to put signs in their yards announcing their transgressions.</w:t>
      </w:r>
    </w:p>
    <w:p w:rsidR="001C09AF" w:rsidRDefault="0099428C"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Shamming and embarrassment are potent forces in social control,</w:t>
      </w:r>
      <w:r w:rsidR="0015329B">
        <w:rPr>
          <w:rFonts w:ascii="Times New Roman" w:hAnsi="Times New Roman" w:cs="Times New Roman"/>
          <w:color w:val="000000" w:themeColor="text1"/>
          <w:sz w:val="24"/>
          <w:szCs w:val="24"/>
        </w:rPr>
        <w:t xml:space="preserve"> and various techniques are being more and more widely used nowadays. </w:t>
      </w:r>
      <w:r>
        <w:rPr>
          <w:rFonts w:ascii="Times New Roman" w:hAnsi="Times New Roman" w:cs="Times New Roman"/>
          <w:color w:val="000000" w:themeColor="text1"/>
          <w:sz w:val="24"/>
          <w:szCs w:val="24"/>
        </w:rPr>
        <w:t xml:space="preserve"> </w:t>
      </w:r>
    </w:p>
    <w:p w:rsidR="00F36C48" w:rsidRDefault="00F36C48"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Sociologists have recognized that punishment may deter only some criminals and some offenders.</w:t>
      </w:r>
    </w:p>
    <w:p w:rsidR="002C19D2" w:rsidRDefault="002C19D2"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 the basis of these two distinctions-instrumental and expressive acts, and high-and low-commitment offenders-Chambliss contends that the greatest deterrent effect of punishment will be in situations that involve low-commitment individuals who engage in instrumental crimes. Deterrence is least likely in cases involving high-commitment persons who engage</w:t>
      </w:r>
      <w:r w:rsidR="00ED7E09">
        <w:rPr>
          <w:rFonts w:ascii="Times New Roman" w:hAnsi="Times New Roman" w:cs="Times New Roman"/>
          <w:color w:val="000000" w:themeColor="text1"/>
          <w:sz w:val="24"/>
          <w:szCs w:val="24"/>
        </w:rPr>
        <w:t xml:space="preserve"> in expressive crimes.</w:t>
      </w:r>
    </w:p>
    <w:p w:rsidR="00ED7E09" w:rsidRPr="001C09AF" w:rsidRDefault="00ED7E09" w:rsidP="007659CA">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role of deterrence remains questionable in situations that involve low-commitment individuals who commit expressive crimes (such as murder).</w:t>
      </w:r>
    </w:p>
    <w:p w:rsidR="001C09AF" w:rsidRPr="001C09AF" w:rsidRDefault="001C09AF" w:rsidP="001C09AF">
      <w:pPr>
        <w:pStyle w:val="ListParagraph"/>
        <w:ind w:left="1622"/>
        <w:rPr>
          <w:rFonts w:ascii="Times New Roman" w:hAnsi="Times New Roman" w:cs="Times New Roman"/>
          <w:color w:val="000000" w:themeColor="text1"/>
          <w:sz w:val="24"/>
          <w:szCs w:val="24"/>
        </w:rPr>
      </w:pPr>
    </w:p>
    <w:p w:rsidR="00244424" w:rsidRDefault="003807A6" w:rsidP="00244424">
      <w:pPr>
        <w:pStyle w:val="ListParagraph"/>
        <w:ind w:left="783"/>
        <w:rPr>
          <w:rFonts w:ascii="Times New Roman" w:hAnsi="Times New Roman" w:cs="Times New Roman"/>
          <w:b/>
          <w:color w:val="000000" w:themeColor="text1"/>
          <w:sz w:val="24"/>
          <w:szCs w:val="24"/>
        </w:rPr>
      </w:pPr>
      <w:r w:rsidRPr="003807A6">
        <w:rPr>
          <w:rFonts w:ascii="Times New Roman" w:hAnsi="Times New Roman" w:cs="Times New Roman"/>
          <w:b/>
          <w:color w:val="000000" w:themeColor="text1"/>
          <w:sz w:val="24"/>
          <w:szCs w:val="24"/>
        </w:rPr>
        <w:t>Regulatory Offences: Offences of Absolute and Strict Liability</w:t>
      </w:r>
    </w:p>
    <w:p w:rsidR="003807A6" w:rsidRPr="003807A6" w:rsidRDefault="003807A6" w:rsidP="007659CA">
      <w:pPr>
        <w:pStyle w:val="ListParagraph"/>
        <w:numPr>
          <w:ilvl w:val="0"/>
          <w:numId w:val="42"/>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Offence of absolute liability require no mens rea and that no defences are available to the accused: simply doing the act will result in a conviction.</w:t>
      </w:r>
    </w:p>
    <w:p w:rsidR="003807A6" w:rsidRPr="003807A6" w:rsidRDefault="003807A6" w:rsidP="007659CA">
      <w:pPr>
        <w:pStyle w:val="ListParagraph"/>
        <w:numPr>
          <w:ilvl w:val="0"/>
          <w:numId w:val="42"/>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Similarly, with offences of strict liability, the Crown does not have to prove </w:t>
      </w:r>
      <w:r w:rsidRPr="003807A6">
        <w:rPr>
          <w:rFonts w:ascii="Times New Roman" w:hAnsi="Times New Roman" w:cs="Times New Roman"/>
          <w:i/>
          <w:color w:val="000000" w:themeColor="text1"/>
          <w:sz w:val="24"/>
          <w:szCs w:val="24"/>
        </w:rPr>
        <w:t>Mens Rea</w:t>
      </w:r>
      <w:r>
        <w:rPr>
          <w:rFonts w:ascii="Times New Roman" w:hAnsi="Times New Roman" w:cs="Times New Roman"/>
          <w:color w:val="000000" w:themeColor="text1"/>
          <w:sz w:val="24"/>
          <w:szCs w:val="24"/>
        </w:rPr>
        <w:t>, however, certain defences are available.</w:t>
      </w:r>
    </w:p>
    <w:p w:rsidR="003807A6" w:rsidRPr="00EE4BEC" w:rsidRDefault="003807A6" w:rsidP="007659CA">
      <w:pPr>
        <w:pStyle w:val="ListParagraph"/>
        <w:numPr>
          <w:ilvl w:val="0"/>
          <w:numId w:val="42"/>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Due Diligence Defence: </w:t>
      </w:r>
      <w:r>
        <w:rPr>
          <w:rFonts w:ascii="Times New Roman" w:hAnsi="Times New Roman" w:cs="Times New Roman"/>
          <w:color w:val="000000" w:themeColor="text1"/>
          <w:sz w:val="24"/>
          <w:szCs w:val="24"/>
        </w:rPr>
        <w:t>This defence requires that the accused prove that he/she took reasonable care before proceeding, for example checking a person’s ID before selling him/her cigarettes to ensure he/she/they is not a minor.</w:t>
      </w:r>
    </w:p>
    <w:p w:rsidR="00EE4BEC" w:rsidRPr="006401FD" w:rsidRDefault="00EE4BEC" w:rsidP="007659CA">
      <w:pPr>
        <w:pStyle w:val="ListParagraph"/>
        <w:numPr>
          <w:ilvl w:val="0"/>
          <w:numId w:val="42"/>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Section 351.</w:t>
      </w:r>
      <w:r>
        <w:rPr>
          <w:rFonts w:ascii="Times New Roman" w:hAnsi="Times New Roman" w:cs="Times New Roman"/>
          <w:sz w:val="24"/>
          <w:szCs w:val="24"/>
        </w:rPr>
        <w:t xml:space="preserve"> (1) –</w:t>
      </w:r>
      <w:r w:rsidRPr="00DF74B1">
        <w:rPr>
          <w:rFonts w:ascii="Times New Roman" w:hAnsi="Times New Roman" w:cs="Times New Roman"/>
          <w:b/>
          <w:sz w:val="24"/>
          <w:szCs w:val="24"/>
        </w:rPr>
        <w:t>Possession of Break-In Instruments</w:t>
      </w:r>
      <w:r w:rsidR="00DF74B1">
        <w:rPr>
          <w:rFonts w:ascii="Times New Roman" w:hAnsi="Times New Roman" w:cs="Times New Roman"/>
          <w:b/>
          <w:sz w:val="24"/>
          <w:szCs w:val="24"/>
        </w:rPr>
        <w:t xml:space="preserve"> </w:t>
      </w:r>
      <w:r w:rsidR="00DF74B1" w:rsidRPr="00DF74B1">
        <w:rPr>
          <w:rFonts w:ascii="Times New Roman" w:hAnsi="Times New Roman" w:cs="Times New Roman"/>
          <w:sz w:val="24"/>
          <w:szCs w:val="24"/>
        </w:rPr>
        <w:t>(Strict Liability Offence)</w:t>
      </w:r>
      <w:r>
        <w:rPr>
          <w:rFonts w:ascii="Times New Roman" w:hAnsi="Times New Roman" w:cs="Times New Roman"/>
          <w:sz w:val="24"/>
          <w:szCs w:val="24"/>
        </w:rPr>
        <w:t xml:space="preserve">: This section of the Criminal Code requires that the Crown establish that the accused had in his/her possession tools suitable for the purpose of breaking into the house. There is no need to prove that the accused intended to use them to commit a burglary. Intent is presumed from the possession. </w:t>
      </w:r>
    </w:p>
    <w:p w:rsidR="006401FD" w:rsidRDefault="006401FD" w:rsidP="007659CA">
      <w:pPr>
        <w:pStyle w:val="ListParagraph"/>
        <w:numPr>
          <w:ilvl w:val="0"/>
          <w:numId w:val="42"/>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This section is an offence of strict liability because the law provides a possible defence to the accused and makes it clear that if a person can establish a lawful excuse i.e. </w:t>
      </w:r>
      <w:r w:rsidRPr="006401FD">
        <w:rPr>
          <w:rFonts w:ascii="Times New Roman" w:hAnsi="Times New Roman" w:cs="Times New Roman"/>
          <w:b/>
          <w:color w:val="000000" w:themeColor="text1"/>
          <w:sz w:val="24"/>
          <w:szCs w:val="24"/>
        </w:rPr>
        <w:t>due diligence defence</w:t>
      </w:r>
      <w:r>
        <w:rPr>
          <w:rFonts w:ascii="Times New Roman" w:hAnsi="Times New Roman" w:cs="Times New Roman"/>
          <w:color w:val="000000" w:themeColor="text1"/>
          <w:sz w:val="24"/>
          <w:szCs w:val="24"/>
        </w:rPr>
        <w:t>, for possessing burglary tools, he/she can win an acquittal. However, the onus is on the accused to prove he/she had the instruments for a legal purpose.</w:t>
      </w:r>
    </w:p>
    <w:p w:rsidR="006401FD" w:rsidRDefault="006401FD" w:rsidP="007659CA">
      <w:pPr>
        <w:pStyle w:val="ListParagraph"/>
        <w:numPr>
          <w:ilvl w:val="0"/>
          <w:numId w:val="43"/>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Strict liability + No Mens Rea = Due Diligence</w:t>
      </w:r>
    </w:p>
    <w:p w:rsidR="006401FD" w:rsidRDefault="006401FD" w:rsidP="007659CA">
      <w:pPr>
        <w:pStyle w:val="ListParagraph"/>
        <w:numPr>
          <w:ilvl w:val="0"/>
          <w:numId w:val="43"/>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Absolute Liability+ No Mens Rea= No Defence</w:t>
      </w:r>
    </w:p>
    <w:p w:rsidR="00477068" w:rsidRDefault="006B7A68" w:rsidP="0047706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Mental Disorder and the Law</w:t>
      </w:r>
    </w:p>
    <w:p w:rsidR="006B7A68" w:rsidRDefault="006B7A68" w:rsidP="007659CA">
      <w:pPr>
        <w:pStyle w:val="ListParagraph"/>
        <w:numPr>
          <w:ilvl w:val="0"/>
          <w:numId w:val="44"/>
        </w:numPr>
        <w:rPr>
          <w:rFonts w:ascii="Times New Roman" w:hAnsi="Times New Roman" w:cs="Times New Roman"/>
          <w:color w:val="000000" w:themeColor="text1"/>
          <w:sz w:val="24"/>
          <w:szCs w:val="24"/>
        </w:rPr>
      </w:pPr>
      <w:r w:rsidRPr="006B7A68">
        <w:rPr>
          <w:rFonts w:ascii="Times New Roman" w:hAnsi="Times New Roman" w:cs="Times New Roman"/>
          <w:color w:val="000000" w:themeColor="text1"/>
          <w:sz w:val="24"/>
          <w:szCs w:val="24"/>
        </w:rPr>
        <w:t>Civil Commitment</w:t>
      </w:r>
    </w:p>
    <w:p w:rsidR="006B7A68" w:rsidRDefault="006B7A68"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formal control of deviant behaviour is not limited to criminal sanctions. There is another form of social control through laws that operates through </w:t>
      </w:r>
      <w:r w:rsidRPr="006B7A68">
        <w:rPr>
          <w:rFonts w:ascii="Times New Roman" w:hAnsi="Times New Roman" w:cs="Times New Roman"/>
          <w:b/>
          <w:color w:val="000000" w:themeColor="text1"/>
          <w:sz w:val="24"/>
          <w:szCs w:val="24"/>
        </w:rPr>
        <w:t>the medicalization of deviance</w:t>
      </w:r>
      <w:r>
        <w:rPr>
          <w:rFonts w:ascii="Times New Roman" w:hAnsi="Times New Roman" w:cs="Times New Roman"/>
          <w:color w:val="000000" w:themeColor="text1"/>
          <w:sz w:val="24"/>
          <w:szCs w:val="24"/>
        </w:rPr>
        <w:t>.</w:t>
      </w:r>
    </w:p>
    <w:p w:rsidR="006B7A68" w:rsidRDefault="006B7A68"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“Medicalization” refers to the process of defining behaviour as a medical problem or illness and mandating the medical profession to provide treatment for it. Examples of this would include treating drug abuse and alcoholism as diseases, and viewing violence as a genetic or psychological disorder. </w:t>
      </w:r>
    </w:p>
    <w:p w:rsidR="00495256" w:rsidRDefault="00495256"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Procedurally, civil commitment is different from criminal commitment. In comparison to criminal procedures, there are fewer safeguards protecting the rights of persons confined under civil commitment legislation. In civil commitment, certain procedural safeguards are not available, such as a right to trial by jury, which involves confronting witnesses against the defendant, and the right to avoid testifying against oneself. </w:t>
      </w:r>
    </w:p>
    <w:p w:rsidR="00495256" w:rsidRDefault="00495256"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Moreover, the formal moral condemnation of the community is not an issue in involuntary commitment. </w:t>
      </w:r>
    </w:p>
    <w:p w:rsidR="00AA62AB" w:rsidRDefault="00AA62AB"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situation may arise if the behaviour is intentional but not morally blameworthy, as in a civil suit for damages, or if the behaviour would have been morally blameworthy, but because of mental impairment, criminal culpability is either mitigated or negated. In the latter instance, the issue is not the person’s behaviour but his status. In this view, a heroin addict, a mentally incompetent person, or a sex offender is not held morally responsible for his or her actions.</w:t>
      </w:r>
    </w:p>
    <w:p w:rsidR="00AA62AB" w:rsidRDefault="00AA62AB"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general consensus is that the individual deserves treatment</w:t>
      </w:r>
      <w:r w:rsidR="00E95648">
        <w:rPr>
          <w:rFonts w:ascii="Times New Roman" w:hAnsi="Times New Roman" w:cs="Times New Roman"/>
          <w:color w:val="000000" w:themeColor="text1"/>
          <w:sz w:val="24"/>
          <w:szCs w:val="24"/>
        </w:rPr>
        <w:t>, not punishment, even though the treatment may entail the loss of liberty in a mental institution</w:t>
      </w:r>
      <w:r w:rsidR="00E95648" w:rsidRPr="00E95648">
        <w:rPr>
          <w:rFonts w:ascii="Times New Roman" w:hAnsi="Times New Roman" w:cs="Times New Roman"/>
          <w:color w:val="000000" w:themeColor="text1"/>
          <w:sz w:val="24"/>
          <w:szCs w:val="24"/>
        </w:rPr>
        <w:t xml:space="preserve"> without due process.</w:t>
      </w:r>
    </w:p>
    <w:p w:rsidR="00E95648" w:rsidRDefault="00E95648"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the legal arena, the causes of criminal behaviour and the responsibility for such behaviour lie within the individual. But in a legal system that posits individual causation, complications arise in attempts to control individuals who are threatening yet have broken no law. One way to control such individuals is to define their conduct as a mental disorder.</w:t>
      </w:r>
    </w:p>
    <w:p w:rsidR="00E95648" w:rsidRPr="007A7860" w:rsidRDefault="00E95648" w:rsidP="007659CA">
      <w:pPr>
        <w:pStyle w:val="ListParagraph"/>
        <w:numPr>
          <w:ilvl w:val="0"/>
          <w:numId w:val="4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Labelling someone as mentally ill has the combined effect of attributing irrationality to the behaviour and providing for the control of the individual through ostensibly (apparently) benign (compassionate), but </w:t>
      </w:r>
      <w:r w:rsidRPr="007A7860">
        <w:rPr>
          <w:rFonts w:ascii="Times New Roman" w:hAnsi="Times New Roman" w:cs="Times New Roman"/>
          <w:b/>
          <w:color w:val="000000" w:themeColor="text1"/>
          <w:sz w:val="24"/>
          <w:szCs w:val="24"/>
        </w:rPr>
        <w:t>coercive psychiatric intervention.</w:t>
      </w:r>
    </w:p>
    <w:p w:rsidR="00E95648" w:rsidRDefault="00E95648"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Positive criminologists view the increase in </w:t>
      </w:r>
      <w:r w:rsidRPr="007A7860">
        <w:rPr>
          <w:rFonts w:ascii="Times New Roman" w:hAnsi="Times New Roman" w:cs="Times New Roman"/>
          <w:b/>
          <w:color w:val="000000" w:themeColor="text1"/>
          <w:sz w:val="24"/>
          <w:szCs w:val="24"/>
        </w:rPr>
        <w:t>civil commitments</w:t>
      </w:r>
      <w:r>
        <w:rPr>
          <w:rFonts w:ascii="Times New Roman" w:hAnsi="Times New Roman" w:cs="Times New Roman"/>
          <w:color w:val="000000" w:themeColor="text1"/>
          <w:sz w:val="24"/>
          <w:szCs w:val="24"/>
        </w:rPr>
        <w:t xml:space="preserve"> as a beneficial shift from the traditional emphasis on punishing people to rehabilitating them. Another explanation for the increased use of civil commitments (the divestment of the criminal law) is that the civil commitment serves as substitute for, or a supplement to, criminal law in order to socially control undesirable forms of behaviour. </w:t>
      </w:r>
    </w:p>
    <w:p w:rsidR="00EB5D6E" w:rsidRDefault="00EB5D6E"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Some critics advocate the abolition of all civil commitment laws because the rights of the individuals subjected to them are violated, in spite of the number of recent laws designed to protect the rights of the mentally ill. </w:t>
      </w:r>
    </w:p>
    <w:p w:rsidR="005E4236" w:rsidRDefault="00EB5D6E" w:rsidP="007659CA">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Others</w:t>
      </w:r>
      <w:r w:rsidR="004C16B0">
        <w:rPr>
          <w:rFonts w:ascii="Times New Roman" w:hAnsi="Times New Roman" w:cs="Times New Roman"/>
          <w:color w:val="000000" w:themeColor="text1"/>
          <w:sz w:val="24"/>
          <w:szCs w:val="24"/>
        </w:rPr>
        <w:t xml:space="preserve"> oppose civil commitment and allied measures (for example the transfer of mentally ill prisoners to psychiatric facilities) because they allow people to avoid the punishment they deserve. Although the issue remains controversial, the use of civil commitment as a form of social control is on the increase. </w:t>
      </w:r>
    </w:p>
    <w:p w:rsidR="00A9674F" w:rsidRPr="005E4236" w:rsidRDefault="00A9674F" w:rsidP="007659CA">
      <w:pPr>
        <w:pStyle w:val="ListParagraph"/>
        <w:numPr>
          <w:ilvl w:val="0"/>
          <w:numId w:val="45"/>
        </w:numPr>
        <w:rPr>
          <w:rFonts w:ascii="Times New Roman" w:hAnsi="Times New Roman" w:cs="Times New Roman"/>
          <w:color w:val="000000" w:themeColor="text1"/>
          <w:sz w:val="24"/>
          <w:szCs w:val="24"/>
        </w:rPr>
      </w:pPr>
      <w:r w:rsidRPr="00A9674F">
        <w:rPr>
          <w:rFonts w:ascii="Times New Roman" w:hAnsi="Times New Roman" w:cs="Times New Roman"/>
          <w:b/>
          <w:color w:val="000000" w:themeColor="text1"/>
          <w:sz w:val="24"/>
          <w:szCs w:val="24"/>
          <w:u w:val="single"/>
        </w:rPr>
        <w:t>Parens Patriae</w:t>
      </w:r>
      <w:r>
        <w:rPr>
          <w:rFonts w:ascii="Times New Roman" w:hAnsi="Times New Roman" w:cs="Times New Roman"/>
          <w:color w:val="000000" w:themeColor="text1"/>
          <w:sz w:val="24"/>
          <w:szCs w:val="24"/>
        </w:rPr>
        <w:t xml:space="preserve"> means the jurisdiction of judges “to act beyond the scope of the statute or interpretive law to protect the weak, vulnerable, and mentally incompetent”. </w:t>
      </w:r>
    </w:p>
    <w:p w:rsidR="00E62729" w:rsidRPr="005E4236" w:rsidRDefault="005E4236" w:rsidP="005E4236">
      <w:pPr>
        <w:rPr>
          <w:rFonts w:ascii="Times New Roman" w:hAnsi="Times New Roman" w:cs="Times New Roman"/>
          <w:i/>
          <w:color w:val="000000" w:themeColor="text1"/>
          <w:sz w:val="24"/>
          <w:szCs w:val="24"/>
        </w:rPr>
      </w:pPr>
      <w:r w:rsidRPr="005E4236">
        <w:rPr>
          <w:rFonts w:ascii="Times New Roman" w:hAnsi="Times New Roman" w:cs="Times New Roman"/>
          <w:i/>
          <w:color w:val="000000" w:themeColor="text1"/>
          <w:sz w:val="24"/>
          <w:szCs w:val="24"/>
        </w:rPr>
        <w:t xml:space="preserve">The Mental Health Act of Ontario </w:t>
      </w:r>
      <w:r w:rsidRPr="005E4236">
        <w:rPr>
          <w:rFonts w:ascii="Times New Roman" w:hAnsi="Times New Roman" w:cs="Times New Roman"/>
          <w:color w:val="000000" w:themeColor="text1"/>
          <w:sz w:val="24"/>
          <w:szCs w:val="24"/>
        </w:rPr>
        <w:t>1990</w:t>
      </w:r>
    </w:p>
    <w:p w:rsidR="005E4236" w:rsidRPr="005E4236" w:rsidRDefault="005E4236" w:rsidP="005E4236">
      <w:pPr>
        <w:rPr>
          <w:rFonts w:ascii="Times New Roman" w:hAnsi="Times New Roman" w:cs="Times New Roman"/>
          <w:b/>
          <w:bCs/>
          <w:color w:val="000000" w:themeColor="text1"/>
          <w:sz w:val="24"/>
          <w:szCs w:val="24"/>
        </w:rPr>
      </w:pPr>
      <w:r w:rsidRPr="005E4236">
        <w:rPr>
          <w:rFonts w:ascii="Times New Roman" w:hAnsi="Times New Roman" w:cs="Times New Roman"/>
          <w:b/>
          <w:bCs/>
          <w:color w:val="000000" w:themeColor="text1"/>
          <w:sz w:val="24"/>
          <w:szCs w:val="24"/>
        </w:rPr>
        <w:t>Application for psychiatric assessment</w:t>
      </w:r>
    </w:p>
    <w:bookmarkStart w:id="1" w:name="P240_13172"/>
    <w:bookmarkStart w:id="2" w:name="s15s1"/>
    <w:bookmarkStart w:id="3" w:name="BK12"/>
    <w:bookmarkEnd w:id="1"/>
    <w:bookmarkEnd w:id="2"/>
    <w:bookmarkEnd w:id="3"/>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bCs/>
          <w:color w:val="000000" w:themeColor="text1"/>
          <w:sz w:val="24"/>
          <w:szCs w:val="24"/>
        </w:rPr>
        <w:fldChar w:fldCharType="begin"/>
      </w:r>
      <w:r w:rsidRPr="005E4236">
        <w:rPr>
          <w:rFonts w:ascii="Times New Roman" w:hAnsi="Times New Roman" w:cs="Times New Roman"/>
          <w:bCs/>
          <w:color w:val="000000" w:themeColor="text1"/>
          <w:sz w:val="24"/>
          <w:szCs w:val="24"/>
        </w:rPr>
        <w:instrText xml:space="preserve"> HYPERLINK "http://www.e-laws.gov.on.ca/html/statutes/french/elaws_statutes_90m07_f.htm" \l "s15s1" </w:instrText>
      </w:r>
      <w:r w:rsidRPr="005E4236">
        <w:rPr>
          <w:rFonts w:ascii="Times New Roman" w:hAnsi="Times New Roman" w:cs="Times New Roman"/>
          <w:bCs/>
          <w:color w:val="000000" w:themeColor="text1"/>
          <w:sz w:val="24"/>
          <w:szCs w:val="24"/>
        </w:rPr>
        <w:fldChar w:fldCharType="separate"/>
      </w:r>
      <w:r w:rsidRPr="005E4236">
        <w:rPr>
          <w:rStyle w:val="Hyperlink"/>
          <w:rFonts w:ascii="Times New Roman" w:hAnsi="Times New Roman" w:cs="Times New Roman"/>
          <w:bCs/>
          <w:color w:val="000000" w:themeColor="text1"/>
          <w:sz w:val="24"/>
          <w:szCs w:val="24"/>
        </w:rPr>
        <w:t>15.</w:t>
      </w:r>
      <w:r w:rsidRPr="005E4236">
        <w:rPr>
          <w:rFonts w:ascii="Times New Roman" w:hAnsi="Times New Roman" w:cs="Times New Roman"/>
          <w:color w:val="000000" w:themeColor="text1"/>
          <w:sz w:val="24"/>
          <w:szCs w:val="24"/>
        </w:rPr>
        <w:fldChar w:fldCharType="end"/>
      </w:r>
      <w:hyperlink r:id="rId27" w:anchor="s15s1" w:history="1">
        <w:r w:rsidRPr="005E4236">
          <w:rPr>
            <w:rStyle w:val="Hyperlink"/>
            <w:rFonts w:ascii="Times New Roman" w:hAnsi="Times New Roman" w:cs="Times New Roman"/>
            <w:color w:val="000000" w:themeColor="text1"/>
            <w:sz w:val="24"/>
            <w:szCs w:val="24"/>
          </w:rPr>
          <w:t>(1)</w:t>
        </w:r>
      </w:hyperlink>
      <w:r w:rsidRPr="005E4236">
        <w:rPr>
          <w:rFonts w:ascii="Times New Roman" w:hAnsi="Times New Roman" w:cs="Times New Roman"/>
          <w:color w:val="000000" w:themeColor="text1"/>
          <w:sz w:val="24"/>
          <w:szCs w:val="24"/>
        </w:rPr>
        <w:t>Where a physician examines a person and has reasonable cause to believe that the person,</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(a) has threatened or attempted or is threatening or attempting to cause bodily harm to himself or herself;</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(b) has behaved or is behaving violently towards another person or has caused or is causing another person to fear bodily harm from him or her; or</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(c) has shown or is showing a lack of competence to care for himself or herself,</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and if in addition the physician is of the opinion that the person is apparently suffering from mental disorder of a nature or quality that likely will result in,</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(d) serious bodily harm to the person;</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(e) serious bodily harm to another person; or</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(f) serious physical impairment of the person,</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the physician may make application in the prescribed form for a psychiatric assessment of the person. R.S.O. 1990, c. M.7, s. 15 (1); 2000, c. 9, s. 3 (1).</w:t>
      </w:r>
    </w:p>
    <w:p w:rsidR="005E4236" w:rsidRPr="005E4236" w:rsidRDefault="005E4236" w:rsidP="005E4236">
      <w:pPr>
        <w:rPr>
          <w:rFonts w:ascii="Times New Roman" w:hAnsi="Times New Roman" w:cs="Times New Roman"/>
          <w:bCs/>
          <w:color w:val="000000" w:themeColor="text1"/>
          <w:sz w:val="24"/>
          <w:szCs w:val="24"/>
        </w:rPr>
      </w:pPr>
      <w:r w:rsidRPr="005E4236">
        <w:rPr>
          <w:rFonts w:ascii="Times New Roman" w:hAnsi="Times New Roman" w:cs="Times New Roman"/>
          <w:bCs/>
          <w:color w:val="000000" w:themeColor="text1"/>
          <w:sz w:val="24"/>
          <w:szCs w:val="24"/>
        </w:rPr>
        <w:t>Same</w:t>
      </w:r>
    </w:p>
    <w:bookmarkStart w:id="4" w:name="P250_14050"/>
    <w:bookmarkStart w:id="5" w:name="s15s1p1"/>
    <w:bookmarkEnd w:id="4"/>
    <w:bookmarkEnd w:id="5"/>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fldChar w:fldCharType="begin"/>
      </w:r>
      <w:r w:rsidRPr="005E4236">
        <w:rPr>
          <w:rFonts w:ascii="Times New Roman" w:hAnsi="Times New Roman" w:cs="Times New Roman"/>
          <w:color w:val="000000" w:themeColor="text1"/>
          <w:sz w:val="24"/>
          <w:szCs w:val="24"/>
        </w:rPr>
        <w:instrText xml:space="preserve"> HYPERLINK "http://www.e-laws.gov.on.ca/html/statutes/french/elaws_statutes_90m07_f.htm" \l "s15s1p1" </w:instrText>
      </w:r>
      <w:r w:rsidRPr="005E4236">
        <w:rPr>
          <w:rFonts w:ascii="Times New Roman" w:hAnsi="Times New Roman" w:cs="Times New Roman"/>
          <w:color w:val="000000" w:themeColor="text1"/>
          <w:sz w:val="24"/>
          <w:szCs w:val="24"/>
        </w:rPr>
        <w:fldChar w:fldCharType="separate"/>
      </w:r>
      <w:r w:rsidRPr="005E4236">
        <w:rPr>
          <w:rStyle w:val="Hyperlink"/>
          <w:rFonts w:ascii="Times New Roman" w:hAnsi="Times New Roman" w:cs="Times New Roman"/>
          <w:color w:val="000000" w:themeColor="text1"/>
          <w:sz w:val="24"/>
          <w:szCs w:val="24"/>
        </w:rPr>
        <w:t>(1.1)</w:t>
      </w:r>
      <w:r w:rsidRPr="005E4236">
        <w:rPr>
          <w:rFonts w:ascii="Times New Roman" w:hAnsi="Times New Roman" w:cs="Times New Roman"/>
          <w:color w:val="000000" w:themeColor="text1"/>
          <w:sz w:val="24"/>
          <w:szCs w:val="24"/>
        </w:rPr>
        <w:fldChar w:fldCharType="end"/>
      </w:r>
      <w:r w:rsidRPr="005E4236">
        <w:rPr>
          <w:rFonts w:ascii="Times New Roman" w:hAnsi="Times New Roman" w:cs="Times New Roman"/>
          <w:color w:val="000000" w:themeColor="text1"/>
          <w:sz w:val="24"/>
          <w:szCs w:val="24"/>
        </w:rPr>
        <w:t>Where a physician examines a person and has reasonable cause to believe that the person,</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(a) has previously received treatment for mental disorder of an ongoing or recurring nature that, when not treated, is of a nature or quality that likely will result in serious bodily harm to the person or to another person or substantial mental or physical deterioration of the person or serious physical impairment of the person; and</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(b) has shown clinical improvement as a result of the treatment,</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and if in addition the physician is of the opinion that the person,</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(c) is apparently suffering from the same mental disorder as the one for which he or she previously received treatment or from a mental disorder that is similar to the previous one;</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(d) given the person’s history of mental disorder and current mental or physical condition, is likely to cause serious bodily harm to himself or herself or to another person or is likely to suffer substantial mental or physical deterioration or serious physical impairment; and</w:t>
      </w:r>
    </w:p>
    <w:p w:rsidR="005E4236" w:rsidRP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(e) is incapable, within the meaning of the </w:t>
      </w:r>
      <w:r w:rsidRPr="005E4236">
        <w:rPr>
          <w:rFonts w:ascii="Times New Roman" w:hAnsi="Times New Roman" w:cs="Times New Roman"/>
          <w:i/>
          <w:iCs/>
          <w:color w:val="000000" w:themeColor="text1"/>
          <w:sz w:val="24"/>
          <w:szCs w:val="24"/>
        </w:rPr>
        <w:t>Health Care Consent Act, 1996</w:t>
      </w:r>
      <w:r w:rsidRPr="005E4236">
        <w:rPr>
          <w:rFonts w:ascii="Times New Roman" w:hAnsi="Times New Roman" w:cs="Times New Roman"/>
          <w:color w:val="000000" w:themeColor="text1"/>
          <w:sz w:val="24"/>
          <w:szCs w:val="24"/>
        </w:rPr>
        <w:t>, of consenting to his or her treatment in a psychiatric facility and the consent of his or her substitute decision-maker has been obtained,</w:t>
      </w:r>
    </w:p>
    <w:p w:rsidR="005E4236" w:rsidRDefault="005E4236" w:rsidP="005E4236">
      <w:pPr>
        <w:rPr>
          <w:rFonts w:ascii="Times New Roman" w:hAnsi="Times New Roman" w:cs="Times New Roman"/>
          <w:color w:val="000000" w:themeColor="text1"/>
          <w:sz w:val="24"/>
          <w:szCs w:val="24"/>
        </w:rPr>
      </w:pPr>
      <w:r w:rsidRPr="005E4236">
        <w:rPr>
          <w:rFonts w:ascii="Times New Roman" w:hAnsi="Times New Roman" w:cs="Times New Roman"/>
          <w:color w:val="000000" w:themeColor="text1"/>
          <w:sz w:val="24"/>
          <w:szCs w:val="24"/>
        </w:rPr>
        <w:t>the physician may make application in the prescribed form for a psychiatric assessment of the person. 2000, c. 9, s. 3 (2).</w:t>
      </w:r>
    </w:p>
    <w:p w:rsidR="004034BE" w:rsidRPr="00AB15C1" w:rsidRDefault="00AB15C1" w:rsidP="005E4236">
      <w:pPr>
        <w:rPr>
          <w:rFonts w:ascii="Times New Roman" w:hAnsi="Times New Roman" w:cs="Times New Roman"/>
          <w:b/>
          <w:color w:val="000000" w:themeColor="text1"/>
          <w:sz w:val="24"/>
          <w:szCs w:val="24"/>
        </w:rPr>
      </w:pPr>
      <w:r w:rsidRPr="00AB15C1">
        <w:rPr>
          <w:rFonts w:ascii="Times New Roman" w:hAnsi="Times New Roman" w:cs="Times New Roman"/>
          <w:b/>
          <w:color w:val="000000" w:themeColor="text1"/>
          <w:sz w:val="24"/>
          <w:szCs w:val="24"/>
        </w:rPr>
        <w:t>Justice of the peace’s order for psychiatric examination</w:t>
      </w:r>
    </w:p>
    <w:p w:rsidR="00AB15C1" w:rsidRDefault="00AB15C1" w:rsidP="005E42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An order under this section may be directed to all or any police officers of the locality within which the justice has jurisdiction and shall name or otherwise describe the person with respect to whom the order has been made.</w:t>
      </w:r>
    </w:p>
    <w:p w:rsidR="00AB15C1" w:rsidRDefault="00AB15C1" w:rsidP="005E42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An order under this section shall direct, and for period not to exceed seven days from and including the day that it is made, is sufficient authority for any police officer to whom it is addressed to take the person named or described therein in custody forthwith to an appropriate place where he or she may be detained for examination by a physician. </w:t>
      </w:r>
    </w:p>
    <w:p w:rsidR="0093270D" w:rsidRPr="0093270D" w:rsidRDefault="0093270D" w:rsidP="005E4236">
      <w:pPr>
        <w:rPr>
          <w:rFonts w:ascii="Times New Roman" w:hAnsi="Times New Roman" w:cs="Times New Roman"/>
          <w:b/>
          <w:color w:val="000000" w:themeColor="text1"/>
          <w:sz w:val="24"/>
          <w:szCs w:val="24"/>
        </w:rPr>
      </w:pPr>
      <w:r w:rsidRPr="0093270D">
        <w:rPr>
          <w:rFonts w:ascii="Times New Roman" w:hAnsi="Times New Roman" w:cs="Times New Roman"/>
          <w:b/>
          <w:color w:val="000000" w:themeColor="text1"/>
          <w:sz w:val="24"/>
          <w:szCs w:val="24"/>
        </w:rPr>
        <w:t>Change from informal or voluntary patient to involuntary patient</w:t>
      </w:r>
    </w:p>
    <w:p w:rsidR="0093270D" w:rsidRDefault="0093270D" w:rsidP="005E42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19. Subject to subsections 20 (1.1) and 5, the attending physician may change the status of an informal or voluntary patient to that of an involuntary patient by completing and filing with the officer in charge a </w:t>
      </w:r>
      <w:r w:rsidRPr="0093270D">
        <w:rPr>
          <w:rFonts w:ascii="Times New Roman" w:hAnsi="Times New Roman" w:cs="Times New Roman"/>
          <w:b/>
          <w:color w:val="000000" w:themeColor="text1"/>
          <w:sz w:val="24"/>
          <w:szCs w:val="24"/>
        </w:rPr>
        <w:t>certificate of involuntary admission</w:t>
      </w:r>
      <w:r>
        <w:rPr>
          <w:rFonts w:ascii="Times New Roman" w:hAnsi="Times New Roman" w:cs="Times New Roman"/>
          <w:color w:val="000000" w:themeColor="text1"/>
          <w:sz w:val="24"/>
          <w:szCs w:val="24"/>
        </w:rPr>
        <w:t>.</w:t>
      </w:r>
    </w:p>
    <w:p w:rsidR="0093270D" w:rsidRDefault="0093270D" w:rsidP="005E42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Duty of attending physician</w:t>
      </w:r>
    </w:p>
    <w:p w:rsidR="0093270D" w:rsidRDefault="0093270D" w:rsidP="005E42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 (1) the attending physician, after observing and examining a person who is the subject of an application for assessment under section 15 or who is the subject of an order under section 32,</w:t>
      </w:r>
    </w:p>
    <w:p w:rsidR="0093270D" w:rsidRDefault="0093270D" w:rsidP="0093270D">
      <w:pPr>
        <w:pStyle w:val="ListParagraph"/>
        <w:numPr>
          <w:ilvl w:val="0"/>
          <w:numId w:val="5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Shall release the person from the psychiatric facility if the attending physician if of the opinion that the person</w:t>
      </w:r>
      <w:r w:rsidR="007424C5">
        <w:rPr>
          <w:rFonts w:ascii="Times New Roman" w:hAnsi="Times New Roman" w:cs="Times New Roman"/>
          <w:color w:val="000000" w:themeColor="text1"/>
          <w:sz w:val="24"/>
          <w:szCs w:val="24"/>
        </w:rPr>
        <w:t xml:space="preserve"> is not in need of the treatment provided in a psychiatric facility,</w:t>
      </w:r>
    </w:p>
    <w:p w:rsidR="007424C5" w:rsidRDefault="007424C5" w:rsidP="0093270D">
      <w:pPr>
        <w:pStyle w:val="ListParagraph"/>
        <w:numPr>
          <w:ilvl w:val="0"/>
          <w:numId w:val="5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Shall admit the person as an informal or voluntary patient if the attending physician is of the opinion that the person is suffering from mental disorder of such a nature or quality that the person is in need of the treatment provided in a psychiatric facility and is suitable for admission as an informal or voluntary patient, or</w:t>
      </w:r>
    </w:p>
    <w:p w:rsidR="007424C5" w:rsidRDefault="007424C5" w:rsidP="0093270D">
      <w:pPr>
        <w:pStyle w:val="ListParagraph"/>
        <w:numPr>
          <w:ilvl w:val="0"/>
          <w:numId w:val="5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Shall admit the person as an involuntary patient by completing and filling with the officer in charge a certificate of involuntary admission if the attending physician is of the opinion that the conditions set out in subsections (1.1) or (5) are met.</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Where Communication may be withheld</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Where the officer in charge or a person acting under his or her authority has reasonable and probable grounds to believe</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that the contents of a communication written by a patient would</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be unreasonably offensive to the addressee, or</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(ii) Prejudice the best interests of the patient; or</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that the contents of a communication sent to the patient would</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interfere with the treatment of the patient, or</w:t>
      </w:r>
    </w:p>
    <w:p w:rsidR="00BC291B" w:rsidRDefault="00BC291B" w:rsidP="00BC29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(ii) Cause the patient unnecessary distress</w:t>
      </w:r>
    </w:p>
    <w:p w:rsidR="00DE72F3" w:rsidRDefault="00BC291B" w:rsidP="00DE72F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officer in charge or a person acting under his or her authority may open and examine the contents thereof and, if any condition mentioned in clause (a) or (b), as the case may be, exists, may withhold such communication. </w:t>
      </w:r>
    </w:p>
    <w:p w:rsidR="00DE72F3" w:rsidRDefault="00DE72F3" w:rsidP="00DE72F3">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Subsection (2) does not apply to a  communication written by a patient to, or appearing to be sent to a patient by,</w:t>
      </w:r>
    </w:p>
    <w:p w:rsidR="00DE72F3" w:rsidRDefault="00DE72F3" w:rsidP="00DE72F3">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barrister or solicitor</w:t>
      </w:r>
    </w:p>
    <w:p w:rsidR="00DE72F3" w:rsidRDefault="00DE72F3" w:rsidP="00DE72F3">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member of the board; or</w:t>
      </w:r>
    </w:p>
    <w:p w:rsidR="00256B84" w:rsidRDefault="00DE72F3" w:rsidP="00BC291B">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member of the assembly</w:t>
      </w:r>
    </w:p>
    <w:p w:rsidR="003A187D" w:rsidRDefault="003A187D" w:rsidP="003A187D">
      <w:pPr>
        <w:pStyle w:val="ListParagraph"/>
        <w:ind w:left="1440"/>
        <w:rPr>
          <w:rFonts w:ascii="Times New Roman" w:hAnsi="Times New Roman" w:cs="Times New Roman"/>
          <w:color w:val="000000" w:themeColor="text1"/>
          <w:sz w:val="24"/>
          <w:szCs w:val="24"/>
        </w:rPr>
      </w:pPr>
    </w:p>
    <w:p w:rsidR="00256B84" w:rsidRDefault="003A187D" w:rsidP="003A187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Defence of Mental Disorder</w:t>
      </w:r>
    </w:p>
    <w:p w:rsidR="003A187D" w:rsidRPr="003A187D" w:rsidRDefault="003A187D" w:rsidP="003A187D">
      <w:pPr>
        <w:pStyle w:val="ListParagraph"/>
        <w:numPr>
          <w:ilvl w:val="0"/>
          <w:numId w:val="5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 person is criminally responsible for an act committed or an omission made while suffering from a mental disorder that rendered the person incapable of appreciating the nature and quality of an act or omission or of knowing that it was wrong.</w:t>
      </w:r>
    </w:p>
    <w:p w:rsidR="004034BE" w:rsidRDefault="00256B84" w:rsidP="00256B84">
      <w:pPr>
        <w:pStyle w:val="ListParagraph"/>
        <w:numPr>
          <w:ilvl w:val="0"/>
          <w:numId w:val="52"/>
        </w:numP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The defence lawyer has the option of raising the defence of mental disorder during the course of the trial or of waiting until there has been a finding of guilt. The prosecution can only raise the defence after the court has concluded that the defendant was </w:t>
      </w:r>
      <w:r w:rsidRPr="00256B84">
        <w:rPr>
          <w:rFonts w:ascii="Times New Roman" w:hAnsi="Times New Roman" w:cs="Times New Roman"/>
          <w:i/>
          <w:color w:val="000000" w:themeColor="text1"/>
          <w:sz w:val="24"/>
          <w:szCs w:val="24"/>
        </w:rPr>
        <w:t>otherwise guilty.</w:t>
      </w:r>
      <w:r>
        <w:rPr>
          <w:rFonts w:ascii="Times New Roman" w:hAnsi="Times New Roman" w:cs="Times New Roman"/>
          <w:i/>
          <w:color w:val="000000" w:themeColor="text1"/>
          <w:sz w:val="24"/>
          <w:szCs w:val="24"/>
        </w:rPr>
        <w:t xml:space="preserve"> </w:t>
      </w:r>
    </w:p>
    <w:p w:rsidR="003A187D" w:rsidRDefault="003A187D" w:rsidP="00256B84">
      <w:pPr>
        <w:pStyle w:val="ListParagraph"/>
        <w:numPr>
          <w:ilvl w:val="0"/>
          <w:numId w:val="52"/>
        </w:numP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“Appreciates the nature and quality of an act” means to appreciate the physical consequences of an act.</w:t>
      </w:r>
    </w:p>
    <w:p w:rsidR="003A187D" w:rsidRPr="00721A0B" w:rsidRDefault="003A187D" w:rsidP="00256B84">
      <w:pPr>
        <w:pStyle w:val="ListParagraph"/>
        <w:numPr>
          <w:ilvl w:val="0"/>
          <w:numId w:val="52"/>
        </w:numPr>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Knowing that something is wrong refers to whether a person knows that the act is “morally wrong”.</w:t>
      </w:r>
    </w:p>
    <w:p w:rsidR="00721A0B" w:rsidRDefault="00721A0B" w:rsidP="00721A0B">
      <w:pPr>
        <w:ind w:left="360"/>
        <w:rPr>
          <w:rFonts w:ascii="Times New Roman" w:hAnsi="Times New Roman" w:cs="Times New Roman"/>
          <w:b/>
          <w:color w:val="000000" w:themeColor="text1"/>
          <w:sz w:val="24"/>
          <w:szCs w:val="24"/>
        </w:rPr>
      </w:pPr>
      <w:r w:rsidRPr="00721A0B">
        <w:rPr>
          <w:rFonts w:ascii="Times New Roman" w:hAnsi="Times New Roman" w:cs="Times New Roman"/>
          <w:b/>
          <w:color w:val="000000" w:themeColor="text1"/>
          <w:sz w:val="24"/>
          <w:szCs w:val="24"/>
        </w:rPr>
        <w:t>The M’Naghten Rules</w:t>
      </w:r>
    </w:p>
    <w:p w:rsidR="00721A0B" w:rsidRPr="00721A0B" w:rsidRDefault="00721A0B" w:rsidP="00721A0B">
      <w:pPr>
        <w:pStyle w:val="ListParagraph"/>
        <w:numPr>
          <w:ilvl w:val="0"/>
          <w:numId w:val="5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The origin of the defence of mental disorder, come from British case law and is known as the M’Naghten rules. In this famous case, the accused Daniel M’Naghten shot and killed Edward Drummond who was the secretary of Sir Robert Peel. This occurred in 1843 and resulted in M’Naghten’s acquittal based on evidence presented in court that he was “insane” at the time he committed murder.</w:t>
      </w:r>
    </w:p>
    <w:p w:rsidR="00721A0B" w:rsidRPr="00721A0B" w:rsidRDefault="00721A0B" w:rsidP="00721A0B">
      <w:pPr>
        <w:pStyle w:val="ListParagraph"/>
        <w:ind w:left="1080"/>
        <w:rPr>
          <w:rFonts w:ascii="Times New Roman" w:hAnsi="Times New Roman" w:cs="Times New Roman"/>
          <w:b/>
          <w:color w:val="000000" w:themeColor="text1"/>
          <w:sz w:val="24"/>
          <w:szCs w:val="24"/>
        </w:rPr>
      </w:pPr>
    </w:p>
    <w:p w:rsidR="00721A0B" w:rsidRPr="00721A0B" w:rsidRDefault="00721A0B" w:rsidP="00721A0B">
      <w:pPr>
        <w:pStyle w:val="ListParagraph"/>
        <w:numPr>
          <w:ilvl w:val="0"/>
          <w:numId w:val="5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The M’Naghten Rules lay down very narrow grounds for the use of the defence of mental disorder. This means that most people suffering from a mental disorder would not be able to use the defence because their cognitive abilities would likely not be sufficiently impaired to render them incapable of appreciating the nature and quality of an act or omission or of knowing that it was wrong.</w:t>
      </w:r>
    </w:p>
    <w:p w:rsidR="00721A0B" w:rsidRPr="00721A0B" w:rsidRDefault="00721A0B" w:rsidP="00721A0B">
      <w:pPr>
        <w:pStyle w:val="ListParagraph"/>
        <w:rPr>
          <w:rFonts w:ascii="Times New Roman" w:hAnsi="Times New Roman" w:cs="Times New Roman"/>
          <w:b/>
          <w:color w:val="000000" w:themeColor="text1"/>
          <w:sz w:val="24"/>
          <w:szCs w:val="24"/>
        </w:rPr>
      </w:pPr>
    </w:p>
    <w:p w:rsidR="00721A0B" w:rsidRPr="00C17A02" w:rsidRDefault="00721A0B" w:rsidP="00721A0B">
      <w:pPr>
        <w:pStyle w:val="ListParagraph"/>
        <w:numPr>
          <w:ilvl w:val="0"/>
          <w:numId w:val="5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Because sanity is presumed, the defence must prove-based on the balance of probabilities-that the person suffers from a mental disorder that renders them incapable of appreciating the nature and quality of an act or omission or of knowing that it was wrong.</w:t>
      </w:r>
    </w:p>
    <w:p w:rsidR="00C17A02" w:rsidRPr="00C17A02" w:rsidRDefault="00C17A02" w:rsidP="00C17A02">
      <w:pPr>
        <w:pStyle w:val="ListParagraph"/>
        <w:rPr>
          <w:rFonts w:ascii="Times New Roman" w:hAnsi="Times New Roman" w:cs="Times New Roman"/>
          <w:b/>
          <w:color w:val="000000" w:themeColor="text1"/>
          <w:sz w:val="24"/>
          <w:szCs w:val="24"/>
        </w:rPr>
      </w:pPr>
    </w:p>
    <w:p w:rsidR="00C17A02" w:rsidRPr="001C6896" w:rsidRDefault="00C17A02" w:rsidP="00721A0B">
      <w:pPr>
        <w:pStyle w:val="ListParagraph"/>
        <w:numPr>
          <w:ilvl w:val="0"/>
          <w:numId w:val="5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In cases in which the Crown wishes to challenge the defence of mental disorder, both the Crown and defence will call their own expert psychiatrists to testify. It is not uncommon to see Crown and defense witnesses contradicting each other leaving it up to the judge or jury to decide who to believe.</w:t>
      </w:r>
    </w:p>
    <w:p w:rsidR="001C6896" w:rsidRPr="001C6896" w:rsidRDefault="001C6896" w:rsidP="001C6896">
      <w:pPr>
        <w:pStyle w:val="ListParagraph"/>
        <w:rPr>
          <w:rFonts w:ascii="Times New Roman" w:hAnsi="Times New Roman" w:cs="Times New Roman"/>
          <w:b/>
          <w:color w:val="000000" w:themeColor="text1"/>
          <w:sz w:val="24"/>
          <w:szCs w:val="24"/>
        </w:rPr>
      </w:pPr>
    </w:p>
    <w:p w:rsidR="001C6896" w:rsidRPr="001C6896" w:rsidRDefault="001C6896" w:rsidP="00721A0B">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Critics of the defence of mental disorder point out that it relies almost exclusively on cognitive factors (reasoning abilities) and excludes emotional factors. A person may understand what they are doing and know it is wrong yet be incapable of controlling their behaviour. </w:t>
      </w:r>
      <w:r w:rsidRPr="001C6896">
        <w:rPr>
          <w:rFonts w:ascii="Times New Roman" w:hAnsi="Times New Roman" w:cs="Times New Roman"/>
          <w:color w:val="000000" w:themeColor="text1"/>
          <w:sz w:val="24"/>
          <w:szCs w:val="24"/>
          <w:u w:val="single"/>
        </w:rPr>
        <w:t>In such cases, they would still be convicted.</w:t>
      </w:r>
    </w:p>
    <w:p w:rsidR="00C17A02" w:rsidRPr="001C6896" w:rsidRDefault="00C17A02" w:rsidP="00C17A02">
      <w:pPr>
        <w:pStyle w:val="ListParagraph"/>
        <w:rPr>
          <w:rFonts w:ascii="Times New Roman" w:hAnsi="Times New Roman" w:cs="Times New Roman"/>
          <w:b/>
          <w:color w:val="000000" w:themeColor="text1"/>
          <w:sz w:val="24"/>
          <w:szCs w:val="24"/>
          <w:u w:val="single"/>
        </w:rPr>
      </w:pPr>
    </w:p>
    <w:p w:rsidR="00C17A02" w:rsidRDefault="00084AAD" w:rsidP="00C17A02">
      <w:pPr>
        <w:pStyle w:val="ListParagraph"/>
        <w:ind w:left="1080"/>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The Consent and Capacity Board</w:t>
      </w:r>
    </w:p>
    <w:p w:rsidR="00C02D28" w:rsidRDefault="00C02D28" w:rsidP="00C17A02">
      <w:pPr>
        <w:pStyle w:val="ListParagraph"/>
        <w:ind w:left="1080"/>
        <w:rPr>
          <w:rFonts w:ascii="Times New Roman" w:hAnsi="Times New Roman" w:cs="Times New Roman"/>
          <w:b/>
          <w:color w:val="000000" w:themeColor="text1"/>
          <w:sz w:val="24"/>
          <w:szCs w:val="24"/>
          <w:u w:val="single"/>
        </w:rPr>
      </w:pPr>
    </w:p>
    <w:p w:rsidR="00084AAD" w:rsidRPr="00C02D28" w:rsidRDefault="00084AAD"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The Consent and Capacity Board is an independent body created by the provincial government.</w:t>
      </w:r>
      <w:r w:rsidR="00C02D28">
        <w:rPr>
          <w:rFonts w:ascii="Times New Roman" w:hAnsi="Times New Roman" w:cs="Times New Roman"/>
          <w:color w:val="000000" w:themeColor="text1"/>
          <w:sz w:val="24"/>
          <w:szCs w:val="24"/>
        </w:rPr>
        <w:t xml:space="preserve"> </w:t>
      </w:r>
    </w:p>
    <w:p w:rsidR="00C02D28" w:rsidRPr="00C02D28" w:rsidRDefault="00C02D28"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It conducts hearings under </w:t>
      </w:r>
      <w:r w:rsidRPr="00C02D28">
        <w:rPr>
          <w:rFonts w:ascii="Times New Roman" w:hAnsi="Times New Roman" w:cs="Times New Roman"/>
          <w:i/>
          <w:color w:val="000000" w:themeColor="text1"/>
          <w:sz w:val="24"/>
          <w:szCs w:val="24"/>
        </w:rPr>
        <w:t>the Health Care and Consent Act</w:t>
      </w:r>
      <w:r>
        <w:rPr>
          <w:rFonts w:ascii="Times New Roman" w:hAnsi="Times New Roman" w:cs="Times New Roman"/>
          <w:color w:val="000000" w:themeColor="text1"/>
          <w:sz w:val="24"/>
          <w:szCs w:val="24"/>
        </w:rPr>
        <w:t xml:space="preserve">, </w:t>
      </w:r>
      <w:r w:rsidRPr="00C02D28">
        <w:rPr>
          <w:rFonts w:ascii="Times New Roman" w:hAnsi="Times New Roman" w:cs="Times New Roman"/>
          <w:i/>
          <w:color w:val="000000" w:themeColor="text1"/>
          <w:sz w:val="24"/>
          <w:szCs w:val="24"/>
        </w:rPr>
        <w:t>the Mental Health Act</w:t>
      </w:r>
      <w:r>
        <w:rPr>
          <w:rFonts w:ascii="Times New Roman" w:hAnsi="Times New Roman" w:cs="Times New Roman"/>
          <w:color w:val="000000" w:themeColor="text1"/>
          <w:sz w:val="24"/>
          <w:szCs w:val="24"/>
        </w:rPr>
        <w:t xml:space="preserve">, and </w:t>
      </w:r>
      <w:r w:rsidRPr="00C02D28">
        <w:rPr>
          <w:rFonts w:ascii="Times New Roman" w:hAnsi="Times New Roman" w:cs="Times New Roman"/>
          <w:i/>
          <w:color w:val="000000" w:themeColor="text1"/>
          <w:sz w:val="24"/>
          <w:szCs w:val="24"/>
        </w:rPr>
        <w:t>the Substitute Decisions Act</w:t>
      </w:r>
      <w:r>
        <w:rPr>
          <w:rFonts w:ascii="Times New Roman" w:hAnsi="Times New Roman" w:cs="Times New Roman"/>
          <w:color w:val="000000" w:themeColor="text1"/>
          <w:sz w:val="24"/>
          <w:szCs w:val="24"/>
        </w:rPr>
        <w:t>.</w:t>
      </w:r>
    </w:p>
    <w:p w:rsidR="00C02D28" w:rsidRPr="00C02D28" w:rsidRDefault="00C02D28"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Board members for psychiatric hearings usually consist of one psychiatrist, one lawyer, and a member of the general public. </w:t>
      </w:r>
    </w:p>
    <w:p w:rsidR="00C02D28" w:rsidRPr="00C02D28" w:rsidRDefault="00C02D28"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The Consent and Capacity Board, under the </w:t>
      </w:r>
      <w:r w:rsidRPr="00C02D28">
        <w:rPr>
          <w:rFonts w:ascii="Times New Roman" w:hAnsi="Times New Roman" w:cs="Times New Roman"/>
          <w:i/>
          <w:color w:val="000000" w:themeColor="text1"/>
          <w:sz w:val="24"/>
          <w:szCs w:val="24"/>
        </w:rPr>
        <w:t>Mental Health Act</w:t>
      </w:r>
      <w:r>
        <w:rPr>
          <w:rFonts w:ascii="Times New Roman" w:hAnsi="Times New Roman" w:cs="Times New Roman"/>
          <w:color w:val="000000" w:themeColor="text1"/>
          <w:sz w:val="24"/>
          <w:szCs w:val="24"/>
        </w:rPr>
        <w:t xml:space="preserve">, will hold a hearing to deal with consent to treatment, involuntary status of patients, the appointment of a substitute decision maker, and a finding of incapacity to manage property. </w:t>
      </w:r>
    </w:p>
    <w:p w:rsidR="00C02D28" w:rsidRPr="003716FD" w:rsidRDefault="003716FD"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The patient or the health facility may ask for a hearing.</w:t>
      </w:r>
    </w:p>
    <w:p w:rsidR="003716FD" w:rsidRPr="003716FD" w:rsidRDefault="003716FD"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The hearing will usually take place within a week of the application and the parties will be informed of the time and place of the hearing.</w:t>
      </w:r>
    </w:p>
    <w:p w:rsidR="003716FD" w:rsidRPr="003716FD" w:rsidRDefault="003716FD"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The hearing will be held in the facility where the person who is the subject of the hearing resides or receives treatment. </w:t>
      </w:r>
      <w:r w:rsidR="009A3835">
        <w:rPr>
          <w:rFonts w:ascii="Times New Roman" w:hAnsi="Times New Roman" w:cs="Times New Roman"/>
          <w:color w:val="000000" w:themeColor="text1"/>
          <w:sz w:val="24"/>
          <w:szCs w:val="24"/>
        </w:rPr>
        <w:t>`</w:t>
      </w:r>
      <w:r w:rsidR="009A3835">
        <w:rPr>
          <w:rFonts w:ascii="Times New Roman" w:hAnsi="Times New Roman" w:cs="Times New Roman"/>
          <w:color w:val="000000" w:themeColor="text1"/>
          <w:sz w:val="24"/>
          <w:szCs w:val="24"/>
        </w:rPr>
        <w:tab/>
      </w:r>
    </w:p>
    <w:p w:rsidR="003716FD" w:rsidRPr="003716FD" w:rsidRDefault="003716FD"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The patient may be represented by a lawyer or a rights advisor.</w:t>
      </w:r>
    </w:p>
    <w:p w:rsidR="003716FD" w:rsidRPr="003716FD" w:rsidRDefault="003716FD"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The hearing takes place within a week of the filling of an application. </w:t>
      </w:r>
    </w:p>
    <w:p w:rsidR="003716FD" w:rsidRPr="002E0448" w:rsidRDefault="003716FD" w:rsidP="00084AAD">
      <w:pPr>
        <w:pStyle w:val="ListParagraph"/>
        <w:numPr>
          <w:ilvl w:val="0"/>
          <w:numId w:val="54"/>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The decision of the Consent and Capacity board can be appealed to the General Division of the Ontario Court.</w:t>
      </w:r>
    </w:p>
    <w:p w:rsidR="002E0448" w:rsidRDefault="002E0448" w:rsidP="002E0448">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Provincial Review Boards for Mental Disorders</w:t>
      </w:r>
    </w:p>
    <w:p w:rsidR="002E0448" w:rsidRPr="002E0448" w:rsidRDefault="002E0448" w:rsidP="002E0448">
      <w:pPr>
        <w:pStyle w:val="ListParagraph"/>
        <w:numPr>
          <w:ilvl w:val="0"/>
          <w:numId w:val="55"/>
        </w:numPr>
        <w:rPr>
          <w:rFonts w:ascii="Times New Roman" w:hAnsi="Times New Roman" w:cs="Times New Roman"/>
          <w:b/>
          <w:color w:val="000000" w:themeColor="text1"/>
          <w:sz w:val="24"/>
          <w:szCs w:val="24"/>
          <w:u w:val="single"/>
        </w:rPr>
      </w:pPr>
      <w:r w:rsidRPr="000D3EDE">
        <w:rPr>
          <w:rFonts w:ascii="Times New Roman" w:hAnsi="Times New Roman" w:cs="Times New Roman"/>
          <w:i/>
          <w:color w:val="000000" w:themeColor="text1"/>
          <w:sz w:val="24"/>
          <w:szCs w:val="24"/>
        </w:rPr>
        <w:t>R. v. Swain</w:t>
      </w:r>
      <w:r>
        <w:rPr>
          <w:rFonts w:ascii="Times New Roman" w:hAnsi="Times New Roman" w:cs="Times New Roman"/>
          <w:color w:val="000000" w:themeColor="text1"/>
          <w:sz w:val="24"/>
          <w:szCs w:val="24"/>
        </w:rPr>
        <w:t xml:space="preserve"> (1991) lead to the establishment of Provincial Review Boards for dealing with criminal matters related to mental disorder.</w:t>
      </w:r>
    </w:p>
    <w:p w:rsidR="002E0448" w:rsidRPr="002E0448" w:rsidRDefault="002E0448" w:rsidP="002E0448">
      <w:pPr>
        <w:pStyle w:val="ListParagraph"/>
        <w:numPr>
          <w:ilvl w:val="0"/>
          <w:numId w:val="55"/>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These tribunals have taken over decisions related to NCR accused persons and are made up of a minimum of three persons.</w:t>
      </w:r>
    </w:p>
    <w:p w:rsidR="002E0448" w:rsidRPr="004343A3" w:rsidRDefault="002E0448" w:rsidP="002E0448">
      <w:pPr>
        <w:pStyle w:val="ListParagraph"/>
        <w:numPr>
          <w:ilvl w:val="0"/>
          <w:numId w:val="55"/>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The Chair is typically a judge, a second member must be a psychiatrist, and the background of the third member of the board is not specified. </w:t>
      </w:r>
    </w:p>
    <w:p w:rsidR="004343A3" w:rsidRPr="004343A3" w:rsidRDefault="004343A3" w:rsidP="002E0448">
      <w:pPr>
        <w:pStyle w:val="ListParagraph"/>
        <w:numPr>
          <w:ilvl w:val="0"/>
          <w:numId w:val="55"/>
        </w:numPr>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 xml:space="preserve">In Ontario, the Board is referred to as the Ontario Review Board and deals only with criminal matters related to mental disorder and fitness to stand trial. </w:t>
      </w:r>
    </w:p>
    <w:p w:rsidR="004034BE" w:rsidRPr="002B7E5A" w:rsidRDefault="004343A3" w:rsidP="005E4236">
      <w:pPr>
        <w:pStyle w:val="ListParagraph"/>
        <w:numPr>
          <w:ilvl w:val="0"/>
          <w:numId w:val="55"/>
        </w:numPr>
        <w:rPr>
          <w:rFonts w:ascii="Times New Roman" w:hAnsi="Times New Roman" w:cs="Times New Roman"/>
          <w:b/>
          <w:color w:val="000000" w:themeColor="text1"/>
          <w:sz w:val="24"/>
          <w:szCs w:val="24"/>
          <w:highlight w:val="yellow"/>
          <w:u w:val="single"/>
        </w:rPr>
      </w:pPr>
      <w:r w:rsidRPr="009C3CB2">
        <w:rPr>
          <w:rFonts w:ascii="Times New Roman" w:hAnsi="Times New Roman" w:cs="Times New Roman"/>
          <w:color w:val="000000" w:themeColor="text1"/>
          <w:sz w:val="24"/>
          <w:szCs w:val="24"/>
          <w:highlight w:val="yellow"/>
        </w:rPr>
        <w:t xml:space="preserve">It does not deal with matters that come under the </w:t>
      </w:r>
      <w:r w:rsidRPr="009C3CB2">
        <w:rPr>
          <w:rFonts w:ascii="Times New Roman" w:hAnsi="Times New Roman" w:cs="Times New Roman"/>
          <w:i/>
          <w:color w:val="000000" w:themeColor="text1"/>
          <w:sz w:val="24"/>
          <w:szCs w:val="24"/>
          <w:highlight w:val="yellow"/>
        </w:rPr>
        <w:t>Mental Health Act of Ontario</w:t>
      </w:r>
      <w:r w:rsidRPr="009C3CB2">
        <w:rPr>
          <w:rFonts w:ascii="Times New Roman" w:hAnsi="Times New Roman" w:cs="Times New Roman"/>
          <w:color w:val="000000" w:themeColor="text1"/>
          <w:sz w:val="24"/>
          <w:szCs w:val="24"/>
          <w:highlight w:val="yellow"/>
        </w:rPr>
        <w:t xml:space="preserve">.  The Consent and Capacity Board deals with the </w:t>
      </w:r>
      <w:r w:rsidRPr="009C3CB2">
        <w:rPr>
          <w:rFonts w:ascii="Times New Roman" w:hAnsi="Times New Roman" w:cs="Times New Roman"/>
          <w:i/>
          <w:color w:val="000000" w:themeColor="text1"/>
          <w:sz w:val="24"/>
          <w:szCs w:val="24"/>
          <w:highlight w:val="yellow"/>
        </w:rPr>
        <w:t xml:space="preserve">Mental Health Act of Ontario </w:t>
      </w:r>
      <w:r w:rsidRPr="009C3CB2">
        <w:rPr>
          <w:rFonts w:ascii="Times New Roman" w:hAnsi="Times New Roman" w:cs="Times New Roman"/>
          <w:color w:val="000000" w:themeColor="text1"/>
          <w:sz w:val="24"/>
          <w:szCs w:val="24"/>
          <w:highlight w:val="yellow"/>
        </w:rPr>
        <w:t>instead.</w:t>
      </w:r>
    </w:p>
    <w:p w:rsidR="005E4236" w:rsidRDefault="00304CE7" w:rsidP="005E4236">
      <w:pPr>
        <w:rPr>
          <w:rFonts w:ascii="Times New Roman" w:hAnsi="Times New Roman" w:cs="Times New Roman"/>
          <w:b/>
          <w:color w:val="000000" w:themeColor="text1"/>
          <w:sz w:val="24"/>
          <w:szCs w:val="24"/>
        </w:rPr>
      </w:pPr>
      <w:r w:rsidRPr="00304CE7">
        <w:rPr>
          <w:rFonts w:ascii="Times New Roman" w:hAnsi="Times New Roman" w:cs="Times New Roman"/>
          <w:b/>
          <w:i/>
          <w:color w:val="000000" w:themeColor="text1"/>
          <w:sz w:val="24"/>
          <w:szCs w:val="24"/>
        </w:rPr>
        <w:t xml:space="preserve">The Health Care Consent Act of Ontario </w:t>
      </w:r>
      <w:r w:rsidRPr="00304CE7">
        <w:rPr>
          <w:rFonts w:ascii="Times New Roman" w:hAnsi="Times New Roman" w:cs="Times New Roman"/>
          <w:b/>
          <w:color w:val="000000" w:themeColor="text1"/>
          <w:sz w:val="24"/>
          <w:szCs w:val="24"/>
        </w:rPr>
        <w:t>1996</w:t>
      </w:r>
    </w:p>
    <w:p w:rsidR="00304CE7" w:rsidRPr="00304CE7" w:rsidRDefault="00304CE7" w:rsidP="007659CA">
      <w:pPr>
        <w:pStyle w:val="ListParagraph"/>
        <w:numPr>
          <w:ilvl w:val="0"/>
          <w:numId w:val="46"/>
        </w:numPr>
        <w:rPr>
          <w:rFonts w:ascii="Times New Roman" w:hAnsi="Times New Roman" w:cs="Times New Roman"/>
          <w:b/>
          <w:color w:val="000000" w:themeColor="text1"/>
          <w:sz w:val="24"/>
          <w:szCs w:val="24"/>
        </w:rPr>
      </w:pPr>
      <w:r w:rsidRPr="0017396F">
        <w:rPr>
          <w:rFonts w:ascii="Times New Roman" w:hAnsi="Times New Roman" w:cs="Times New Roman"/>
          <w:b/>
          <w:color w:val="000000" w:themeColor="text1"/>
          <w:sz w:val="24"/>
          <w:szCs w:val="24"/>
        </w:rPr>
        <w:t>The Health Care Consent Act 1996</w:t>
      </w:r>
      <w:r>
        <w:rPr>
          <w:rFonts w:ascii="Times New Roman" w:hAnsi="Times New Roman" w:cs="Times New Roman"/>
          <w:color w:val="000000" w:themeColor="text1"/>
          <w:sz w:val="24"/>
          <w:szCs w:val="24"/>
        </w:rPr>
        <w:t xml:space="preserve"> deals with the rights of patients within Ontario medical facilities including psychiatric institutions. The focus of this Act is on patient rights specifically as they relate to consent to treatment.</w:t>
      </w:r>
    </w:p>
    <w:p w:rsidR="00304CE7" w:rsidRPr="00304CE7" w:rsidRDefault="00304CE7" w:rsidP="007659CA">
      <w:pPr>
        <w:pStyle w:val="ListParagraph"/>
        <w:numPr>
          <w:ilvl w:val="0"/>
          <w:numId w:val="46"/>
        </w:numPr>
        <w:rPr>
          <w:rFonts w:ascii="Times New Roman" w:hAnsi="Times New Roman" w:cs="Times New Roman"/>
          <w:b/>
          <w:color w:val="000000" w:themeColor="text1"/>
          <w:sz w:val="24"/>
          <w:szCs w:val="24"/>
        </w:rPr>
      </w:pPr>
      <w:r w:rsidRPr="0017396F">
        <w:rPr>
          <w:rFonts w:ascii="Times New Roman" w:hAnsi="Times New Roman" w:cs="Times New Roman"/>
          <w:b/>
          <w:color w:val="000000" w:themeColor="text1"/>
          <w:sz w:val="24"/>
          <w:szCs w:val="24"/>
        </w:rPr>
        <w:t>No treatment can be conducted without consent</w:t>
      </w:r>
      <w:r>
        <w:rPr>
          <w:rFonts w:ascii="Times New Roman" w:hAnsi="Times New Roman" w:cs="Times New Roman"/>
          <w:color w:val="000000" w:themeColor="text1"/>
          <w:sz w:val="24"/>
          <w:szCs w:val="24"/>
        </w:rPr>
        <w:t>: (1) A health practitioner who proposes a treatment for a person shall not administer the treatment, and shall take reasonable steps to ensure that it is not administered unless:</w:t>
      </w:r>
    </w:p>
    <w:p w:rsidR="00304CE7" w:rsidRPr="00304CE7" w:rsidRDefault="00304CE7" w:rsidP="007659CA">
      <w:pPr>
        <w:pStyle w:val="ListParagraph"/>
        <w:numPr>
          <w:ilvl w:val="0"/>
          <w:numId w:val="47"/>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He or she is of the opinion that the person is capable with respect to the treatment, and the person has given consent; or</w:t>
      </w:r>
    </w:p>
    <w:p w:rsidR="00304CE7" w:rsidRPr="00304CE7" w:rsidRDefault="00304CE7" w:rsidP="007659CA">
      <w:pPr>
        <w:pStyle w:val="ListParagraph"/>
        <w:numPr>
          <w:ilvl w:val="0"/>
          <w:numId w:val="47"/>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He or she is of the opinion that the person is incapable with respect to the treatment, and the person’s substitute decision-maker has given consent on the person’s behalf in accordance with this Act.</w:t>
      </w:r>
    </w:p>
    <w:p w:rsidR="00304CE7" w:rsidRPr="0017396F" w:rsidRDefault="00304CE7" w:rsidP="007659CA">
      <w:pPr>
        <w:pStyle w:val="ListParagraph"/>
        <w:numPr>
          <w:ilvl w:val="0"/>
          <w:numId w:val="47"/>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The Act also has provisions for exceptions to the consent rules in the case of medical emergencies.</w:t>
      </w:r>
    </w:p>
    <w:p w:rsidR="0017396F" w:rsidRPr="0017396F" w:rsidRDefault="0017396F" w:rsidP="007659CA">
      <w:pPr>
        <w:pStyle w:val="ListParagraph"/>
        <w:numPr>
          <w:ilvl w:val="0"/>
          <w:numId w:val="48"/>
        </w:num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Elements of Consent: </w:t>
      </w:r>
      <w:r>
        <w:rPr>
          <w:rFonts w:ascii="Times New Roman" w:hAnsi="Times New Roman" w:cs="Times New Roman"/>
          <w:color w:val="000000" w:themeColor="text1"/>
          <w:sz w:val="24"/>
          <w:szCs w:val="24"/>
        </w:rPr>
        <w:t>the following are the elements required for consent to treatment :</w:t>
      </w:r>
    </w:p>
    <w:p w:rsidR="0017396F" w:rsidRPr="0017396F" w:rsidRDefault="0017396F" w:rsidP="007659CA">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The Consent must relate to the treatment</w:t>
      </w:r>
    </w:p>
    <w:p w:rsidR="0017396F" w:rsidRPr="0017396F" w:rsidRDefault="0017396F" w:rsidP="007659CA">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The Consent must be informed</w:t>
      </w:r>
    </w:p>
    <w:p w:rsidR="0017396F" w:rsidRPr="0017396F" w:rsidRDefault="0017396F" w:rsidP="007659CA">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The Consent must be given voluntarily </w:t>
      </w:r>
    </w:p>
    <w:p w:rsidR="0017396F" w:rsidRPr="0017396F" w:rsidRDefault="0017396F" w:rsidP="007659CA">
      <w:pPr>
        <w:pStyle w:val="ListParagraph"/>
        <w:numPr>
          <w:ilvl w:val="0"/>
          <w:numId w:val="4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The Consent must not be obtained by misrepresentation or fraud</w:t>
      </w:r>
    </w:p>
    <w:p w:rsidR="00304CE7" w:rsidRPr="00304CE7" w:rsidRDefault="00304CE7" w:rsidP="00304CE7">
      <w:pPr>
        <w:pStyle w:val="ListParagraph"/>
        <w:ind w:left="1080"/>
        <w:rPr>
          <w:rFonts w:ascii="Times New Roman" w:hAnsi="Times New Roman" w:cs="Times New Roman"/>
          <w:b/>
          <w:color w:val="000000" w:themeColor="text1"/>
          <w:sz w:val="24"/>
          <w:szCs w:val="24"/>
        </w:rPr>
      </w:pPr>
    </w:p>
    <w:p w:rsidR="00304CE7" w:rsidRPr="009A3835" w:rsidRDefault="009A3835" w:rsidP="005E4236">
      <w:pPr>
        <w:rPr>
          <w:rFonts w:ascii="Times New Roman" w:hAnsi="Times New Roman" w:cs="Times New Roman"/>
          <w:b/>
          <w:color w:val="000000" w:themeColor="text1"/>
          <w:sz w:val="24"/>
          <w:szCs w:val="24"/>
          <w:u w:val="single"/>
        </w:rPr>
      </w:pPr>
      <w:r w:rsidRPr="009A3835">
        <w:rPr>
          <w:rFonts w:ascii="Times New Roman" w:hAnsi="Times New Roman" w:cs="Times New Roman"/>
          <w:b/>
          <w:color w:val="000000" w:themeColor="text1"/>
          <w:sz w:val="24"/>
          <w:szCs w:val="24"/>
          <w:u w:val="single"/>
        </w:rPr>
        <w:t>Legal Ethics and the Legal Profession</w:t>
      </w:r>
    </w:p>
    <w:p w:rsidR="00304CE7" w:rsidRDefault="009A3835" w:rsidP="009A3835">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predominant image of lawyers is that of a professional person who is hired by a client to represent his/her interests.</w:t>
      </w:r>
    </w:p>
    <w:p w:rsidR="009A3835" w:rsidRDefault="009A3835" w:rsidP="009A3835">
      <w:pPr>
        <w:pStyle w:val="ListParagraph"/>
        <w:numPr>
          <w:ilvl w:val="0"/>
          <w:numId w:val="48"/>
        </w:numPr>
        <w:rPr>
          <w:rFonts w:ascii="Times New Roman" w:hAnsi="Times New Roman" w:cs="Times New Roman"/>
          <w:b/>
          <w:color w:val="000000" w:themeColor="text1"/>
          <w:sz w:val="24"/>
          <w:szCs w:val="24"/>
        </w:rPr>
      </w:pPr>
      <w:r w:rsidRPr="009A3835">
        <w:rPr>
          <w:rFonts w:ascii="Times New Roman" w:hAnsi="Times New Roman" w:cs="Times New Roman"/>
          <w:b/>
          <w:color w:val="000000" w:themeColor="text1"/>
          <w:sz w:val="24"/>
          <w:szCs w:val="24"/>
        </w:rPr>
        <w:t>Hired Hand/Hired Gun Image</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 xml:space="preserve">This “hired hand” image can also be viewed as a theoretical model that guides and justifies what they do and gives lawyer as particular identity. Cynics have caricatured lawyers as “hired guns” rather than hired hands because they engage in all kinds of </w:t>
      </w:r>
      <w:r w:rsidRPr="00D32361">
        <w:rPr>
          <w:rFonts w:ascii="Times New Roman" w:hAnsi="Times New Roman" w:cs="Times New Roman"/>
          <w:b/>
          <w:color w:val="000000" w:themeColor="text1"/>
          <w:sz w:val="24"/>
          <w:szCs w:val="24"/>
        </w:rPr>
        <w:t>vicious battles</w:t>
      </w:r>
      <w:r>
        <w:rPr>
          <w:rFonts w:ascii="Times New Roman" w:hAnsi="Times New Roman" w:cs="Times New Roman"/>
          <w:color w:val="000000" w:themeColor="text1"/>
          <w:sz w:val="24"/>
          <w:szCs w:val="24"/>
        </w:rPr>
        <w:t xml:space="preserve"> on behalf of their clients.</w:t>
      </w:r>
      <w:r>
        <w:rPr>
          <w:rFonts w:ascii="Times New Roman" w:hAnsi="Times New Roman" w:cs="Times New Roman"/>
          <w:b/>
          <w:color w:val="000000" w:themeColor="text1"/>
          <w:sz w:val="24"/>
          <w:szCs w:val="24"/>
        </w:rPr>
        <w:t xml:space="preserve"> </w:t>
      </w:r>
    </w:p>
    <w:p w:rsidR="009A3835" w:rsidRPr="00F11F24" w:rsidRDefault="009A3835" w:rsidP="00F11F24">
      <w:pPr>
        <w:pStyle w:val="ListParagraph"/>
        <w:numPr>
          <w:ilvl w:val="0"/>
          <w:numId w:val="48"/>
        </w:numPr>
        <w:rPr>
          <w:rFonts w:ascii="Times New Roman" w:hAnsi="Times New Roman" w:cs="Times New Roman"/>
          <w:b/>
          <w:color w:val="000000" w:themeColor="text1"/>
          <w:sz w:val="24"/>
          <w:szCs w:val="24"/>
        </w:rPr>
      </w:pPr>
      <w:r w:rsidRPr="009A3835">
        <w:rPr>
          <w:rFonts w:ascii="Times New Roman" w:hAnsi="Times New Roman" w:cs="Times New Roman"/>
          <w:b/>
          <w:color w:val="000000" w:themeColor="text1"/>
          <w:sz w:val="24"/>
          <w:szCs w:val="24"/>
        </w:rPr>
        <w:t>Hired Hand/Hired Gun Image</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The hired hand image is the operating model on which model on which lawyers are trained, under which they function, and is sanctioned by the provincial law socie</w:t>
      </w:r>
      <w:r w:rsidR="003970A7">
        <w:rPr>
          <w:rFonts w:ascii="Times New Roman" w:hAnsi="Times New Roman" w:cs="Times New Roman"/>
          <w:color w:val="000000" w:themeColor="text1"/>
          <w:sz w:val="24"/>
          <w:szCs w:val="24"/>
        </w:rPr>
        <w:t>ties in their codes of conduct. This is the traditional image of lawyering and is based on the idea that lawyers are professionals who have acquired specialized knowledge and expertise, which they use on behalf of their clients.</w:t>
      </w:r>
      <w:r w:rsidR="003970A7">
        <w:rPr>
          <w:rFonts w:ascii="Times New Roman" w:hAnsi="Times New Roman" w:cs="Times New Roman"/>
          <w:b/>
          <w:color w:val="000000" w:themeColor="text1"/>
          <w:sz w:val="24"/>
          <w:szCs w:val="24"/>
        </w:rPr>
        <w:t xml:space="preserve"> </w:t>
      </w:r>
    </w:p>
    <w:p w:rsidR="00532676" w:rsidRDefault="003E34E1" w:rsidP="003E34E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Drug Legislation and Social Policy</w:t>
      </w:r>
    </w:p>
    <w:p w:rsidR="003E34E1" w:rsidRPr="007F4FCE" w:rsidRDefault="003E34E1" w:rsidP="003E34E1">
      <w:pPr>
        <w:pStyle w:val="ListParagraph"/>
        <w:numPr>
          <w:ilvl w:val="0"/>
          <w:numId w:val="56"/>
        </w:numPr>
        <w:rPr>
          <w:rFonts w:ascii="Times New Roman" w:hAnsi="Times New Roman" w:cs="Times New Roman"/>
          <w:b/>
          <w:color w:val="000000" w:themeColor="text1"/>
          <w:sz w:val="24"/>
          <w:szCs w:val="24"/>
        </w:rPr>
      </w:pPr>
      <w:r w:rsidRPr="007F4FCE">
        <w:rPr>
          <w:rFonts w:ascii="Times New Roman" w:hAnsi="Times New Roman" w:cs="Times New Roman"/>
          <w:b/>
          <w:color w:val="000000" w:themeColor="text1"/>
          <w:sz w:val="24"/>
          <w:szCs w:val="24"/>
        </w:rPr>
        <w:t>The moral entrepreneur theory</w:t>
      </w:r>
      <w:r>
        <w:rPr>
          <w:rFonts w:ascii="Times New Roman" w:hAnsi="Times New Roman" w:cs="Times New Roman"/>
          <w:color w:val="000000" w:themeColor="text1"/>
          <w:sz w:val="24"/>
          <w:szCs w:val="24"/>
        </w:rPr>
        <w:t xml:space="preserve"> attributes the precipitation of key events to the presence of an enterprising individual or group.</w:t>
      </w:r>
      <w:r w:rsidR="007F4FCE">
        <w:rPr>
          <w:rFonts w:ascii="Times New Roman" w:hAnsi="Times New Roman" w:cs="Times New Roman"/>
          <w:color w:val="000000" w:themeColor="text1"/>
          <w:sz w:val="24"/>
          <w:szCs w:val="24"/>
        </w:rPr>
        <w:t xml:space="preserve"> Their activities can properly be called moral enterprise, for what they are enterprising about is the creation of a new fragment of the moral constitution of society, its code of right and wrong.</w:t>
      </w:r>
    </w:p>
    <w:p w:rsidR="007F4FCE" w:rsidRPr="007F4FCE" w:rsidRDefault="007F4FCE" w:rsidP="003E34E1">
      <w:pPr>
        <w:pStyle w:val="ListParagraph"/>
        <w:numPr>
          <w:ilvl w:val="0"/>
          <w:numId w:val="56"/>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The role of moral entrepreneurs in lawmaking is well-illustrated by Enakshi Dua’s research on the historical discouragement of interracial marriage in Canada.</w:t>
      </w:r>
    </w:p>
    <w:p w:rsidR="007F4FCE" w:rsidRPr="007F4FCE" w:rsidRDefault="007F4FCE" w:rsidP="003E34E1">
      <w:pPr>
        <w:pStyle w:val="ListParagraph"/>
        <w:numPr>
          <w:ilvl w:val="0"/>
          <w:numId w:val="56"/>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She argues that laws prohibiting mixed-race marriage emerged in Canada, as well as other British, white settled colonies such as the U.S, South Africa, and New Zealand, as part of “the project of creating a white settler colony with political power in the hands of white settlers”.</w:t>
      </w:r>
    </w:p>
    <w:p w:rsidR="007F4FCE" w:rsidRPr="00C54CAA" w:rsidRDefault="007F4FCE" w:rsidP="003E34E1">
      <w:pPr>
        <w:pStyle w:val="ListParagraph"/>
        <w:numPr>
          <w:ilvl w:val="0"/>
          <w:numId w:val="56"/>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As </w:t>
      </w:r>
      <w:r w:rsidR="00F11F24">
        <w:rPr>
          <w:rFonts w:ascii="Times New Roman" w:hAnsi="Times New Roman" w:cs="Times New Roman"/>
          <w:color w:val="000000" w:themeColor="text1"/>
          <w:sz w:val="24"/>
          <w:szCs w:val="24"/>
        </w:rPr>
        <w:t xml:space="preserve">eugenicists linked miscegenation [interracial marriage] to the deterioration </w:t>
      </w:r>
      <w:r w:rsidR="00F372FF">
        <w:rPr>
          <w:rFonts w:ascii="Times New Roman" w:hAnsi="Times New Roman" w:cs="Times New Roman"/>
          <w:color w:val="000000" w:themeColor="text1"/>
          <w:sz w:val="24"/>
          <w:szCs w:val="24"/>
        </w:rPr>
        <w:t>of the</w:t>
      </w:r>
      <w:r w:rsidR="00F11F24">
        <w:rPr>
          <w:rFonts w:ascii="Times New Roman" w:hAnsi="Times New Roman" w:cs="Times New Roman"/>
          <w:color w:val="000000" w:themeColor="text1"/>
          <w:sz w:val="24"/>
          <w:szCs w:val="24"/>
        </w:rPr>
        <w:t xml:space="preserve"> race and nation, sexual purity becomes a controlling metaphor for racial, economic and political power.</w:t>
      </w:r>
    </w:p>
    <w:p w:rsidR="00C54CAA" w:rsidRDefault="00C54CAA" w:rsidP="00C54CAA">
      <w:pPr>
        <w:rPr>
          <w:rFonts w:ascii="Times New Roman" w:hAnsi="Times New Roman" w:cs="Times New Roman"/>
          <w:b/>
          <w:color w:val="000000" w:themeColor="text1"/>
          <w:sz w:val="24"/>
          <w:szCs w:val="24"/>
        </w:rPr>
      </w:pPr>
    </w:p>
    <w:p w:rsidR="008B61DA" w:rsidRDefault="008B61DA" w:rsidP="004B245E">
      <w:pPr>
        <w:tabs>
          <w:tab w:val="left" w:pos="2229"/>
        </w:tabs>
        <w:rPr>
          <w:rFonts w:ascii="Times New Roman" w:hAnsi="Times New Roman" w:cs="Times New Roman"/>
          <w:b/>
          <w:color w:val="000000" w:themeColor="text1"/>
          <w:sz w:val="24"/>
          <w:szCs w:val="24"/>
        </w:rPr>
      </w:pPr>
    </w:p>
    <w:p w:rsidR="00477068" w:rsidRDefault="004B245E" w:rsidP="004B245E">
      <w:pPr>
        <w:tabs>
          <w:tab w:val="left" w:pos="2229"/>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Family Law and Social Policy</w:t>
      </w:r>
    </w:p>
    <w:p w:rsidR="004B245E" w:rsidRPr="00DD5A28" w:rsidRDefault="004B245E" w:rsidP="004B245E">
      <w:pPr>
        <w:pStyle w:val="ListParagraph"/>
        <w:numPr>
          <w:ilvl w:val="0"/>
          <w:numId w:val="57"/>
        </w:numPr>
        <w:tabs>
          <w:tab w:val="left" w:pos="2229"/>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The problem of the interplay between law and social change </w:t>
      </w:r>
      <w:r w:rsidR="00DD5A28">
        <w:rPr>
          <w:rFonts w:ascii="Times New Roman" w:hAnsi="Times New Roman" w:cs="Times New Roman"/>
          <w:color w:val="000000" w:themeColor="text1"/>
          <w:sz w:val="24"/>
          <w:szCs w:val="24"/>
        </w:rPr>
        <w:t>is obviously not a simple one. As Olivo emphasizes in some cases, the law leads; in others, the law may been seen to follow social change,</w:t>
      </w:r>
    </w:p>
    <w:p w:rsidR="00DD5A28" w:rsidRPr="00DD5A28" w:rsidRDefault="00DD5A28" w:rsidP="004B245E">
      <w:pPr>
        <w:pStyle w:val="ListParagraph"/>
        <w:numPr>
          <w:ilvl w:val="0"/>
          <w:numId w:val="57"/>
        </w:numPr>
        <w:tabs>
          <w:tab w:val="left" w:pos="2229"/>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However, he acknowledges that in many cases it is hard to say whether the law is bringing about social change or social change is transforming into the law. The process of lawmaking is a dynamic process. </w:t>
      </w:r>
    </w:p>
    <w:p w:rsidR="00DD5A28" w:rsidRPr="005E5557" w:rsidRDefault="00DD5A28" w:rsidP="004B245E">
      <w:pPr>
        <w:pStyle w:val="ListParagraph"/>
        <w:numPr>
          <w:ilvl w:val="0"/>
          <w:numId w:val="57"/>
        </w:numPr>
        <w:tabs>
          <w:tab w:val="left" w:pos="2229"/>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Prior to the liberating reform of the </w:t>
      </w:r>
      <w:r w:rsidRPr="00DD5A28">
        <w:rPr>
          <w:rFonts w:ascii="Times New Roman" w:hAnsi="Times New Roman" w:cs="Times New Roman"/>
          <w:i/>
          <w:color w:val="000000" w:themeColor="text1"/>
          <w:sz w:val="24"/>
          <w:szCs w:val="24"/>
        </w:rPr>
        <w:t>1968 Divorce Act</w:t>
      </w:r>
      <w:r>
        <w:rPr>
          <w:rFonts w:ascii="Times New Roman" w:hAnsi="Times New Roman" w:cs="Times New Roman"/>
          <w:color w:val="000000" w:themeColor="text1"/>
          <w:sz w:val="24"/>
          <w:szCs w:val="24"/>
        </w:rPr>
        <w:t xml:space="preserve">, which was the first Canada-wide divorce act, Canada had one of the lowest divorce rates of all industrialized countries. This should not be surprising given that, until Parliament passed this Act, divorce was available only in certain provinces. In Quebec, for example, provincial courts could not grant divorce and residents seeking divorce were forced to apply to Parliament to dissolve their marriages. </w:t>
      </w:r>
    </w:p>
    <w:p w:rsidR="005E5557" w:rsidRPr="005E5557" w:rsidRDefault="005E5557" w:rsidP="004B245E">
      <w:pPr>
        <w:pStyle w:val="ListParagraph"/>
        <w:numPr>
          <w:ilvl w:val="0"/>
          <w:numId w:val="57"/>
        </w:numPr>
        <w:tabs>
          <w:tab w:val="left" w:pos="2229"/>
        </w:tabs>
        <w:rPr>
          <w:rFonts w:ascii="Times New Roman" w:hAnsi="Times New Roman" w:cs="Times New Roman"/>
          <w:b/>
          <w:color w:val="000000" w:themeColor="text1"/>
          <w:sz w:val="24"/>
          <w:szCs w:val="24"/>
        </w:rPr>
      </w:pPr>
      <w:r w:rsidRPr="008B61DA">
        <w:rPr>
          <w:rFonts w:ascii="Times New Roman" w:hAnsi="Times New Roman" w:cs="Times New Roman"/>
          <w:b/>
          <w:color w:val="000000" w:themeColor="text1"/>
          <w:sz w:val="24"/>
          <w:szCs w:val="24"/>
        </w:rPr>
        <w:t>Between 1867 and 1968</w:t>
      </w:r>
      <w:r>
        <w:rPr>
          <w:rFonts w:ascii="Times New Roman" w:hAnsi="Times New Roman" w:cs="Times New Roman"/>
          <w:color w:val="000000" w:themeColor="text1"/>
          <w:sz w:val="24"/>
          <w:szCs w:val="24"/>
        </w:rPr>
        <w:t>, adultery was the only legally recognized ground for divorce in most of Canada. Nova Scotia also recognized cruelty as grounds, and New Brunswick recognized frigidity, impotence, and consanguinity.</w:t>
      </w:r>
    </w:p>
    <w:p w:rsidR="005E5557" w:rsidRPr="005E5557" w:rsidRDefault="005E5557" w:rsidP="004B245E">
      <w:pPr>
        <w:pStyle w:val="ListParagraph"/>
        <w:numPr>
          <w:ilvl w:val="0"/>
          <w:numId w:val="57"/>
        </w:numPr>
        <w:tabs>
          <w:tab w:val="left" w:pos="2229"/>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New Brunswick was the only province to ever acknowledge sexual and reproductive “failure” on the part of either spouse as a “fault” or “offence” against the marriage.</w:t>
      </w:r>
    </w:p>
    <w:p w:rsidR="005E5557" w:rsidRPr="005E5557" w:rsidRDefault="005E5557" w:rsidP="004B245E">
      <w:pPr>
        <w:pStyle w:val="ListParagraph"/>
        <w:numPr>
          <w:ilvl w:val="0"/>
          <w:numId w:val="57"/>
        </w:numPr>
        <w:tabs>
          <w:tab w:val="left" w:pos="2229"/>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Nevertheless, breaking the bonds of matrimony used to be almost impossible until 1967.</w:t>
      </w:r>
    </w:p>
    <w:p w:rsidR="005E5557" w:rsidRPr="005E5557" w:rsidRDefault="005E5557" w:rsidP="004B245E">
      <w:pPr>
        <w:pStyle w:val="ListParagraph"/>
        <w:numPr>
          <w:ilvl w:val="0"/>
          <w:numId w:val="57"/>
        </w:numPr>
        <w:tabs>
          <w:tab w:val="left" w:pos="2229"/>
        </w:tabs>
        <w:rPr>
          <w:rFonts w:ascii="Times New Roman" w:hAnsi="Times New Roman" w:cs="Times New Roman"/>
          <w:b/>
          <w:color w:val="000000" w:themeColor="text1"/>
          <w:sz w:val="24"/>
          <w:szCs w:val="24"/>
        </w:rPr>
      </w:pPr>
      <w:r w:rsidRPr="009938F2">
        <w:rPr>
          <w:rFonts w:ascii="Times New Roman" w:hAnsi="Times New Roman" w:cs="Times New Roman"/>
          <w:b/>
          <w:color w:val="000000" w:themeColor="text1"/>
          <w:sz w:val="24"/>
          <w:szCs w:val="24"/>
          <w:u w:val="single"/>
        </w:rPr>
        <w:t>The 1968 Divorce Act</w:t>
      </w:r>
      <w:r>
        <w:rPr>
          <w:rFonts w:ascii="Times New Roman" w:hAnsi="Times New Roman" w:cs="Times New Roman"/>
          <w:color w:val="000000" w:themeColor="text1"/>
          <w:sz w:val="24"/>
          <w:szCs w:val="24"/>
        </w:rPr>
        <w:t xml:space="preserve"> expanded the list</w:t>
      </w:r>
      <w:r w:rsidR="008B61DA">
        <w:rPr>
          <w:rFonts w:ascii="Times New Roman" w:hAnsi="Times New Roman" w:cs="Times New Roman"/>
          <w:color w:val="000000" w:themeColor="text1"/>
          <w:sz w:val="24"/>
          <w:szCs w:val="24"/>
        </w:rPr>
        <w:t xml:space="preserve"> of fault-grounds </w:t>
      </w:r>
      <w:r>
        <w:rPr>
          <w:rFonts w:ascii="Times New Roman" w:hAnsi="Times New Roman" w:cs="Times New Roman"/>
          <w:color w:val="000000" w:themeColor="text1"/>
          <w:sz w:val="24"/>
          <w:szCs w:val="24"/>
        </w:rPr>
        <w:t>that entitled a petitioner to an immediate divorce; these included mental or physical cruelty, addiction to alcohol or other drugs, sodomy, bestiality or homosexual acts.</w:t>
      </w:r>
    </w:p>
    <w:p w:rsidR="005E5557" w:rsidRPr="009938F2" w:rsidRDefault="005E5557" w:rsidP="004B245E">
      <w:pPr>
        <w:pStyle w:val="ListParagraph"/>
        <w:numPr>
          <w:ilvl w:val="0"/>
          <w:numId w:val="57"/>
        </w:numPr>
        <w:tabs>
          <w:tab w:val="left" w:pos="2229"/>
        </w:tabs>
        <w:rPr>
          <w:rFonts w:ascii="Times New Roman" w:hAnsi="Times New Roman" w:cs="Times New Roman"/>
          <w:b/>
          <w:color w:val="000000" w:themeColor="text1"/>
          <w:sz w:val="24"/>
          <w:szCs w:val="24"/>
        </w:rPr>
      </w:pPr>
      <w:r w:rsidRPr="009938F2">
        <w:rPr>
          <w:rFonts w:ascii="Times New Roman" w:hAnsi="Times New Roman" w:cs="Times New Roman"/>
          <w:b/>
          <w:color w:val="000000" w:themeColor="text1"/>
          <w:sz w:val="24"/>
          <w:szCs w:val="24"/>
        </w:rPr>
        <w:t xml:space="preserve">The 1968 Divorce </w:t>
      </w:r>
      <w:r w:rsidR="009938F2" w:rsidRPr="009938F2">
        <w:rPr>
          <w:rFonts w:ascii="Times New Roman" w:hAnsi="Times New Roman" w:cs="Times New Roman"/>
          <w:b/>
          <w:color w:val="000000" w:themeColor="text1"/>
          <w:sz w:val="24"/>
          <w:szCs w:val="24"/>
        </w:rPr>
        <w:t>Act</w:t>
      </w:r>
      <w:r w:rsidRPr="009938F2">
        <w:rPr>
          <w:rFonts w:ascii="Times New Roman" w:hAnsi="Times New Roman" w:cs="Times New Roman"/>
          <w:b/>
          <w:color w:val="000000" w:themeColor="text1"/>
          <w:sz w:val="24"/>
          <w:szCs w:val="24"/>
        </w:rPr>
        <w:t xml:space="preserve"> also took a first step towards a “no-fault divorce”.</w:t>
      </w:r>
      <w:r>
        <w:rPr>
          <w:rFonts w:ascii="Times New Roman" w:hAnsi="Times New Roman" w:cs="Times New Roman"/>
          <w:color w:val="000000" w:themeColor="text1"/>
          <w:sz w:val="24"/>
          <w:szCs w:val="24"/>
        </w:rPr>
        <w:t xml:space="preserve"> Divorce was </w:t>
      </w:r>
      <w:r w:rsidR="009938F2">
        <w:rPr>
          <w:rFonts w:ascii="Times New Roman" w:hAnsi="Times New Roman" w:cs="Times New Roman"/>
          <w:color w:val="000000" w:themeColor="text1"/>
          <w:sz w:val="24"/>
          <w:szCs w:val="24"/>
        </w:rPr>
        <w:t>permitted on the grounds of unspecified “marital breakdown” if the couple had lived “separate and apart” for a 3-year period and jointly consented to being divorced.</w:t>
      </w:r>
    </w:p>
    <w:p w:rsidR="009938F2" w:rsidRPr="009938F2" w:rsidRDefault="009938F2" w:rsidP="009938F2">
      <w:pPr>
        <w:pStyle w:val="ListParagraph"/>
        <w:numPr>
          <w:ilvl w:val="0"/>
          <w:numId w:val="44"/>
        </w:numPr>
        <w:tabs>
          <w:tab w:val="left" w:pos="2229"/>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In the event that one party did not wish to be divorced, the court required that 5 years pass from the time of separation before application can be made for divorce. </w:t>
      </w:r>
    </w:p>
    <w:p w:rsidR="009938F2" w:rsidRPr="009938F2" w:rsidRDefault="009938F2" w:rsidP="009938F2">
      <w:pPr>
        <w:pStyle w:val="ListParagraph"/>
        <w:numPr>
          <w:ilvl w:val="0"/>
          <w:numId w:val="59"/>
        </w:numPr>
        <w:tabs>
          <w:tab w:val="left" w:pos="2229"/>
        </w:tabs>
        <w:rPr>
          <w:rFonts w:ascii="Times New Roman" w:hAnsi="Times New Roman" w:cs="Times New Roman"/>
          <w:b/>
          <w:color w:val="000000" w:themeColor="text1"/>
          <w:sz w:val="24"/>
          <w:szCs w:val="24"/>
        </w:rPr>
      </w:pPr>
      <w:r w:rsidRPr="009938F2">
        <w:rPr>
          <w:rFonts w:ascii="Times New Roman" w:hAnsi="Times New Roman" w:cs="Times New Roman"/>
          <w:b/>
          <w:color w:val="000000" w:themeColor="text1"/>
          <w:sz w:val="24"/>
          <w:szCs w:val="24"/>
          <w:u w:val="single"/>
        </w:rPr>
        <w:t>The 1985 Divorce Act</w:t>
      </w:r>
      <w:r>
        <w:rPr>
          <w:rFonts w:ascii="Times New Roman" w:hAnsi="Times New Roman" w:cs="Times New Roman"/>
          <w:color w:val="000000" w:themeColor="text1"/>
          <w:sz w:val="24"/>
          <w:szCs w:val="24"/>
        </w:rPr>
        <w:t xml:space="preserve"> (effective in 1986) simplified the divorce process further. Under this ground, only one ground is available for divorce: marital breakdown. </w:t>
      </w:r>
    </w:p>
    <w:p w:rsidR="009938F2" w:rsidRPr="009938F2" w:rsidRDefault="009938F2" w:rsidP="009938F2">
      <w:pPr>
        <w:pStyle w:val="ListParagraph"/>
        <w:tabs>
          <w:tab w:val="left" w:pos="2229"/>
        </w:tabs>
        <w:rPr>
          <w:rFonts w:ascii="Times New Roman" w:hAnsi="Times New Roman" w:cs="Times New Roman"/>
          <w:b/>
          <w:color w:val="000000" w:themeColor="text1"/>
          <w:sz w:val="24"/>
          <w:szCs w:val="24"/>
        </w:rPr>
      </w:pPr>
    </w:p>
    <w:p w:rsidR="009938F2" w:rsidRDefault="006815E1" w:rsidP="009938F2">
      <w:pPr>
        <w:pStyle w:val="ListParagraph"/>
        <w:numPr>
          <w:ilvl w:val="0"/>
          <w:numId w:val="59"/>
        </w:numPr>
        <w:tabs>
          <w:tab w:val="left" w:pos="2229"/>
        </w:tabs>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lang w:val="en-US"/>
        </w:rPr>
        <mc:AlternateContent>
          <mc:Choice Requires="wps">
            <w:drawing>
              <wp:anchor distT="0" distB="0" distL="114300" distR="114300" simplePos="0" relativeHeight="251659264" behindDoc="0" locked="0" layoutInCell="1" allowOverlap="1" wp14:anchorId="44B54764" wp14:editId="79809D1E">
                <wp:simplePos x="0" y="0"/>
                <wp:positionH relativeFrom="column">
                  <wp:posOffset>4236996</wp:posOffset>
                </wp:positionH>
                <wp:positionV relativeFrom="paragraph">
                  <wp:posOffset>73136</wp:posOffset>
                </wp:positionV>
                <wp:extent cx="389255" cy="373380"/>
                <wp:effectExtent l="19050" t="0" r="10795" b="45720"/>
                <wp:wrapNone/>
                <wp:docPr id="3" name="Down Arrow 3"/>
                <wp:cNvGraphicFramePr/>
                <a:graphic xmlns:a="http://schemas.openxmlformats.org/drawingml/2006/main">
                  <a:graphicData uri="http://schemas.microsoft.com/office/word/2010/wordprocessingShape">
                    <wps:wsp>
                      <wps:cNvSpPr/>
                      <wps:spPr>
                        <a:xfrm>
                          <a:off x="0" y="0"/>
                          <a:ext cx="389255" cy="37338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333.6pt;margin-top:5.75pt;width:30.6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" adj="10800" fillcolor="black [3200]" strokecolor="black [1600]" strokeweight="2pt"/>
            </w:pict>
          </mc:Fallback>
        </mc:AlternateContent>
      </w:r>
      <w:r w:rsidR="009938F2">
        <w:rPr>
          <w:rFonts w:ascii="Times New Roman" w:hAnsi="Times New Roman" w:cs="Times New Roman"/>
          <w:b/>
          <w:color w:val="000000" w:themeColor="text1"/>
          <w:sz w:val="24"/>
          <w:szCs w:val="24"/>
        </w:rPr>
        <w:t xml:space="preserve">The Divorce Act of 1968 </w:t>
      </w:r>
      <w:r>
        <w:rPr>
          <w:rFonts w:ascii="Times New Roman" w:hAnsi="Times New Roman" w:cs="Times New Roman"/>
          <w:b/>
          <w:color w:val="000000" w:themeColor="text1"/>
          <w:sz w:val="24"/>
          <w:szCs w:val="24"/>
        </w:rPr>
        <w:t>:  No Fault divorce 3 year period</w:t>
      </w:r>
    </w:p>
    <w:p w:rsidR="006815E1" w:rsidRPr="006815E1" w:rsidRDefault="006815E1" w:rsidP="006815E1">
      <w:pPr>
        <w:pStyle w:val="ListParagraph"/>
        <w:rPr>
          <w:rFonts w:ascii="Times New Roman" w:hAnsi="Times New Roman" w:cs="Times New Roman"/>
          <w:b/>
          <w:color w:val="000000" w:themeColor="text1"/>
          <w:sz w:val="24"/>
          <w:szCs w:val="24"/>
        </w:rPr>
      </w:pPr>
    </w:p>
    <w:p w:rsidR="006815E1" w:rsidRDefault="006815E1" w:rsidP="009938F2">
      <w:pPr>
        <w:pStyle w:val="ListParagraph"/>
        <w:numPr>
          <w:ilvl w:val="0"/>
          <w:numId w:val="59"/>
        </w:numPr>
        <w:tabs>
          <w:tab w:val="left" w:pos="2229"/>
        </w:tabs>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The Divorce Act of 1985</w:t>
      </w:r>
      <w:r>
        <w:rPr>
          <w:rFonts w:ascii="Times New Roman" w:hAnsi="Times New Roman" w:cs="Times New Roman"/>
          <w:color w:val="000000" w:themeColor="text1"/>
          <w:sz w:val="24"/>
          <w:szCs w:val="24"/>
        </w:rPr>
        <w:t xml:space="preserve">: </w:t>
      </w:r>
      <w:r w:rsidRPr="006815E1">
        <w:rPr>
          <w:rFonts w:ascii="Times New Roman" w:hAnsi="Times New Roman" w:cs="Times New Roman"/>
          <w:b/>
          <w:color w:val="000000" w:themeColor="text1"/>
          <w:sz w:val="24"/>
          <w:szCs w:val="24"/>
        </w:rPr>
        <w:t>No fault divorce 1 year period</w:t>
      </w:r>
    </w:p>
    <w:p w:rsidR="006815E1" w:rsidRPr="006815E1" w:rsidRDefault="006815E1" w:rsidP="006815E1">
      <w:pPr>
        <w:pStyle w:val="ListParagraph"/>
        <w:rPr>
          <w:rFonts w:ascii="Times New Roman" w:hAnsi="Times New Roman" w:cs="Times New Roman"/>
          <w:b/>
          <w:color w:val="000000" w:themeColor="text1"/>
          <w:sz w:val="24"/>
          <w:szCs w:val="24"/>
        </w:rPr>
      </w:pPr>
    </w:p>
    <w:p w:rsidR="006815E1" w:rsidRPr="006815E1" w:rsidRDefault="006815E1" w:rsidP="009938F2">
      <w:pPr>
        <w:pStyle w:val="ListParagraph"/>
        <w:numPr>
          <w:ilvl w:val="0"/>
          <w:numId w:val="59"/>
        </w:numPr>
        <w:tabs>
          <w:tab w:val="left" w:pos="2229"/>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The shortening of the separation period to one year from three years is designed to reduce conflict between spouses and is long enough to give second thought and avoid rash and hasty divorces. </w:t>
      </w:r>
    </w:p>
    <w:p w:rsidR="009938F2" w:rsidRPr="006815E1" w:rsidRDefault="009938F2" w:rsidP="009938F2">
      <w:pPr>
        <w:pStyle w:val="ListParagraph"/>
        <w:rPr>
          <w:rFonts w:ascii="Times New Roman" w:hAnsi="Times New Roman" w:cs="Times New Roman"/>
          <w:b/>
          <w:color w:val="000000" w:themeColor="text1"/>
          <w:sz w:val="24"/>
          <w:szCs w:val="24"/>
        </w:rPr>
      </w:pPr>
    </w:p>
    <w:p w:rsidR="009938F2" w:rsidRPr="004539E3" w:rsidRDefault="009938F2" w:rsidP="004539E3">
      <w:pPr>
        <w:tabs>
          <w:tab w:val="left" w:pos="2229"/>
        </w:tabs>
        <w:rPr>
          <w:rFonts w:ascii="Times New Roman" w:hAnsi="Times New Roman" w:cs="Times New Roman"/>
          <w:b/>
          <w:color w:val="000000" w:themeColor="text1"/>
          <w:sz w:val="24"/>
          <w:szCs w:val="24"/>
        </w:rPr>
      </w:pPr>
    </w:p>
    <w:sectPr w:rsidR="009938F2" w:rsidRPr="004539E3">
      <w:foot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313" w:rsidRDefault="00463313" w:rsidP="00727EF0">
      <w:pPr>
        <w:spacing w:after="0" w:line="240" w:lineRule="auto"/>
      </w:pPr>
      <w:r>
        <w:separator/>
      </w:r>
    </w:p>
  </w:endnote>
  <w:endnote w:type="continuationSeparator" w:id="0">
    <w:p w:rsidR="00463313" w:rsidRDefault="00463313" w:rsidP="00727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97809"/>
      <w:docPartObj>
        <w:docPartGallery w:val="Page Numbers (Bottom of Page)"/>
        <w:docPartUnique/>
      </w:docPartObj>
    </w:sdtPr>
    <w:sdtEndPr>
      <w:rPr>
        <w:noProof/>
      </w:rPr>
    </w:sdtEndPr>
    <w:sdtContent>
      <w:p w:rsidR="005E5557" w:rsidRDefault="005E5557">
        <w:pPr>
          <w:pStyle w:val="Footer"/>
          <w:jc w:val="right"/>
        </w:pPr>
        <w:r>
          <w:fldChar w:fldCharType="begin"/>
        </w:r>
        <w:r>
          <w:instrText xml:space="preserve"> PAGE   \* MERGEFORMAT </w:instrText>
        </w:r>
        <w:r>
          <w:fldChar w:fldCharType="separate"/>
        </w:r>
        <w:r w:rsidR="00463313">
          <w:rPr>
            <w:noProof/>
          </w:rPr>
          <w:t>1</w:t>
        </w:r>
        <w:r>
          <w:rPr>
            <w:noProof/>
          </w:rPr>
          <w:fldChar w:fldCharType="end"/>
        </w:r>
      </w:p>
    </w:sdtContent>
  </w:sdt>
  <w:p w:rsidR="005E5557" w:rsidRDefault="005E55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313" w:rsidRDefault="00463313" w:rsidP="00727EF0">
      <w:pPr>
        <w:spacing w:after="0" w:line="240" w:lineRule="auto"/>
      </w:pPr>
      <w:r>
        <w:separator/>
      </w:r>
    </w:p>
  </w:footnote>
  <w:footnote w:type="continuationSeparator" w:id="0">
    <w:p w:rsidR="00463313" w:rsidRDefault="00463313" w:rsidP="00727E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EF9"/>
    <w:multiLevelType w:val="hybridMultilevel"/>
    <w:tmpl w:val="3CA638BE"/>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1">
    <w:nsid w:val="016B12A3"/>
    <w:multiLevelType w:val="hybridMultilevel"/>
    <w:tmpl w:val="5DE8EE36"/>
    <w:lvl w:ilvl="0" w:tplc="FBC0BB2C">
      <w:start w:val="1"/>
      <w:numFmt w:val="bullet"/>
      <w:lvlText w:val=""/>
      <w:lvlJc w:val="left"/>
      <w:pPr>
        <w:ind w:left="1503" w:hanging="360"/>
      </w:pPr>
      <w:rPr>
        <w:rFonts w:ascii="Symbol" w:hAnsi="Symbol" w:hint="default"/>
      </w:rPr>
    </w:lvl>
    <w:lvl w:ilvl="1" w:tplc="10090003" w:tentative="1">
      <w:start w:val="1"/>
      <w:numFmt w:val="bullet"/>
      <w:lvlText w:val="o"/>
      <w:lvlJc w:val="left"/>
      <w:pPr>
        <w:ind w:left="2223" w:hanging="360"/>
      </w:pPr>
      <w:rPr>
        <w:rFonts w:ascii="Courier New" w:hAnsi="Courier New" w:cs="Courier New" w:hint="default"/>
      </w:rPr>
    </w:lvl>
    <w:lvl w:ilvl="2" w:tplc="10090005" w:tentative="1">
      <w:start w:val="1"/>
      <w:numFmt w:val="bullet"/>
      <w:lvlText w:val=""/>
      <w:lvlJc w:val="left"/>
      <w:pPr>
        <w:ind w:left="2943" w:hanging="360"/>
      </w:pPr>
      <w:rPr>
        <w:rFonts w:ascii="Wingdings" w:hAnsi="Wingdings" w:hint="default"/>
      </w:rPr>
    </w:lvl>
    <w:lvl w:ilvl="3" w:tplc="10090001" w:tentative="1">
      <w:start w:val="1"/>
      <w:numFmt w:val="bullet"/>
      <w:lvlText w:val=""/>
      <w:lvlJc w:val="left"/>
      <w:pPr>
        <w:ind w:left="3663" w:hanging="360"/>
      </w:pPr>
      <w:rPr>
        <w:rFonts w:ascii="Symbol" w:hAnsi="Symbol" w:hint="default"/>
      </w:rPr>
    </w:lvl>
    <w:lvl w:ilvl="4" w:tplc="10090003" w:tentative="1">
      <w:start w:val="1"/>
      <w:numFmt w:val="bullet"/>
      <w:lvlText w:val="o"/>
      <w:lvlJc w:val="left"/>
      <w:pPr>
        <w:ind w:left="4383" w:hanging="360"/>
      </w:pPr>
      <w:rPr>
        <w:rFonts w:ascii="Courier New" w:hAnsi="Courier New" w:cs="Courier New" w:hint="default"/>
      </w:rPr>
    </w:lvl>
    <w:lvl w:ilvl="5" w:tplc="10090005" w:tentative="1">
      <w:start w:val="1"/>
      <w:numFmt w:val="bullet"/>
      <w:lvlText w:val=""/>
      <w:lvlJc w:val="left"/>
      <w:pPr>
        <w:ind w:left="5103" w:hanging="360"/>
      </w:pPr>
      <w:rPr>
        <w:rFonts w:ascii="Wingdings" w:hAnsi="Wingdings" w:hint="default"/>
      </w:rPr>
    </w:lvl>
    <w:lvl w:ilvl="6" w:tplc="10090001" w:tentative="1">
      <w:start w:val="1"/>
      <w:numFmt w:val="bullet"/>
      <w:lvlText w:val=""/>
      <w:lvlJc w:val="left"/>
      <w:pPr>
        <w:ind w:left="5823" w:hanging="360"/>
      </w:pPr>
      <w:rPr>
        <w:rFonts w:ascii="Symbol" w:hAnsi="Symbol" w:hint="default"/>
      </w:rPr>
    </w:lvl>
    <w:lvl w:ilvl="7" w:tplc="10090003" w:tentative="1">
      <w:start w:val="1"/>
      <w:numFmt w:val="bullet"/>
      <w:lvlText w:val="o"/>
      <w:lvlJc w:val="left"/>
      <w:pPr>
        <w:ind w:left="6543" w:hanging="360"/>
      </w:pPr>
      <w:rPr>
        <w:rFonts w:ascii="Courier New" w:hAnsi="Courier New" w:cs="Courier New" w:hint="default"/>
      </w:rPr>
    </w:lvl>
    <w:lvl w:ilvl="8" w:tplc="10090005" w:tentative="1">
      <w:start w:val="1"/>
      <w:numFmt w:val="bullet"/>
      <w:lvlText w:val=""/>
      <w:lvlJc w:val="left"/>
      <w:pPr>
        <w:ind w:left="7263" w:hanging="360"/>
      </w:pPr>
      <w:rPr>
        <w:rFonts w:ascii="Wingdings" w:hAnsi="Wingdings" w:hint="default"/>
      </w:rPr>
    </w:lvl>
  </w:abstractNum>
  <w:abstractNum w:abstractNumId="2">
    <w:nsid w:val="036913E8"/>
    <w:multiLevelType w:val="hybridMultilevel"/>
    <w:tmpl w:val="D924D0BC"/>
    <w:lvl w:ilvl="0" w:tplc="FBC0BB2C">
      <w:start w:val="1"/>
      <w:numFmt w:val="bullet"/>
      <w:lvlText w:val=""/>
      <w:lvlJc w:val="left"/>
      <w:pPr>
        <w:ind w:left="2223" w:hanging="360"/>
      </w:pPr>
      <w:rPr>
        <w:rFonts w:ascii="Symbol" w:hAnsi="Symbol" w:hint="default"/>
      </w:rPr>
    </w:lvl>
    <w:lvl w:ilvl="1" w:tplc="10090003" w:tentative="1">
      <w:start w:val="1"/>
      <w:numFmt w:val="bullet"/>
      <w:lvlText w:val="o"/>
      <w:lvlJc w:val="left"/>
      <w:pPr>
        <w:ind w:left="2943" w:hanging="360"/>
      </w:pPr>
      <w:rPr>
        <w:rFonts w:ascii="Courier New" w:hAnsi="Courier New" w:cs="Courier New" w:hint="default"/>
      </w:rPr>
    </w:lvl>
    <w:lvl w:ilvl="2" w:tplc="10090005" w:tentative="1">
      <w:start w:val="1"/>
      <w:numFmt w:val="bullet"/>
      <w:lvlText w:val=""/>
      <w:lvlJc w:val="left"/>
      <w:pPr>
        <w:ind w:left="3663" w:hanging="360"/>
      </w:pPr>
      <w:rPr>
        <w:rFonts w:ascii="Wingdings" w:hAnsi="Wingdings" w:hint="default"/>
      </w:rPr>
    </w:lvl>
    <w:lvl w:ilvl="3" w:tplc="10090001" w:tentative="1">
      <w:start w:val="1"/>
      <w:numFmt w:val="bullet"/>
      <w:lvlText w:val=""/>
      <w:lvlJc w:val="left"/>
      <w:pPr>
        <w:ind w:left="4383" w:hanging="360"/>
      </w:pPr>
      <w:rPr>
        <w:rFonts w:ascii="Symbol" w:hAnsi="Symbol" w:hint="default"/>
      </w:rPr>
    </w:lvl>
    <w:lvl w:ilvl="4" w:tplc="10090003" w:tentative="1">
      <w:start w:val="1"/>
      <w:numFmt w:val="bullet"/>
      <w:lvlText w:val="o"/>
      <w:lvlJc w:val="left"/>
      <w:pPr>
        <w:ind w:left="5103" w:hanging="360"/>
      </w:pPr>
      <w:rPr>
        <w:rFonts w:ascii="Courier New" w:hAnsi="Courier New" w:cs="Courier New" w:hint="default"/>
      </w:rPr>
    </w:lvl>
    <w:lvl w:ilvl="5" w:tplc="10090005" w:tentative="1">
      <w:start w:val="1"/>
      <w:numFmt w:val="bullet"/>
      <w:lvlText w:val=""/>
      <w:lvlJc w:val="left"/>
      <w:pPr>
        <w:ind w:left="5823" w:hanging="360"/>
      </w:pPr>
      <w:rPr>
        <w:rFonts w:ascii="Wingdings" w:hAnsi="Wingdings" w:hint="default"/>
      </w:rPr>
    </w:lvl>
    <w:lvl w:ilvl="6" w:tplc="10090001" w:tentative="1">
      <w:start w:val="1"/>
      <w:numFmt w:val="bullet"/>
      <w:lvlText w:val=""/>
      <w:lvlJc w:val="left"/>
      <w:pPr>
        <w:ind w:left="6543" w:hanging="360"/>
      </w:pPr>
      <w:rPr>
        <w:rFonts w:ascii="Symbol" w:hAnsi="Symbol" w:hint="default"/>
      </w:rPr>
    </w:lvl>
    <w:lvl w:ilvl="7" w:tplc="10090003" w:tentative="1">
      <w:start w:val="1"/>
      <w:numFmt w:val="bullet"/>
      <w:lvlText w:val="o"/>
      <w:lvlJc w:val="left"/>
      <w:pPr>
        <w:ind w:left="7263" w:hanging="360"/>
      </w:pPr>
      <w:rPr>
        <w:rFonts w:ascii="Courier New" w:hAnsi="Courier New" w:cs="Courier New" w:hint="default"/>
      </w:rPr>
    </w:lvl>
    <w:lvl w:ilvl="8" w:tplc="10090005" w:tentative="1">
      <w:start w:val="1"/>
      <w:numFmt w:val="bullet"/>
      <w:lvlText w:val=""/>
      <w:lvlJc w:val="left"/>
      <w:pPr>
        <w:ind w:left="7983" w:hanging="360"/>
      </w:pPr>
      <w:rPr>
        <w:rFonts w:ascii="Wingdings" w:hAnsi="Wingdings" w:hint="default"/>
      </w:rPr>
    </w:lvl>
  </w:abstractNum>
  <w:abstractNum w:abstractNumId="3">
    <w:nsid w:val="03865CA7"/>
    <w:multiLevelType w:val="hybridMultilevel"/>
    <w:tmpl w:val="62FE0DD4"/>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BD1F20"/>
    <w:multiLevelType w:val="hybridMultilevel"/>
    <w:tmpl w:val="A35C8D6A"/>
    <w:lvl w:ilvl="0" w:tplc="7EFAB64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7955E3"/>
    <w:multiLevelType w:val="hybridMultilevel"/>
    <w:tmpl w:val="494EC9E4"/>
    <w:lvl w:ilvl="0" w:tplc="7EFAB64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B540B2"/>
    <w:multiLevelType w:val="hybridMultilevel"/>
    <w:tmpl w:val="809EAE6A"/>
    <w:lvl w:ilvl="0" w:tplc="FBC0BB2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CD33467"/>
    <w:multiLevelType w:val="hybridMultilevel"/>
    <w:tmpl w:val="B602D9B2"/>
    <w:lvl w:ilvl="0" w:tplc="CAC44A7A">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0DF40347"/>
    <w:multiLevelType w:val="hybridMultilevel"/>
    <w:tmpl w:val="DDA48B2E"/>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0F4152C0"/>
    <w:multiLevelType w:val="hybridMultilevel"/>
    <w:tmpl w:val="30463942"/>
    <w:lvl w:ilvl="0" w:tplc="7EFAB64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13544F6"/>
    <w:multiLevelType w:val="hybridMultilevel"/>
    <w:tmpl w:val="A330F0A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1FD3B45"/>
    <w:multiLevelType w:val="hybridMultilevel"/>
    <w:tmpl w:val="A7FABB3C"/>
    <w:lvl w:ilvl="0" w:tplc="BDA6179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13FD1367"/>
    <w:multiLevelType w:val="hybridMultilevel"/>
    <w:tmpl w:val="ED821C58"/>
    <w:lvl w:ilvl="0" w:tplc="FBC0BB2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C2B4DA4"/>
    <w:multiLevelType w:val="hybridMultilevel"/>
    <w:tmpl w:val="B928BD12"/>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C2E581E"/>
    <w:multiLevelType w:val="hybridMultilevel"/>
    <w:tmpl w:val="6FA211BA"/>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CFC1C34"/>
    <w:multiLevelType w:val="hybridMultilevel"/>
    <w:tmpl w:val="C770B1D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D8F31B7"/>
    <w:multiLevelType w:val="hybridMultilevel"/>
    <w:tmpl w:val="E99489C8"/>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EF0261A"/>
    <w:multiLevelType w:val="hybridMultilevel"/>
    <w:tmpl w:val="C270F440"/>
    <w:lvl w:ilvl="0" w:tplc="FBC0BB2C">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22512C76"/>
    <w:multiLevelType w:val="hybridMultilevel"/>
    <w:tmpl w:val="D1622792"/>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6897D7D"/>
    <w:multiLevelType w:val="hybridMultilevel"/>
    <w:tmpl w:val="CE72A1B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27A92BDD"/>
    <w:multiLevelType w:val="hybridMultilevel"/>
    <w:tmpl w:val="DCA8A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98809E8"/>
    <w:multiLevelType w:val="hybridMultilevel"/>
    <w:tmpl w:val="55200B14"/>
    <w:lvl w:ilvl="0" w:tplc="10090003">
      <w:start w:val="1"/>
      <w:numFmt w:val="bullet"/>
      <w:lvlText w:val="o"/>
      <w:lvlJc w:val="left"/>
      <w:pPr>
        <w:ind w:left="1494" w:hanging="360"/>
      </w:pPr>
      <w:rPr>
        <w:rFonts w:ascii="Courier New" w:hAnsi="Courier New" w:cs="Courier New"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22">
    <w:nsid w:val="2A8F73DE"/>
    <w:multiLevelType w:val="hybridMultilevel"/>
    <w:tmpl w:val="3F169990"/>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27335BF"/>
    <w:multiLevelType w:val="hybridMultilevel"/>
    <w:tmpl w:val="48D0A370"/>
    <w:lvl w:ilvl="0" w:tplc="7EFAB64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B175D0"/>
    <w:multiLevelType w:val="hybridMultilevel"/>
    <w:tmpl w:val="0FCEB306"/>
    <w:lvl w:ilvl="0" w:tplc="FBC0BB2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36BA38D7"/>
    <w:multiLevelType w:val="hybridMultilevel"/>
    <w:tmpl w:val="88129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D3266D5"/>
    <w:multiLevelType w:val="hybridMultilevel"/>
    <w:tmpl w:val="8576A340"/>
    <w:lvl w:ilvl="0" w:tplc="FBC0BB2C">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3FDA46B3"/>
    <w:multiLevelType w:val="hybridMultilevel"/>
    <w:tmpl w:val="8A4C2DE0"/>
    <w:lvl w:ilvl="0" w:tplc="FBC0BB2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43F54685"/>
    <w:multiLevelType w:val="hybridMultilevel"/>
    <w:tmpl w:val="3AB49596"/>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43B4350"/>
    <w:multiLevelType w:val="hybridMultilevel"/>
    <w:tmpl w:val="04044C8C"/>
    <w:lvl w:ilvl="0" w:tplc="D40C5206">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5E770CF"/>
    <w:multiLevelType w:val="hybridMultilevel"/>
    <w:tmpl w:val="F4202EAE"/>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6980932"/>
    <w:multiLevelType w:val="hybridMultilevel"/>
    <w:tmpl w:val="C4465B1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4DDE7F1B"/>
    <w:multiLevelType w:val="hybridMultilevel"/>
    <w:tmpl w:val="F732C6A6"/>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E7A59AA"/>
    <w:multiLevelType w:val="hybridMultilevel"/>
    <w:tmpl w:val="197E4600"/>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nsid w:val="4EB41533"/>
    <w:multiLevelType w:val="hybridMultilevel"/>
    <w:tmpl w:val="7FBA96F2"/>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F7045EC"/>
    <w:multiLevelType w:val="hybridMultilevel"/>
    <w:tmpl w:val="C9E8708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FE13AF3"/>
    <w:multiLevelType w:val="hybridMultilevel"/>
    <w:tmpl w:val="97F0625E"/>
    <w:lvl w:ilvl="0" w:tplc="FBC0BB2C">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7">
    <w:nsid w:val="50B92054"/>
    <w:multiLevelType w:val="hybridMultilevel"/>
    <w:tmpl w:val="61766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2D86CFB"/>
    <w:multiLevelType w:val="hybridMultilevel"/>
    <w:tmpl w:val="71986F1C"/>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3A53A09"/>
    <w:multiLevelType w:val="hybridMultilevel"/>
    <w:tmpl w:val="2FA89054"/>
    <w:lvl w:ilvl="0" w:tplc="FBC0BB2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53A81F18"/>
    <w:multiLevelType w:val="hybridMultilevel"/>
    <w:tmpl w:val="359297B8"/>
    <w:lvl w:ilvl="0" w:tplc="7EFAB64C">
      <w:start w:val="1"/>
      <w:numFmt w:val="bullet"/>
      <w:lvlText w:val=""/>
      <w:lvlJc w:val="left"/>
      <w:pPr>
        <w:ind w:left="783" w:hanging="360"/>
      </w:pPr>
      <w:rPr>
        <w:rFonts w:ascii="Symbol" w:hAnsi="Symbol" w:hint="default"/>
      </w:rPr>
    </w:lvl>
    <w:lvl w:ilvl="1" w:tplc="10090003" w:tentative="1">
      <w:start w:val="1"/>
      <w:numFmt w:val="bullet"/>
      <w:lvlText w:val="o"/>
      <w:lvlJc w:val="left"/>
      <w:pPr>
        <w:ind w:left="1503" w:hanging="360"/>
      </w:pPr>
      <w:rPr>
        <w:rFonts w:ascii="Courier New" w:hAnsi="Courier New" w:cs="Courier New" w:hint="default"/>
      </w:rPr>
    </w:lvl>
    <w:lvl w:ilvl="2" w:tplc="10090005" w:tentative="1">
      <w:start w:val="1"/>
      <w:numFmt w:val="bullet"/>
      <w:lvlText w:val=""/>
      <w:lvlJc w:val="left"/>
      <w:pPr>
        <w:ind w:left="2223" w:hanging="360"/>
      </w:pPr>
      <w:rPr>
        <w:rFonts w:ascii="Wingdings" w:hAnsi="Wingdings" w:hint="default"/>
      </w:rPr>
    </w:lvl>
    <w:lvl w:ilvl="3" w:tplc="10090001" w:tentative="1">
      <w:start w:val="1"/>
      <w:numFmt w:val="bullet"/>
      <w:lvlText w:val=""/>
      <w:lvlJc w:val="left"/>
      <w:pPr>
        <w:ind w:left="2943" w:hanging="360"/>
      </w:pPr>
      <w:rPr>
        <w:rFonts w:ascii="Symbol" w:hAnsi="Symbol" w:hint="default"/>
      </w:rPr>
    </w:lvl>
    <w:lvl w:ilvl="4" w:tplc="10090003" w:tentative="1">
      <w:start w:val="1"/>
      <w:numFmt w:val="bullet"/>
      <w:lvlText w:val="o"/>
      <w:lvlJc w:val="left"/>
      <w:pPr>
        <w:ind w:left="3663" w:hanging="360"/>
      </w:pPr>
      <w:rPr>
        <w:rFonts w:ascii="Courier New" w:hAnsi="Courier New" w:cs="Courier New" w:hint="default"/>
      </w:rPr>
    </w:lvl>
    <w:lvl w:ilvl="5" w:tplc="10090005" w:tentative="1">
      <w:start w:val="1"/>
      <w:numFmt w:val="bullet"/>
      <w:lvlText w:val=""/>
      <w:lvlJc w:val="left"/>
      <w:pPr>
        <w:ind w:left="4383" w:hanging="360"/>
      </w:pPr>
      <w:rPr>
        <w:rFonts w:ascii="Wingdings" w:hAnsi="Wingdings" w:hint="default"/>
      </w:rPr>
    </w:lvl>
    <w:lvl w:ilvl="6" w:tplc="10090001" w:tentative="1">
      <w:start w:val="1"/>
      <w:numFmt w:val="bullet"/>
      <w:lvlText w:val=""/>
      <w:lvlJc w:val="left"/>
      <w:pPr>
        <w:ind w:left="5103" w:hanging="360"/>
      </w:pPr>
      <w:rPr>
        <w:rFonts w:ascii="Symbol" w:hAnsi="Symbol" w:hint="default"/>
      </w:rPr>
    </w:lvl>
    <w:lvl w:ilvl="7" w:tplc="10090003" w:tentative="1">
      <w:start w:val="1"/>
      <w:numFmt w:val="bullet"/>
      <w:lvlText w:val="o"/>
      <w:lvlJc w:val="left"/>
      <w:pPr>
        <w:ind w:left="5823" w:hanging="360"/>
      </w:pPr>
      <w:rPr>
        <w:rFonts w:ascii="Courier New" w:hAnsi="Courier New" w:cs="Courier New" w:hint="default"/>
      </w:rPr>
    </w:lvl>
    <w:lvl w:ilvl="8" w:tplc="10090005" w:tentative="1">
      <w:start w:val="1"/>
      <w:numFmt w:val="bullet"/>
      <w:lvlText w:val=""/>
      <w:lvlJc w:val="left"/>
      <w:pPr>
        <w:ind w:left="6543" w:hanging="360"/>
      </w:pPr>
      <w:rPr>
        <w:rFonts w:ascii="Wingdings" w:hAnsi="Wingdings" w:hint="default"/>
      </w:rPr>
    </w:lvl>
  </w:abstractNum>
  <w:abstractNum w:abstractNumId="41">
    <w:nsid w:val="544F1293"/>
    <w:multiLevelType w:val="hybridMultilevel"/>
    <w:tmpl w:val="A3E04F8E"/>
    <w:lvl w:ilvl="0" w:tplc="FBC0BB2C">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2">
    <w:nsid w:val="583E1AEE"/>
    <w:multiLevelType w:val="hybridMultilevel"/>
    <w:tmpl w:val="88CC7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9014682"/>
    <w:multiLevelType w:val="hybridMultilevel"/>
    <w:tmpl w:val="5516A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9F43961"/>
    <w:multiLevelType w:val="hybridMultilevel"/>
    <w:tmpl w:val="FBDA925C"/>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3156FFD"/>
    <w:multiLevelType w:val="hybridMultilevel"/>
    <w:tmpl w:val="D1C2A928"/>
    <w:lvl w:ilvl="0" w:tplc="FBC0BB2C">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nsid w:val="65331820"/>
    <w:multiLevelType w:val="hybridMultilevel"/>
    <w:tmpl w:val="8F262B2A"/>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6B031AD"/>
    <w:multiLevelType w:val="hybridMultilevel"/>
    <w:tmpl w:val="F66C1A8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8">
    <w:nsid w:val="6FA02FAB"/>
    <w:multiLevelType w:val="hybridMultilevel"/>
    <w:tmpl w:val="64743D3A"/>
    <w:lvl w:ilvl="0" w:tplc="713EB4E0">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9">
    <w:nsid w:val="6FBA7C3B"/>
    <w:multiLevelType w:val="hybridMultilevel"/>
    <w:tmpl w:val="70F6F802"/>
    <w:lvl w:ilvl="0" w:tplc="AF9467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0">
    <w:nsid w:val="712E38B7"/>
    <w:multiLevelType w:val="hybridMultilevel"/>
    <w:tmpl w:val="16D43A6A"/>
    <w:lvl w:ilvl="0" w:tplc="26C8123E">
      <w:start w:val="1"/>
      <w:numFmt w:val="lowerLetter"/>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1">
    <w:nsid w:val="75A3325C"/>
    <w:multiLevelType w:val="hybridMultilevel"/>
    <w:tmpl w:val="527A8DB2"/>
    <w:lvl w:ilvl="0" w:tplc="FBC0BB2C">
      <w:start w:val="1"/>
      <w:numFmt w:val="bullet"/>
      <w:lvlText w:val=""/>
      <w:lvlJc w:val="left"/>
      <w:pPr>
        <w:ind w:left="1622" w:hanging="360"/>
      </w:pPr>
      <w:rPr>
        <w:rFonts w:ascii="Symbol" w:hAnsi="Symbol" w:hint="default"/>
      </w:rPr>
    </w:lvl>
    <w:lvl w:ilvl="1" w:tplc="10090003" w:tentative="1">
      <w:start w:val="1"/>
      <w:numFmt w:val="bullet"/>
      <w:lvlText w:val="o"/>
      <w:lvlJc w:val="left"/>
      <w:pPr>
        <w:ind w:left="2342" w:hanging="360"/>
      </w:pPr>
      <w:rPr>
        <w:rFonts w:ascii="Courier New" w:hAnsi="Courier New" w:cs="Courier New" w:hint="default"/>
      </w:rPr>
    </w:lvl>
    <w:lvl w:ilvl="2" w:tplc="10090005" w:tentative="1">
      <w:start w:val="1"/>
      <w:numFmt w:val="bullet"/>
      <w:lvlText w:val=""/>
      <w:lvlJc w:val="left"/>
      <w:pPr>
        <w:ind w:left="3062" w:hanging="360"/>
      </w:pPr>
      <w:rPr>
        <w:rFonts w:ascii="Wingdings" w:hAnsi="Wingdings" w:hint="default"/>
      </w:rPr>
    </w:lvl>
    <w:lvl w:ilvl="3" w:tplc="10090001" w:tentative="1">
      <w:start w:val="1"/>
      <w:numFmt w:val="bullet"/>
      <w:lvlText w:val=""/>
      <w:lvlJc w:val="left"/>
      <w:pPr>
        <w:ind w:left="3782" w:hanging="360"/>
      </w:pPr>
      <w:rPr>
        <w:rFonts w:ascii="Symbol" w:hAnsi="Symbol" w:hint="default"/>
      </w:rPr>
    </w:lvl>
    <w:lvl w:ilvl="4" w:tplc="10090003" w:tentative="1">
      <w:start w:val="1"/>
      <w:numFmt w:val="bullet"/>
      <w:lvlText w:val="o"/>
      <w:lvlJc w:val="left"/>
      <w:pPr>
        <w:ind w:left="4502" w:hanging="360"/>
      </w:pPr>
      <w:rPr>
        <w:rFonts w:ascii="Courier New" w:hAnsi="Courier New" w:cs="Courier New" w:hint="default"/>
      </w:rPr>
    </w:lvl>
    <w:lvl w:ilvl="5" w:tplc="10090005" w:tentative="1">
      <w:start w:val="1"/>
      <w:numFmt w:val="bullet"/>
      <w:lvlText w:val=""/>
      <w:lvlJc w:val="left"/>
      <w:pPr>
        <w:ind w:left="5222" w:hanging="360"/>
      </w:pPr>
      <w:rPr>
        <w:rFonts w:ascii="Wingdings" w:hAnsi="Wingdings" w:hint="default"/>
      </w:rPr>
    </w:lvl>
    <w:lvl w:ilvl="6" w:tplc="10090001" w:tentative="1">
      <w:start w:val="1"/>
      <w:numFmt w:val="bullet"/>
      <w:lvlText w:val=""/>
      <w:lvlJc w:val="left"/>
      <w:pPr>
        <w:ind w:left="5942" w:hanging="360"/>
      </w:pPr>
      <w:rPr>
        <w:rFonts w:ascii="Symbol" w:hAnsi="Symbol" w:hint="default"/>
      </w:rPr>
    </w:lvl>
    <w:lvl w:ilvl="7" w:tplc="10090003" w:tentative="1">
      <w:start w:val="1"/>
      <w:numFmt w:val="bullet"/>
      <w:lvlText w:val="o"/>
      <w:lvlJc w:val="left"/>
      <w:pPr>
        <w:ind w:left="6662" w:hanging="360"/>
      </w:pPr>
      <w:rPr>
        <w:rFonts w:ascii="Courier New" w:hAnsi="Courier New" w:cs="Courier New" w:hint="default"/>
      </w:rPr>
    </w:lvl>
    <w:lvl w:ilvl="8" w:tplc="10090005" w:tentative="1">
      <w:start w:val="1"/>
      <w:numFmt w:val="bullet"/>
      <w:lvlText w:val=""/>
      <w:lvlJc w:val="left"/>
      <w:pPr>
        <w:ind w:left="7382" w:hanging="360"/>
      </w:pPr>
      <w:rPr>
        <w:rFonts w:ascii="Wingdings" w:hAnsi="Wingdings" w:hint="default"/>
      </w:rPr>
    </w:lvl>
  </w:abstractNum>
  <w:abstractNum w:abstractNumId="52">
    <w:nsid w:val="76350F55"/>
    <w:multiLevelType w:val="hybridMultilevel"/>
    <w:tmpl w:val="CA6C1B66"/>
    <w:lvl w:ilvl="0" w:tplc="10090005">
      <w:start w:val="1"/>
      <w:numFmt w:val="bullet"/>
      <w:lvlText w:val=""/>
      <w:lvlJc w:val="left"/>
      <w:pPr>
        <w:ind w:left="2943" w:hanging="360"/>
      </w:pPr>
      <w:rPr>
        <w:rFonts w:ascii="Wingdings" w:hAnsi="Wingdings" w:hint="default"/>
      </w:rPr>
    </w:lvl>
    <w:lvl w:ilvl="1" w:tplc="10090003" w:tentative="1">
      <w:start w:val="1"/>
      <w:numFmt w:val="bullet"/>
      <w:lvlText w:val="o"/>
      <w:lvlJc w:val="left"/>
      <w:pPr>
        <w:ind w:left="3663" w:hanging="360"/>
      </w:pPr>
      <w:rPr>
        <w:rFonts w:ascii="Courier New" w:hAnsi="Courier New" w:cs="Courier New" w:hint="default"/>
      </w:rPr>
    </w:lvl>
    <w:lvl w:ilvl="2" w:tplc="10090005" w:tentative="1">
      <w:start w:val="1"/>
      <w:numFmt w:val="bullet"/>
      <w:lvlText w:val=""/>
      <w:lvlJc w:val="left"/>
      <w:pPr>
        <w:ind w:left="4383" w:hanging="360"/>
      </w:pPr>
      <w:rPr>
        <w:rFonts w:ascii="Wingdings" w:hAnsi="Wingdings" w:hint="default"/>
      </w:rPr>
    </w:lvl>
    <w:lvl w:ilvl="3" w:tplc="10090001" w:tentative="1">
      <w:start w:val="1"/>
      <w:numFmt w:val="bullet"/>
      <w:lvlText w:val=""/>
      <w:lvlJc w:val="left"/>
      <w:pPr>
        <w:ind w:left="5103" w:hanging="360"/>
      </w:pPr>
      <w:rPr>
        <w:rFonts w:ascii="Symbol" w:hAnsi="Symbol" w:hint="default"/>
      </w:rPr>
    </w:lvl>
    <w:lvl w:ilvl="4" w:tplc="10090003" w:tentative="1">
      <w:start w:val="1"/>
      <w:numFmt w:val="bullet"/>
      <w:lvlText w:val="o"/>
      <w:lvlJc w:val="left"/>
      <w:pPr>
        <w:ind w:left="5823" w:hanging="360"/>
      </w:pPr>
      <w:rPr>
        <w:rFonts w:ascii="Courier New" w:hAnsi="Courier New" w:cs="Courier New" w:hint="default"/>
      </w:rPr>
    </w:lvl>
    <w:lvl w:ilvl="5" w:tplc="10090005" w:tentative="1">
      <w:start w:val="1"/>
      <w:numFmt w:val="bullet"/>
      <w:lvlText w:val=""/>
      <w:lvlJc w:val="left"/>
      <w:pPr>
        <w:ind w:left="6543" w:hanging="360"/>
      </w:pPr>
      <w:rPr>
        <w:rFonts w:ascii="Wingdings" w:hAnsi="Wingdings" w:hint="default"/>
      </w:rPr>
    </w:lvl>
    <w:lvl w:ilvl="6" w:tplc="10090001" w:tentative="1">
      <w:start w:val="1"/>
      <w:numFmt w:val="bullet"/>
      <w:lvlText w:val=""/>
      <w:lvlJc w:val="left"/>
      <w:pPr>
        <w:ind w:left="7263" w:hanging="360"/>
      </w:pPr>
      <w:rPr>
        <w:rFonts w:ascii="Symbol" w:hAnsi="Symbol" w:hint="default"/>
      </w:rPr>
    </w:lvl>
    <w:lvl w:ilvl="7" w:tplc="10090003" w:tentative="1">
      <w:start w:val="1"/>
      <w:numFmt w:val="bullet"/>
      <w:lvlText w:val="o"/>
      <w:lvlJc w:val="left"/>
      <w:pPr>
        <w:ind w:left="7983" w:hanging="360"/>
      </w:pPr>
      <w:rPr>
        <w:rFonts w:ascii="Courier New" w:hAnsi="Courier New" w:cs="Courier New" w:hint="default"/>
      </w:rPr>
    </w:lvl>
    <w:lvl w:ilvl="8" w:tplc="10090005" w:tentative="1">
      <w:start w:val="1"/>
      <w:numFmt w:val="bullet"/>
      <w:lvlText w:val=""/>
      <w:lvlJc w:val="left"/>
      <w:pPr>
        <w:ind w:left="8703" w:hanging="360"/>
      </w:pPr>
      <w:rPr>
        <w:rFonts w:ascii="Wingdings" w:hAnsi="Wingdings" w:hint="default"/>
      </w:rPr>
    </w:lvl>
  </w:abstractNum>
  <w:abstractNum w:abstractNumId="53">
    <w:nsid w:val="76881775"/>
    <w:multiLevelType w:val="hybridMultilevel"/>
    <w:tmpl w:val="63C6FBBE"/>
    <w:lvl w:ilvl="0" w:tplc="7EFAB64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7850627F"/>
    <w:multiLevelType w:val="hybridMultilevel"/>
    <w:tmpl w:val="1B40D9C2"/>
    <w:lvl w:ilvl="0" w:tplc="A22AA54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5">
    <w:nsid w:val="7A89383E"/>
    <w:multiLevelType w:val="hybridMultilevel"/>
    <w:tmpl w:val="BCC68AAC"/>
    <w:lvl w:ilvl="0" w:tplc="FBC0BB2C">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BFB1E4D"/>
    <w:multiLevelType w:val="hybridMultilevel"/>
    <w:tmpl w:val="0B0419C6"/>
    <w:lvl w:ilvl="0" w:tplc="9552154A">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7">
    <w:nsid w:val="7EF962A6"/>
    <w:multiLevelType w:val="hybridMultilevel"/>
    <w:tmpl w:val="853CCC44"/>
    <w:lvl w:ilvl="0" w:tplc="7EFAB64C">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58">
    <w:nsid w:val="7F320240"/>
    <w:multiLevelType w:val="hybridMultilevel"/>
    <w:tmpl w:val="8BAA835A"/>
    <w:lvl w:ilvl="0" w:tplc="33908284">
      <w:start w:val="1"/>
      <w:numFmt w:val="decimal"/>
      <w:lvlText w:val="%1."/>
      <w:lvlJc w:val="left"/>
      <w:pPr>
        <w:ind w:left="1863" w:hanging="360"/>
      </w:pPr>
      <w:rPr>
        <w:rFonts w:hint="default"/>
      </w:rPr>
    </w:lvl>
    <w:lvl w:ilvl="1" w:tplc="10090019" w:tentative="1">
      <w:start w:val="1"/>
      <w:numFmt w:val="lowerLetter"/>
      <w:lvlText w:val="%2."/>
      <w:lvlJc w:val="left"/>
      <w:pPr>
        <w:ind w:left="2583" w:hanging="360"/>
      </w:pPr>
    </w:lvl>
    <w:lvl w:ilvl="2" w:tplc="1009001B" w:tentative="1">
      <w:start w:val="1"/>
      <w:numFmt w:val="lowerRoman"/>
      <w:lvlText w:val="%3."/>
      <w:lvlJc w:val="right"/>
      <w:pPr>
        <w:ind w:left="3303" w:hanging="180"/>
      </w:pPr>
    </w:lvl>
    <w:lvl w:ilvl="3" w:tplc="1009000F" w:tentative="1">
      <w:start w:val="1"/>
      <w:numFmt w:val="decimal"/>
      <w:lvlText w:val="%4."/>
      <w:lvlJc w:val="left"/>
      <w:pPr>
        <w:ind w:left="4023" w:hanging="360"/>
      </w:pPr>
    </w:lvl>
    <w:lvl w:ilvl="4" w:tplc="10090019" w:tentative="1">
      <w:start w:val="1"/>
      <w:numFmt w:val="lowerLetter"/>
      <w:lvlText w:val="%5."/>
      <w:lvlJc w:val="left"/>
      <w:pPr>
        <w:ind w:left="4743" w:hanging="360"/>
      </w:pPr>
    </w:lvl>
    <w:lvl w:ilvl="5" w:tplc="1009001B" w:tentative="1">
      <w:start w:val="1"/>
      <w:numFmt w:val="lowerRoman"/>
      <w:lvlText w:val="%6."/>
      <w:lvlJc w:val="right"/>
      <w:pPr>
        <w:ind w:left="5463" w:hanging="180"/>
      </w:pPr>
    </w:lvl>
    <w:lvl w:ilvl="6" w:tplc="1009000F" w:tentative="1">
      <w:start w:val="1"/>
      <w:numFmt w:val="decimal"/>
      <w:lvlText w:val="%7."/>
      <w:lvlJc w:val="left"/>
      <w:pPr>
        <w:ind w:left="6183" w:hanging="360"/>
      </w:pPr>
    </w:lvl>
    <w:lvl w:ilvl="7" w:tplc="10090019" w:tentative="1">
      <w:start w:val="1"/>
      <w:numFmt w:val="lowerLetter"/>
      <w:lvlText w:val="%8."/>
      <w:lvlJc w:val="left"/>
      <w:pPr>
        <w:ind w:left="6903" w:hanging="360"/>
      </w:pPr>
    </w:lvl>
    <w:lvl w:ilvl="8" w:tplc="1009001B" w:tentative="1">
      <w:start w:val="1"/>
      <w:numFmt w:val="lowerRoman"/>
      <w:lvlText w:val="%9."/>
      <w:lvlJc w:val="right"/>
      <w:pPr>
        <w:ind w:left="7623" w:hanging="180"/>
      </w:pPr>
    </w:lvl>
  </w:abstractNum>
  <w:num w:numId="1">
    <w:abstractNumId w:val="37"/>
  </w:num>
  <w:num w:numId="2">
    <w:abstractNumId w:val="43"/>
  </w:num>
  <w:num w:numId="3">
    <w:abstractNumId w:val="49"/>
  </w:num>
  <w:num w:numId="4">
    <w:abstractNumId w:val="42"/>
  </w:num>
  <w:num w:numId="5">
    <w:abstractNumId w:val="31"/>
  </w:num>
  <w:num w:numId="6">
    <w:abstractNumId w:val="25"/>
  </w:num>
  <w:num w:numId="7">
    <w:abstractNumId w:val="21"/>
  </w:num>
  <w:num w:numId="8">
    <w:abstractNumId w:val="20"/>
  </w:num>
  <w:num w:numId="9">
    <w:abstractNumId w:val="19"/>
  </w:num>
  <w:num w:numId="10">
    <w:abstractNumId w:val="3"/>
  </w:num>
  <w:num w:numId="11">
    <w:abstractNumId w:val="53"/>
  </w:num>
  <w:num w:numId="12">
    <w:abstractNumId w:val="33"/>
  </w:num>
  <w:num w:numId="13">
    <w:abstractNumId w:val="32"/>
  </w:num>
  <w:num w:numId="14">
    <w:abstractNumId w:val="47"/>
  </w:num>
  <w:num w:numId="15">
    <w:abstractNumId w:val="0"/>
  </w:num>
  <w:num w:numId="16">
    <w:abstractNumId w:val="36"/>
  </w:num>
  <w:num w:numId="17">
    <w:abstractNumId w:val="41"/>
  </w:num>
  <w:num w:numId="18">
    <w:abstractNumId w:val="46"/>
  </w:num>
  <w:num w:numId="19">
    <w:abstractNumId w:val="4"/>
  </w:num>
  <w:num w:numId="20">
    <w:abstractNumId w:val="6"/>
  </w:num>
  <w:num w:numId="21">
    <w:abstractNumId w:val="5"/>
  </w:num>
  <w:num w:numId="22">
    <w:abstractNumId w:val="27"/>
  </w:num>
  <w:num w:numId="23">
    <w:abstractNumId w:val="23"/>
  </w:num>
  <w:num w:numId="24">
    <w:abstractNumId w:val="54"/>
  </w:num>
  <w:num w:numId="25">
    <w:abstractNumId w:val="15"/>
  </w:num>
  <w:num w:numId="26">
    <w:abstractNumId w:val="12"/>
  </w:num>
  <w:num w:numId="27">
    <w:abstractNumId w:val="57"/>
  </w:num>
  <w:num w:numId="28">
    <w:abstractNumId w:val="9"/>
  </w:num>
  <w:num w:numId="29">
    <w:abstractNumId w:val="24"/>
  </w:num>
  <w:num w:numId="30">
    <w:abstractNumId w:val="8"/>
  </w:num>
  <w:num w:numId="31">
    <w:abstractNumId w:val="18"/>
  </w:num>
  <w:num w:numId="32">
    <w:abstractNumId w:val="10"/>
  </w:num>
  <w:num w:numId="33">
    <w:abstractNumId w:val="14"/>
  </w:num>
  <w:num w:numId="34">
    <w:abstractNumId w:val="22"/>
  </w:num>
  <w:num w:numId="35">
    <w:abstractNumId w:val="7"/>
  </w:num>
  <w:num w:numId="36">
    <w:abstractNumId w:val="48"/>
  </w:num>
  <w:num w:numId="37">
    <w:abstractNumId w:val="17"/>
  </w:num>
  <w:num w:numId="38">
    <w:abstractNumId w:val="40"/>
  </w:num>
  <w:num w:numId="39">
    <w:abstractNumId w:val="1"/>
  </w:num>
  <w:num w:numId="40">
    <w:abstractNumId w:val="58"/>
  </w:num>
  <w:num w:numId="41">
    <w:abstractNumId w:val="51"/>
  </w:num>
  <w:num w:numId="42">
    <w:abstractNumId w:val="2"/>
  </w:num>
  <w:num w:numId="43">
    <w:abstractNumId w:val="52"/>
  </w:num>
  <w:num w:numId="44">
    <w:abstractNumId w:val="35"/>
  </w:num>
  <w:num w:numId="45">
    <w:abstractNumId w:val="39"/>
  </w:num>
  <w:num w:numId="46">
    <w:abstractNumId w:val="38"/>
  </w:num>
  <w:num w:numId="47">
    <w:abstractNumId w:val="50"/>
  </w:num>
  <w:num w:numId="48">
    <w:abstractNumId w:val="34"/>
  </w:num>
  <w:num w:numId="49">
    <w:abstractNumId w:val="11"/>
  </w:num>
  <w:num w:numId="50">
    <w:abstractNumId w:val="29"/>
  </w:num>
  <w:num w:numId="51">
    <w:abstractNumId w:val="56"/>
  </w:num>
  <w:num w:numId="52">
    <w:abstractNumId w:val="16"/>
  </w:num>
  <w:num w:numId="53">
    <w:abstractNumId w:val="30"/>
  </w:num>
  <w:num w:numId="54">
    <w:abstractNumId w:val="45"/>
  </w:num>
  <w:num w:numId="55">
    <w:abstractNumId w:val="28"/>
  </w:num>
  <w:num w:numId="56">
    <w:abstractNumId w:val="55"/>
  </w:num>
  <w:num w:numId="57">
    <w:abstractNumId w:val="44"/>
  </w:num>
  <w:num w:numId="58">
    <w:abstractNumId w:val="26"/>
  </w:num>
  <w:num w:numId="59">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EF0"/>
    <w:rsid w:val="0000032B"/>
    <w:rsid w:val="00084AAD"/>
    <w:rsid w:val="000B13D8"/>
    <w:rsid w:val="000B37B5"/>
    <w:rsid w:val="000D3EDE"/>
    <w:rsid w:val="000E5DA7"/>
    <w:rsid w:val="000F6F71"/>
    <w:rsid w:val="00150060"/>
    <w:rsid w:val="0015329B"/>
    <w:rsid w:val="0017396F"/>
    <w:rsid w:val="001C09AF"/>
    <w:rsid w:val="001C6896"/>
    <w:rsid w:val="00244424"/>
    <w:rsid w:val="00256B84"/>
    <w:rsid w:val="002B7E5A"/>
    <w:rsid w:val="002C19D2"/>
    <w:rsid w:val="002E0448"/>
    <w:rsid w:val="00304CE7"/>
    <w:rsid w:val="003076FA"/>
    <w:rsid w:val="003716FD"/>
    <w:rsid w:val="003807A6"/>
    <w:rsid w:val="00385725"/>
    <w:rsid w:val="003914AB"/>
    <w:rsid w:val="00391E64"/>
    <w:rsid w:val="003970A7"/>
    <w:rsid w:val="003A187D"/>
    <w:rsid w:val="003E34E1"/>
    <w:rsid w:val="004034BE"/>
    <w:rsid w:val="004343A3"/>
    <w:rsid w:val="00447A35"/>
    <w:rsid w:val="004539E3"/>
    <w:rsid w:val="00463313"/>
    <w:rsid w:val="00477068"/>
    <w:rsid w:val="00495256"/>
    <w:rsid w:val="004A337A"/>
    <w:rsid w:val="004B245E"/>
    <w:rsid w:val="004B3661"/>
    <w:rsid w:val="004C16B0"/>
    <w:rsid w:val="004C266A"/>
    <w:rsid w:val="00532676"/>
    <w:rsid w:val="00541666"/>
    <w:rsid w:val="00570005"/>
    <w:rsid w:val="005A4BFF"/>
    <w:rsid w:val="005B0EF6"/>
    <w:rsid w:val="005E4236"/>
    <w:rsid w:val="005E5557"/>
    <w:rsid w:val="00601083"/>
    <w:rsid w:val="00604F37"/>
    <w:rsid w:val="00613427"/>
    <w:rsid w:val="0062000A"/>
    <w:rsid w:val="006401FD"/>
    <w:rsid w:val="00672B20"/>
    <w:rsid w:val="006815E1"/>
    <w:rsid w:val="006B7A68"/>
    <w:rsid w:val="006C625B"/>
    <w:rsid w:val="006F2D72"/>
    <w:rsid w:val="00721A0B"/>
    <w:rsid w:val="00727EF0"/>
    <w:rsid w:val="007424C5"/>
    <w:rsid w:val="007659CA"/>
    <w:rsid w:val="007A7860"/>
    <w:rsid w:val="007D64C6"/>
    <w:rsid w:val="007F4FCE"/>
    <w:rsid w:val="00804BAB"/>
    <w:rsid w:val="008270D9"/>
    <w:rsid w:val="00827C27"/>
    <w:rsid w:val="008A5827"/>
    <w:rsid w:val="008B61DA"/>
    <w:rsid w:val="0093270D"/>
    <w:rsid w:val="00943449"/>
    <w:rsid w:val="0096594A"/>
    <w:rsid w:val="009938F2"/>
    <w:rsid w:val="0099428C"/>
    <w:rsid w:val="009A3835"/>
    <w:rsid w:val="009B46A7"/>
    <w:rsid w:val="009C3CB2"/>
    <w:rsid w:val="00A417E9"/>
    <w:rsid w:val="00A9674F"/>
    <w:rsid w:val="00AA62AB"/>
    <w:rsid w:val="00AB15C1"/>
    <w:rsid w:val="00AF52ED"/>
    <w:rsid w:val="00B53CD6"/>
    <w:rsid w:val="00B73878"/>
    <w:rsid w:val="00BB6F12"/>
    <w:rsid w:val="00BC291B"/>
    <w:rsid w:val="00BC3198"/>
    <w:rsid w:val="00C02D28"/>
    <w:rsid w:val="00C17A02"/>
    <w:rsid w:val="00C54CAA"/>
    <w:rsid w:val="00C639E2"/>
    <w:rsid w:val="00D0451B"/>
    <w:rsid w:val="00D21198"/>
    <w:rsid w:val="00D253D3"/>
    <w:rsid w:val="00D32361"/>
    <w:rsid w:val="00D54040"/>
    <w:rsid w:val="00DA7FF7"/>
    <w:rsid w:val="00DD5A28"/>
    <w:rsid w:val="00DE72F3"/>
    <w:rsid w:val="00DF74B1"/>
    <w:rsid w:val="00E27B34"/>
    <w:rsid w:val="00E32478"/>
    <w:rsid w:val="00E62729"/>
    <w:rsid w:val="00E66656"/>
    <w:rsid w:val="00E95648"/>
    <w:rsid w:val="00E95F86"/>
    <w:rsid w:val="00EB5D6E"/>
    <w:rsid w:val="00ED686C"/>
    <w:rsid w:val="00ED7E09"/>
    <w:rsid w:val="00EE4BEC"/>
    <w:rsid w:val="00EF39A9"/>
    <w:rsid w:val="00EF3F6B"/>
    <w:rsid w:val="00F11F24"/>
    <w:rsid w:val="00F36C48"/>
    <w:rsid w:val="00F372FF"/>
    <w:rsid w:val="00F46AD6"/>
    <w:rsid w:val="00F95AF6"/>
    <w:rsid w:val="00FD4F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E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EF0"/>
    <w:pPr>
      <w:ind w:left="720"/>
      <w:contextualSpacing/>
    </w:pPr>
  </w:style>
  <w:style w:type="paragraph" w:styleId="Header">
    <w:name w:val="header"/>
    <w:basedOn w:val="Normal"/>
    <w:link w:val="HeaderChar"/>
    <w:uiPriority w:val="99"/>
    <w:unhideWhenUsed/>
    <w:rsid w:val="00727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EF0"/>
  </w:style>
  <w:style w:type="paragraph" w:styleId="Footer">
    <w:name w:val="footer"/>
    <w:basedOn w:val="Normal"/>
    <w:link w:val="FooterChar"/>
    <w:uiPriority w:val="99"/>
    <w:unhideWhenUsed/>
    <w:rsid w:val="00727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EF0"/>
  </w:style>
  <w:style w:type="paragraph" w:styleId="NormalWeb">
    <w:name w:val="Normal (Web)"/>
    <w:basedOn w:val="Normal"/>
    <w:uiPriority w:val="99"/>
    <w:semiHidden/>
    <w:unhideWhenUsed/>
    <w:rsid w:val="00391E64"/>
    <w:rPr>
      <w:rFonts w:ascii="Times New Roman" w:hAnsi="Times New Roman" w:cs="Times New Roman"/>
      <w:sz w:val="24"/>
      <w:szCs w:val="24"/>
    </w:rPr>
  </w:style>
  <w:style w:type="character" w:styleId="Hyperlink">
    <w:name w:val="Hyperlink"/>
    <w:basedOn w:val="DefaultParagraphFont"/>
    <w:uiPriority w:val="99"/>
    <w:unhideWhenUsed/>
    <w:rsid w:val="00391E6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E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7EF0"/>
    <w:pPr>
      <w:ind w:left="720"/>
      <w:contextualSpacing/>
    </w:pPr>
  </w:style>
  <w:style w:type="paragraph" w:styleId="Header">
    <w:name w:val="header"/>
    <w:basedOn w:val="Normal"/>
    <w:link w:val="HeaderChar"/>
    <w:uiPriority w:val="99"/>
    <w:unhideWhenUsed/>
    <w:rsid w:val="00727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EF0"/>
  </w:style>
  <w:style w:type="paragraph" w:styleId="Footer">
    <w:name w:val="footer"/>
    <w:basedOn w:val="Normal"/>
    <w:link w:val="FooterChar"/>
    <w:uiPriority w:val="99"/>
    <w:unhideWhenUsed/>
    <w:rsid w:val="00727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EF0"/>
  </w:style>
  <w:style w:type="paragraph" w:styleId="NormalWeb">
    <w:name w:val="Normal (Web)"/>
    <w:basedOn w:val="Normal"/>
    <w:uiPriority w:val="99"/>
    <w:semiHidden/>
    <w:unhideWhenUsed/>
    <w:rsid w:val="00391E64"/>
    <w:rPr>
      <w:rFonts w:ascii="Times New Roman" w:hAnsi="Times New Roman" w:cs="Times New Roman"/>
      <w:sz w:val="24"/>
      <w:szCs w:val="24"/>
    </w:rPr>
  </w:style>
  <w:style w:type="character" w:styleId="Hyperlink">
    <w:name w:val="Hyperlink"/>
    <w:basedOn w:val="DefaultParagraphFont"/>
    <w:uiPriority w:val="99"/>
    <w:unhideWhenUsed/>
    <w:rsid w:val="00391E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531629">
      <w:bodyDiv w:val="1"/>
      <w:marLeft w:val="0"/>
      <w:marRight w:val="0"/>
      <w:marTop w:val="0"/>
      <w:marBottom w:val="0"/>
      <w:divBdr>
        <w:top w:val="none" w:sz="0" w:space="0" w:color="auto"/>
        <w:left w:val="none" w:sz="0" w:space="0" w:color="auto"/>
        <w:bottom w:val="none" w:sz="0" w:space="0" w:color="auto"/>
        <w:right w:val="none" w:sz="0" w:space="0" w:color="auto"/>
      </w:divBdr>
    </w:div>
    <w:div w:id="783383909">
      <w:bodyDiv w:val="1"/>
      <w:marLeft w:val="0"/>
      <w:marRight w:val="0"/>
      <w:marTop w:val="0"/>
      <w:marBottom w:val="0"/>
      <w:divBdr>
        <w:top w:val="none" w:sz="0" w:space="0" w:color="auto"/>
        <w:left w:val="none" w:sz="0" w:space="0" w:color="auto"/>
        <w:bottom w:val="none" w:sz="0" w:space="0" w:color="auto"/>
        <w:right w:val="none" w:sz="0" w:space="0" w:color="auto"/>
      </w:divBdr>
    </w:div>
    <w:div w:id="183926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Product_liability" TargetMode="External"/><Relationship Id="rId13" Type="http://schemas.openxmlformats.org/officeDocument/2006/relationships/hyperlink" Target="http://en.wikipedia.org/wiki/Juries_in_the_United_States" TargetMode="External"/><Relationship Id="rId18" Type="http://schemas.openxmlformats.org/officeDocument/2006/relationships/hyperlink" Target="http://en.wikipedia.org/wiki/Liebeck_v._McDonald's_Restaurants" TargetMode="External"/><Relationship Id="rId26" Type="http://schemas.openxmlformats.org/officeDocument/2006/relationships/hyperlink" Target="http://en.wikipedia.org/wiki/Stella_Awards" TargetMode="External"/><Relationship Id="rId3" Type="http://schemas.microsoft.com/office/2007/relationships/stylesWithEffects" Target="stylesWithEffects.xml"/><Relationship Id="rId21" Type="http://schemas.openxmlformats.org/officeDocument/2006/relationships/hyperlink" Target="http://en.wikipedia.org/wiki/Punitive_damages" TargetMode="External"/><Relationship Id="rId7" Type="http://schemas.openxmlformats.org/officeDocument/2006/relationships/endnotes" Target="endnotes.xml"/><Relationship Id="rId12" Type="http://schemas.openxmlformats.org/officeDocument/2006/relationships/hyperlink" Target="http://en.wikipedia.org/wiki/New_Mexico" TargetMode="External"/><Relationship Id="rId17" Type="http://schemas.openxmlformats.org/officeDocument/2006/relationships/hyperlink" Target="http://en.wikipedia.org/wiki/Settlement_(law)" TargetMode="External"/><Relationship Id="rId25" Type="http://schemas.openxmlformats.org/officeDocument/2006/relationships/hyperlink" Target="http://en.wikipedia.org/wiki/Randy_Cassingham" TargetMode="External"/><Relationship Id="rId2" Type="http://schemas.openxmlformats.org/officeDocument/2006/relationships/styles" Target="styles.xml"/><Relationship Id="rId16" Type="http://schemas.openxmlformats.org/officeDocument/2006/relationships/hyperlink" Target="http://en.wikipedia.org/wiki/Skin_grafting" TargetMode="External"/><Relationship Id="rId20" Type="http://schemas.openxmlformats.org/officeDocument/2006/relationships/hyperlink" Target="http://en.wikipedia.org/wiki/Compensatory_damag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Tort_reform" TargetMode="External"/><Relationship Id="rId24" Type="http://schemas.openxmlformats.org/officeDocument/2006/relationships/hyperlink" Target="http://en.wikipedia.org/wiki/Starbucks" TargetMode="External"/><Relationship Id="rId5" Type="http://schemas.openxmlformats.org/officeDocument/2006/relationships/webSettings" Target="webSettings.xml"/><Relationship Id="rId15" Type="http://schemas.openxmlformats.org/officeDocument/2006/relationships/hyperlink" Target="http://en.wikipedia.org/wiki/McDonald%27s" TargetMode="External"/><Relationship Id="rId23" Type="http://schemas.openxmlformats.org/officeDocument/2006/relationships/hyperlink" Target="http://en.wikipedia.org/wiki/Appeal" TargetMode="External"/><Relationship Id="rId28" Type="http://schemas.openxmlformats.org/officeDocument/2006/relationships/footer" Target="footer1.xml"/><Relationship Id="rId10" Type="http://schemas.openxmlformats.org/officeDocument/2006/relationships/hyperlink" Target="http://en.wikipedia.org/wiki/United_States" TargetMode="External"/><Relationship Id="rId19" Type="http://schemas.openxmlformats.org/officeDocument/2006/relationships/hyperlink" Target="http://en.wikipedia.org/wiki/Liebeck_v._McDonald's_Restaurants" TargetMode="External"/><Relationship Id="rId4" Type="http://schemas.openxmlformats.org/officeDocument/2006/relationships/settings" Target="settings.xml"/><Relationship Id="rId9" Type="http://schemas.openxmlformats.org/officeDocument/2006/relationships/hyperlink" Target="http://en.wikipedia.org/wiki/Lawsuit" TargetMode="External"/><Relationship Id="rId14" Type="http://schemas.openxmlformats.org/officeDocument/2006/relationships/hyperlink" Target="http://en.wikipedia.org/wiki/Coffee" TargetMode="External"/><Relationship Id="rId22" Type="http://schemas.openxmlformats.org/officeDocument/2006/relationships/hyperlink" Target="http://en.wikipedia.org/wiki/Remittitur" TargetMode="External"/><Relationship Id="rId27" Type="http://schemas.openxmlformats.org/officeDocument/2006/relationships/hyperlink" Target="http://www.e-laws.gov.on.ca/html/statutes/french/elaws_statutes_90m07_f.ht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4550</TotalTime>
  <Pages>29</Pages>
  <Words>11211</Words>
  <Characters>63908</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Tariq Khan</dc:creator>
  <cp:lastModifiedBy>Mounir</cp:lastModifiedBy>
  <cp:revision>41</cp:revision>
  <cp:lastPrinted>2013-12-03T00:44:00Z</cp:lastPrinted>
  <dcterms:created xsi:type="dcterms:W3CDTF">2013-06-25T13:52:00Z</dcterms:created>
  <dcterms:modified xsi:type="dcterms:W3CDTF">2013-12-03T05:16:00Z</dcterms:modified>
</cp:coreProperties>
</file>