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48" w:rsidRDefault="00DC3848" w:rsidP="00DC3848">
      <w:pPr>
        <w:pStyle w:val="Heading1"/>
      </w:pPr>
      <w:r>
        <w:t>Questions de révision (</w:t>
      </w:r>
      <w:r w:rsidR="00E80536">
        <w:t>examen 12 novembre</w:t>
      </w:r>
      <w:r w:rsidR="002351AA">
        <w:t>)</w:t>
      </w:r>
    </w:p>
    <w:p w:rsidR="00DC3848" w:rsidRPr="00E80536" w:rsidRDefault="00E80536" w:rsidP="00DC3848">
      <w:pPr>
        <w:rPr>
          <w:b/>
          <w:sz w:val="22"/>
        </w:rPr>
      </w:pPr>
      <w:r w:rsidRPr="00E80536">
        <w:rPr>
          <w:b/>
          <w:sz w:val="22"/>
        </w:rPr>
        <w:t>Les révisions portent sur les leçons 1 à 4 incluses.</w:t>
      </w:r>
    </w:p>
    <w:p w:rsidR="00E80536" w:rsidRDefault="00E80536" w:rsidP="00DC3848">
      <w:pPr>
        <w:rPr>
          <w:b/>
          <w:sz w:val="22"/>
        </w:rPr>
      </w:pPr>
    </w:p>
    <w:p w:rsidR="00DC3848" w:rsidRPr="00257611" w:rsidRDefault="00DC3848" w:rsidP="00DC3848">
      <w:pPr>
        <w:rPr>
          <w:b/>
          <w:sz w:val="22"/>
        </w:rPr>
      </w:pPr>
      <w:r w:rsidRPr="00257611">
        <w:rPr>
          <w:b/>
          <w:sz w:val="22"/>
        </w:rPr>
        <w:t>Pour vous aider dans votre travail, vous trouverez ci-dessous les questions essentielles sur lesquelles il faut travailler. Vous pouvez, pour votre travail de révision, répondre à chacune des questions ci-dessous.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1. A l’aide de quelques chiffres significatifs, situez l’économie canadienne dans l’économie mondiale : place et poids du Canada, degré d’ouverture, situation macroéconomique.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2</w:t>
      </w:r>
      <w:r w:rsidRPr="00A72CE2">
        <w:rPr>
          <w:sz w:val="22"/>
        </w:rPr>
        <w:t>. </w:t>
      </w:r>
      <w:r>
        <w:rPr>
          <w:sz w:val="22"/>
        </w:rPr>
        <w:t>Comment peut-on dire définir les notions suivantes : productivité, compétitivité prix, compétitivité hors prix ? Comment relier productivité et compétitivité prix à l’international ?</w:t>
      </w:r>
    </w:p>
    <w:p w:rsidR="00DC3848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3.</w:t>
      </w:r>
      <w:r w:rsidRPr="0027044F">
        <w:rPr>
          <w:sz w:val="22"/>
        </w:rPr>
        <w:t xml:space="preserve"> </w:t>
      </w:r>
      <w:r>
        <w:rPr>
          <w:sz w:val="22"/>
        </w:rPr>
        <w:t xml:space="preserve">Pourquoi </w:t>
      </w:r>
      <w:proofErr w:type="spellStart"/>
      <w:r>
        <w:rPr>
          <w:sz w:val="22"/>
        </w:rPr>
        <w:t>Krugman</w:t>
      </w:r>
      <w:proofErr w:type="spellEnd"/>
      <w:r>
        <w:rPr>
          <w:sz w:val="22"/>
        </w:rPr>
        <w:t xml:space="preserve"> refuse-t-il de parler de compétitivité à propos d’un pays ? En quoi une mauvaise utilisation de la notion de compétitivité peut-elle conduire à faire des erreurs d’analyse sur la situation économique d’un pays ?</w:t>
      </w:r>
    </w:p>
    <w:p w:rsidR="00DC3848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4</w:t>
      </w:r>
      <w:r w:rsidRPr="00A72CE2">
        <w:rPr>
          <w:sz w:val="22"/>
        </w:rPr>
        <w:t>. Quels sont les grands types de critères retenus pour mes</w:t>
      </w:r>
      <w:r>
        <w:rPr>
          <w:sz w:val="22"/>
        </w:rPr>
        <w:t>urer la compétitivité d’un pays par le « forum économique mondial » de Davos ? Quelle est la logique du choix des critères ?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5. La position du Canada par rapport aux critères du « forum économique mondial » de Davos.</w:t>
      </w:r>
    </w:p>
    <w:p w:rsidR="00DC3848" w:rsidRPr="00A72CE2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6</w:t>
      </w:r>
      <w:r w:rsidRPr="00A72CE2">
        <w:rPr>
          <w:sz w:val="22"/>
        </w:rPr>
        <w:t>. Le losange</w:t>
      </w:r>
      <w:r>
        <w:rPr>
          <w:sz w:val="22"/>
        </w:rPr>
        <w:t xml:space="preserve"> (diamant)</w:t>
      </w:r>
      <w:r w:rsidRPr="00A72CE2">
        <w:rPr>
          <w:sz w:val="22"/>
        </w:rPr>
        <w:t xml:space="preserve"> de Porter.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7. Situation du Canada à l’aide du losange (diamant) de Porter.</w:t>
      </w:r>
    </w:p>
    <w:p w:rsidR="00DC3848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8</w:t>
      </w:r>
      <w:r w:rsidRPr="00A72CE2">
        <w:rPr>
          <w:sz w:val="22"/>
        </w:rPr>
        <w:t>. La théorie ricardienne des avantages comparatifs.</w:t>
      </w:r>
    </w:p>
    <w:p w:rsidR="00DC3848" w:rsidRPr="00A72CE2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9</w:t>
      </w:r>
      <w:r w:rsidRPr="00A72CE2">
        <w:rPr>
          <w:sz w:val="22"/>
        </w:rPr>
        <w:t>. </w:t>
      </w:r>
      <w:r>
        <w:rPr>
          <w:sz w:val="22"/>
        </w:rPr>
        <w:t>A l’aide de la théorie ricardienne montrez en quoi il y a toujours un avantage l’échange international.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 xml:space="preserve">10. Le modèle </w:t>
      </w:r>
      <w:proofErr w:type="spellStart"/>
      <w:r>
        <w:rPr>
          <w:sz w:val="22"/>
        </w:rPr>
        <w:t>Hecksher</w:t>
      </w:r>
      <w:proofErr w:type="spellEnd"/>
      <w:r>
        <w:rPr>
          <w:sz w:val="22"/>
        </w:rPr>
        <w:t>-Ohlin.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11. Les modèles de croissance endogène et leurs conséquences sur l’analyse des échanges internationaux.</w:t>
      </w:r>
    </w:p>
    <w:p w:rsidR="00DC3848" w:rsidRPr="00A72CE2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12</w:t>
      </w:r>
      <w:r w:rsidRPr="00A72CE2">
        <w:rPr>
          <w:sz w:val="22"/>
        </w:rPr>
        <w:t>. </w:t>
      </w:r>
      <w:r>
        <w:rPr>
          <w:sz w:val="22"/>
        </w:rPr>
        <w:t>Quelles sont les limites des modèles défendant le libre-échange ?</w:t>
      </w:r>
    </w:p>
    <w:p w:rsidR="00DC3848" w:rsidRPr="00922CB8" w:rsidRDefault="00DC3848" w:rsidP="00DC3848">
      <w:pPr>
        <w:rPr>
          <w:sz w:val="22"/>
        </w:rPr>
      </w:pPr>
    </w:p>
    <w:p w:rsidR="00DC3848" w:rsidRPr="00A72CE2" w:rsidRDefault="00DC3848" w:rsidP="00DC3848">
      <w:pPr>
        <w:rPr>
          <w:sz w:val="22"/>
        </w:rPr>
      </w:pPr>
      <w:r>
        <w:rPr>
          <w:sz w:val="22"/>
        </w:rPr>
        <w:t>13. Le modèle de développement asiatique.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14. Qu’appelle-t-on les termes de l’échange ? Dans quel type de situation peut-on prédire une amélioration des termes de l’échange du Canada ?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15. Le protectionnisme éducatif.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16. Barrières tarifaires et barrières non tarifaires.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17. Liens entre chômage et limitation des échanges.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 xml:space="preserve">18. En situation de concurrence imparfaite, les gouvernements peuvent-ils aider leurs entreprises nationales : le débat </w:t>
      </w:r>
      <w:proofErr w:type="spellStart"/>
      <w:r>
        <w:rPr>
          <w:sz w:val="22"/>
        </w:rPr>
        <w:t>Brander</w:t>
      </w:r>
      <w:proofErr w:type="spellEnd"/>
      <w:r>
        <w:rPr>
          <w:sz w:val="22"/>
        </w:rPr>
        <w:t xml:space="preserve">/Spencer </w:t>
      </w:r>
      <w:proofErr w:type="spellStart"/>
      <w:r>
        <w:rPr>
          <w:sz w:val="22"/>
        </w:rPr>
        <w:t>Krugman</w:t>
      </w:r>
      <w:proofErr w:type="spellEnd"/>
      <w:r>
        <w:rPr>
          <w:sz w:val="22"/>
        </w:rPr>
        <w:t>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lastRenderedPageBreak/>
        <w:t>19. Qu’appelle-t-on la concurrence déloyale ? Comment peut-on lutter contre elle ?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20. Le cycle international de vie des produits (Vernon) et les circulations de marchandises et de capitaux.</w:t>
      </w:r>
    </w:p>
    <w:p w:rsidR="00DC3848" w:rsidRDefault="00DC3848" w:rsidP="00DC3848">
      <w:pPr>
        <w:rPr>
          <w:sz w:val="22"/>
        </w:rPr>
      </w:pPr>
    </w:p>
    <w:p w:rsidR="00DC3848" w:rsidRDefault="00DC3848" w:rsidP="00DC3848">
      <w:pPr>
        <w:rPr>
          <w:sz w:val="22"/>
        </w:rPr>
      </w:pPr>
      <w:r>
        <w:rPr>
          <w:sz w:val="22"/>
        </w:rPr>
        <w:t>21. Les chaînes de valeur mondiales : définition et effets sur l’analyse des échanges internationaux.</w:t>
      </w:r>
    </w:p>
    <w:p w:rsidR="00DC3848" w:rsidRDefault="00DC3848" w:rsidP="00DC3848">
      <w:pPr>
        <w:rPr>
          <w:sz w:val="22"/>
        </w:rPr>
      </w:pPr>
    </w:p>
    <w:p w:rsidR="00DC3848" w:rsidRDefault="002351AA" w:rsidP="00DC3848">
      <w:pPr>
        <w:rPr>
          <w:sz w:val="22"/>
        </w:rPr>
      </w:pPr>
      <w:r>
        <w:rPr>
          <w:sz w:val="22"/>
        </w:rPr>
        <w:t xml:space="preserve">22. La balance des paiements : définitions de la balance commercial, balances des services, balances des transactions courantes, compte en capital, compte financier. </w:t>
      </w:r>
    </w:p>
    <w:p w:rsidR="00572934" w:rsidRPr="002351AA" w:rsidRDefault="00572934">
      <w:pPr>
        <w:rPr>
          <w:sz w:val="22"/>
        </w:rPr>
      </w:pPr>
    </w:p>
    <w:p w:rsidR="002351AA" w:rsidRDefault="002351AA">
      <w:pPr>
        <w:rPr>
          <w:sz w:val="22"/>
        </w:rPr>
      </w:pPr>
      <w:r>
        <w:rPr>
          <w:sz w:val="22"/>
        </w:rPr>
        <w:t>23. </w:t>
      </w:r>
      <w:r w:rsidRPr="002351AA">
        <w:rPr>
          <w:sz w:val="22"/>
        </w:rPr>
        <w:t xml:space="preserve">Principaux résultats </w:t>
      </w:r>
      <w:r>
        <w:rPr>
          <w:sz w:val="22"/>
        </w:rPr>
        <w:t>en ce qui concerne la balance des paiements pour le Canada en 2012.</w:t>
      </w:r>
    </w:p>
    <w:p w:rsidR="002351AA" w:rsidRDefault="002351AA">
      <w:pPr>
        <w:rPr>
          <w:sz w:val="22"/>
        </w:rPr>
      </w:pPr>
    </w:p>
    <w:p w:rsidR="002351AA" w:rsidRDefault="002351AA">
      <w:pPr>
        <w:rPr>
          <w:sz w:val="22"/>
        </w:rPr>
      </w:pPr>
      <w:r>
        <w:rPr>
          <w:sz w:val="22"/>
        </w:rPr>
        <w:t>24. Egalité entre en balance des transactions courantes et balance des capitaux.</w:t>
      </w:r>
    </w:p>
    <w:p w:rsidR="002351AA" w:rsidRDefault="002351AA">
      <w:pPr>
        <w:rPr>
          <w:sz w:val="22"/>
        </w:rPr>
      </w:pPr>
    </w:p>
    <w:p w:rsidR="002351AA" w:rsidRDefault="002351AA">
      <w:pPr>
        <w:rPr>
          <w:sz w:val="22"/>
        </w:rPr>
      </w:pPr>
      <w:r>
        <w:rPr>
          <w:sz w:val="22"/>
        </w:rPr>
        <w:t>25. Le syndrome hollandais : définition, les arguments en faveur de l’existence d’un syndrome hollandais au Canada, les arguments opposés à l’existence d’un syndrome hollandais au Canada.</w:t>
      </w:r>
    </w:p>
    <w:p w:rsidR="00E80536" w:rsidRDefault="00E80536">
      <w:pPr>
        <w:rPr>
          <w:sz w:val="22"/>
        </w:rPr>
      </w:pPr>
    </w:p>
    <w:p w:rsidR="00E80536" w:rsidRPr="00A72CE2" w:rsidRDefault="00E80536" w:rsidP="00E80536">
      <w:pPr>
        <w:rPr>
          <w:sz w:val="22"/>
        </w:rPr>
      </w:pPr>
      <w:r>
        <w:rPr>
          <w:sz w:val="22"/>
        </w:rPr>
        <w:t>26</w:t>
      </w:r>
      <w:r w:rsidRPr="00A72CE2">
        <w:rPr>
          <w:sz w:val="22"/>
        </w:rPr>
        <w:t>. Quelles sont les grandes tendances des échanges de biens au niveau international ?</w:t>
      </w:r>
      <w:r w:rsidRPr="00281AA1">
        <w:rPr>
          <w:sz w:val="22"/>
        </w:rPr>
        <w:t xml:space="preserve"> </w:t>
      </w:r>
      <w:r w:rsidRPr="00A72CE2">
        <w:rPr>
          <w:sz w:val="22"/>
        </w:rPr>
        <w:t>Peut-on parler de déséquilibres des échanges internationaux ?</w:t>
      </w:r>
    </w:p>
    <w:p w:rsidR="00E80536" w:rsidRPr="00A72CE2" w:rsidRDefault="00E80536" w:rsidP="00E80536">
      <w:pPr>
        <w:rPr>
          <w:sz w:val="22"/>
        </w:rPr>
      </w:pPr>
    </w:p>
    <w:p w:rsidR="00E80536" w:rsidRDefault="00E80536" w:rsidP="00E80536">
      <w:pPr>
        <w:rPr>
          <w:sz w:val="22"/>
        </w:rPr>
      </w:pPr>
      <w:r>
        <w:rPr>
          <w:sz w:val="22"/>
        </w:rPr>
        <w:t>27. Quelles sont les perspectives de croissance au niveau mondial ? Que peut-on en conclure pour le Canada ?</w:t>
      </w:r>
    </w:p>
    <w:p w:rsidR="00E80536" w:rsidRDefault="00E80536" w:rsidP="00E80536">
      <w:pPr>
        <w:rPr>
          <w:sz w:val="22"/>
        </w:rPr>
      </w:pPr>
    </w:p>
    <w:p w:rsidR="00E80536" w:rsidRPr="00A72CE2" w:rsidRDefault="00E80536" w:rsidP="00E80536">
      <w:pPr>
        <w:rPr>
          <w:sz w:val="22"/>
        </w:rPr>
      </w:pPr>
      <w:r>
        <w:rPr>
          <w:sz w:val="22"/>
        </w:rPr>
        <w:t>28</w:t>
      </w:r>
      <w:r w:rsidRPr="00A72CE2">
        <w:rPr>
          <w:sz w:val="22"/>
        </w:rPr>
        <w:t>. Le modèle de gravité.</w:t>
      </w:r>
      <w:r>
        <w:rPr>
          <w:sz w:val="22"/>
        </w:rPr>
        <w:t xml:space="preserve"> Que peut-on dire pour le Canada à l’aide de ce modèle ?</w:t>
      </w:r>
    </w:p>
    <w:p w:rsidR="00E80536" w:rsidRPr="00A72CE2" w:rsidRDefault="00E80536" w:rsidP="00E80536">
      <w:pPr>
        <w:rPr>
          <w:sz w:val="22"/>
        </w:rPr>
      </w:pPr>
    </w:p>
    <w:p w:rsidR="00E80536" w:rsidRPr="00A72CE2" w:rsidRDefault="00E80536" w:rsidP="00E80536">
      <w:pPr>
        <w:rPr>
          <w:sz w:val="22"/>
        </w:rPr>
      </w:pPr>
      <w:r>
        <w:rPr>
          <w:sz w:val="22"/>
        </w:rPr>
        <w:t>29</w:t>
      </w:r>
      <w:r w:rsidRPr="00A72CE2">
        <w:rPr>
          <w:sz w:val="22"/>
        </w:rPr>
        <w:t>. </w:t>
      </w:r>
      <w:r w:rsidR="00E8768B">
        <w:rPr>
          <w:sz w:val="22"/>
        </w:rPr>
        <w:t>Qu’est-ce qu’un</w:t>
      </w:r>
      <w:r>
        <w:rPr>
          <w:sz w:val="22"/>
        </w:rPr>
        <w:t xml:space="preserve"> avantage comparatif révélé ? Quelle est la situation du Canada ?</w:t>
      </w:r>
    </w:p>
    <w:p w:rsidR="00E80536" w:rsidRPr="00A72CE2" w:rsidRDefault="00E80536" w:rsidP="00E80536">
      <w:pPr>
        <w:rPr>
          <w:sz w:val="22"/>
        </w:rPr>
      </w:pPr>
    </w:p>
    <w:p w:rsidR="00E80536" w:rsidRPr="002351AA" w:rsidRDefault="00E80536">
      <w:pPr>
        <w:rPr>
          <w:sz w:val="22"/>
        </w:rPr>
      </w:pPr>
      <w:bookmarkStart w:id="0" w:name="_GoBack"/>
      <w:bookmarkEnd w:id="0"/>
    </w:p>
    <w:sectPr w:rsidR="00E80536" w:rsidRPr="002351AA" w:rsidSect="00284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C3848"/>
    <w:rsid w:val="002351AA"/>
    <w:rsid w:val="004A6656"/>
    <w:rsid w:val="00572934"/>
    <w:rsid w:val="007463C4"/>
    <w:rsid w:val="00795C0E"/>
    <w:rsid w:val="008D7801"/>
    <w:rsid w:val="00B661E5"/>
    <w:rsid w:val="00DC3848"/>
    <w:rsid w:val="00E4779A"/>
    <w:rsid w:val="00E80536"/>
    <w:rsid w:val="00E8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3848"/>
    <w:pPr>
      <w:ind w:firstLine="709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3848"/>
    <w:pPr>
      <w:keepNext/>
      <w:spacing w:before="240" w:after="60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7463C4"/>
    <w:pPr>
      <w:ind w:firstLine="0"/>
    </w:pPr>
    <w:rPr>
      <w:sz w:val="22"/>
    </w:rPr>
  </w:style>
  <w:style w:type="character" w:customStyle="1" w:styleId="FootnoteTextChar">
    <w:name w:val="Footnote Text Char"/>
    <w:link w:val="FootnoteText"/>
    <w:uiPriority w:val="99"/>
    <w:rsid w:val="007463C4"/>
    <w:rPr>
      <w:rFonts w:ascii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DC3848"/>
    <w:rPr>
      <w:rFonts w:ascii="Cambria" w:eastAsia="Times New Roman" w:hAnsi="Cambria"/>
      <w:b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3848"/>
    <w:pPr>
      <w:ind w:firstLine="709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DC3848"/>
    <w:pPr>
      <w:keepNext/>
      <w:spacing w:before="240" w:after="60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7463C4"/>
    <w:pPr>
      <w:ind w:firstLine="0"/>
    </w:pPr>
    <w:rPr>
      <w:sz w:val="22"/>
    </w:rPr>
  </w:style>
  <w:style w:type="character" w:customStyle="1" w:styleId="NotedebasdepageCar">
    <w:name w:val="Note de bas de page Car"/>
    <w:link w:val="Notedebasdepage"/>
    <w:uiPriority w:val="99"/>
    <w:rsid w:val="007463C4"/>
    <w:rPr>
      <w:rFonts w:ascii="Times New Roman" w:hAnsi="Times New Roman"/>
    </w:rPr>
  </w:style>
  <w:style w:type="character" w:customStyle="1" w:styleId="Titre1Car">
    <w:name w:val="Titre 1 Car"/>
    <w:basedOn w:val="Policepardfaut"/>
    <w:link w:val="Titre1"/>
    <w:uiPriority w:val="9"/>
    <w:rsid w:val="00DC3848"/>
    <w:rPr>
      <w:rFonts w:ascii="Cambria" w:eastAsia="Times New Roman" w:hAnsi="Cambria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EMIN</dc:creator>
  <cp:lastModifiedBy>Courtney</cp:lastModifiedBy>
  <cp:revision>2</cp:revision>
  <dcterms:created xsi:type="dcterms:W3CDTF">2013-11-06T15:38:00Z</dcterms:created>
  <dcterms:modified xsi:type="dcterms:W3CDTF">2013-11-06T15:38:00Z</dcterms:modified>
</cp:coreProperties>
</file>