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417" w:rsidRPr="007D704D" w:rsidRDefault="00702417" w:rsidP="008473B2">
      <w:pPr>
        <w:spacing w:after="0"/>
        <w:jc w:val="both"/>
        <w:rPr>
          <w:rFonts w:ascii="Calibri" w:hAnsi="Calibri"/>
          <w:b/>
          <w:bCs/>
          <w:u w:val="single"/>
          <w:lang w:val="fr-FR" w:eastAsia="fr-FR"/>
        </w:rPr>
      </w:pPr>
      <w:r w:rsidRPr="00475F81">
        <w:rPr>
          <w:rFonts w:ascii="Calibri" w:hAnsi="Calibri"/>
          <w:b/>
          <w:bCs/>
          <w:u w:val="single"/>
        </w:rPr>
        <w:t xml:space="preserve">Module 2 - </w:t>
      </w:r>
      <w:r w:rsidRPr="00475F81">
        <w:rPr>
          <w:rFonts w:ascii="Calibri" w:hAnsi="Calibri"/>
          <w:b/>
          <w:bCs/>
          <w:u w:val="single"/>
          <w:lang w:val="fr-FR" w:eastAsia="fr-FR"/>
        </w:rPr>
        <w:t>Environnement social et économique</w:t>
      </w:r>
    </w:p>
    <w:p w:rsidR="003354F3" w:rsidRDefault="003354F3" w:rsidP="008473B2">
      <w:pPr>
        <w:jc w:val="both"/>
      </w:pPr>
      <w:bookmarkStart w:id="0" w:name="_GoBack"/>
      <w:bookmarkEnd w:id="0"/>
    </w:p>
    <w:p w:rsidR="00702417" w:rsidRDefault="00114F61" w:rsidP="008473B2">
      <w:pPr>
        <w:pStyle w:val="ListParagraph"/>
        <w:numPr>
          <w:ilvl w:val="0"/>
          <w:numId w:val="1"/>
        </w:numPr>
        <w:jc w:val="both"/>
      </w:pPr>
      <w:r w:rsidRPr="0076217B">
        <w:rPr>
          <w:b/>
        </w:rPr>
        <w:t>Définition</w:t>
      </w:r>
      <w:r>
        <w:t> :</w:t>
      </w:r>
    </w:p>
    <w:p w:rsidR="00114F61" w:rsidRDefault="00114F61" w:rsidP="008473B2">
      <w:pPr>
        <w:jc w:val="both"/>
      </w:pPr>
      <w:r w:rsidRPr="00440F76">
        <w:rPr>
          <w:u w:val="single"/>
        </w:rPr>
        <w:t>PIB</w:t>
      </w:r>
      <w:r>
        <w:t> :</w:t>
      </w:r>
      <w:r w:rsidR="00440F76">
        <w:rPr>
          <w:rFonts w:ascii="Arial" w:eastAsia="MS PGothic" w:hAnsi="Arial" w:cs="Arial"/>
          <w:color w:val="000000" w:themeColor="text1"/>
          <w:sz w:val="52"/>
          <w:szCs w:val="52"/>
          <w:lang w:eastAsia="fr-CA"/>
        </w:rPr>
        <w:t xml:space="preserve"> </w:t>
      </w:r>
      <w:r w:rsidR="00440F76">
        <w:t>E</w:t>
      </w:r>
      <w:r w:rsidR="00440F76" w:rsidRPr="00440F76">
        <w:t>st défini comme la valeur de la production de tous les biens et services finis d’un pays durant une période de temps.</w:t>
      </w:r>
    </w:p>
    <w:p w:rsidR="00114F61" w:rsidRDefault="00114F61" w:rsidP="008473B2">
      <w:pPr>
        <w:jc w:val="both"/>
      </w:pPr>
      <w:r w:rsidRPr="00440F76">
        <w:rPr>
          <w:u w:val="single"/>
        </w:rPr>
        <w:t>PIB par habitant</w:t>
      </w:r>
      <w:r>
        <w:t> :</w:t>
      </w:r>
      <w:r w:rsidR="00440F76" w:rsidRPr="00440F76">
        <w:rPr>
          <w:rFonts w:ascii="Arial" w:eastAsia="MS PGothic" w:hAnsi="Arial" w:cs="Arial"/>
          <w:b/>
          <w:bCs/>
          <w:color w:val="000000"/>
          <w:sz w:val="56"/>
          <w:szCs w:val="56"/>
          <w:lang w:eastAsia="fr-CA"/>
        </w:rPr>
        <w:t xml:space="preserve"> </w:t>
      </w:r>
      <w:r w:rsidR="00C107C6">
        <w:t>L</w:t>
      </w:r>
      <w:r w:rsidR="005F7C10" w:rsidRPr="00440F76">
        <w:t>a valeur de la production de tous les biens et services finis d’un pays sur une année divisée par  sa population moyenne durant la même année.</w:t>
      </w:r>
    </w:p>
    <w:p w:rsidR="00114F61" w:rsidRDefault="00114F61" w:rsidP="008473B2">
      <w:pPr>
        <w:jc w:val="both"/>
      </w:pPr>
      <w:r w:rsidRPr="00C878DD">
        <w:rPr>
          <w:u w:val="single"/>
        </w:rPr>
        <w:t>Système économique</w:t>
      </w:r>
      <w:r>
        <w:t> :</w:t>
      </w:r>
      <w:r w:rsidR="00C878DD" w:rsidRPr="00C878DD">
        <w:t xml:space="preserve"> </w:t>
      </w:r>
      <w:r w:rsidR="00C878DD">
        <w:t>U</w:t>
      </w:r>
      <w:r w:rsidR="00C878DD" w:rsidRPr="00C878DD">
        <w:t>n arrangement qui utilise la “terre”, le “travail” et le “capital” pour produire, distribuer et échanger des produits et services</w:t>
      </w:r>
      <w:r w:rsidR="00C878DD">
        <w:t>.</w:t>
      </w:r>
    </w:p>
    <w:p w:rsidR="00114F61" w:rsidRPr="00C107C6" w:rsidRDefault="00114F61" w:rsidP="008473B2">
      <w:pPr>
        <w:jc w:val="both"/>
      </w:pPr>
      <w:r w:rsidRPr="00C107C6">
        <w:rPr>
          <w:u w:val="single"/>
        </w:rPr>
        <w:t>Récession</w:t>
      </w:r>
      <w:r>
        <w:t> :</w:t>
      </w:r>
      <w:r w:rsidR="00C107C6" w:rsidRPr="00C107C6">
        <w:rPr>
          <w:rFonts w:ascii="Arial" w:eastAsia="MS PGothic" w:hAnsi="Arial" w:cs="Arial"/>
          <w:color w:val="000000" w:themeColor="text1"/>
          <w:sz w:val="34"/>
          <w:szCs w:val="34"/>
        </w:rPr>
        <w:t xml:space="preserve"> </w:t>
      </w:r>
      <w:r w:rsidR="00C107C6">
        <w:t>E</w:t>
      </w:r>
      <w:r w:rsidR="00C107C6" w:rsidRPr="00C107C6">
        <w:t xml:space="preserve">st une contraction au cours d’une période de temps de sa production mesurée par son produit </w:t>
      </w:r>
      <w:r w:rsidR="00DD3E1D">
        <w:t>i</w:t>
      </w:r>
      <w:r w:rsidR="00C107C6" w:rsidRPr="00C107C6">
        <w:t xml:space="preserve">ntérieur </w:t>
      </w:r>
      <w:r w:rsidR="00DD3E1D">
        <w:t>b</w:t>
      </w:r>
      <w:r w:rsidR="00C107C6" w:rsidRPr="00C107C6">
        <w:t>rut (PIB)</w:t>
      </w:r>
    </w:p>
    <w:p w:rsidR="00114F61" w:rsidRDefault="00114F61" w:rsidP="008473B2">
      <w:pPr>
        <w:jc w:val="both"/>
      </w:pPr>
      <w:r w:rsidRPr="00C107C6">
        <w:rPr>
          <w:u w:val="single"/>
        </w:rPr>
        <w:t xml:space="preserve">L’indice </w:t>
      </w:r>
      <w:proofErr w:type="spellStart"/>
      <w:r w:rsidRPr="00C107C6">
        <w:rPr>
          <w:u w:val="single"/>
        </w:rPr>
        <w:t>Big</w:t>
      </w:r>
      <w:proofErr w:type="spellEnd"/>
      <w:r w:rsidRPr="00C107C6">
        <w:rPr>
          <w:u w:val="single"/>
        </w:rPr>
        <w:t xml:space="preserve"> Mac</w:t>
      </w:r>
      <w:r>
        <w:t> :</w:t>
      </w:r>
      <w:r w:rsidR="00C107C6" w:rsidRPr="00C107C6">
        <w:rPr>
          <w:rFonts w:ascii="Arial" w:eastAsia="MS PGothic" w:hAnsi="Arial" w:cs="Arial"/>
          <w:color w:val="000000" w:themeColor="text1"/>
          <w:sz w:val="56"/>
          <w:szCs w:val="56"/>
        </w:rPr>
        <w:t xml:space="preserve"> </w:t>
      </w:r>
      <w:r w:rsidR="00C107C6">
        <w:t>E</w:t>
      </w:r>
      <w:r w:rsidR="00C107C6" w:rsidRPr="00C107C6">
        <w:t>st une mesure fruste de parité de pouvoir d’achat (PPA)</w:t>
      </w:r>
    </w:p>
    <w:p w:rsidR="00114F61" w:rsidRDefault="00114F61" w:rsidP="008473B2">
      <w:pPr>
        <w:jc w:val="both"/>
      </w:pPr>
      <w:r w:rsidRPr="00C107C6">
        <w:rPr>
          <w:u w:val="single"/>
        </w:rPr>
        <w:t>Taux de chômage</w:t>
      </w:r>
      <w:r>
        <w:t> :</w:t>
      </w:r>
      <w:r w:rsidR="00C107C6" w:rsidRPr="00C107C6">
        <w:rPr>
          <w:rFonts w:ascii="Arial" w:eastAsia="MS PGothic" w:hAnsi="Arial" w:cs="Arial"/>
          <w:color w:val="000000" w:themeColor="text1"/>
          <w:sz w:val="48"/>
          <w:szCs w:val="48"/>
        </w:rPr>
        <w:t xml:space="preserve"> </w:t>
      </w:r>
      <w:r w:rsidR="00C107C6">
        <w:t>M</w:t>
      </w:r>
      <w:r w:rsidR="00C107C6" w:rsidRPr="00C107C6">
        <w:t>esure le nombre de chômeurs exprimé en pourcentage de la population active.</w:t>
      </w:r>
    </w:p>
    <w:p w:rsidR="00114F61" w:rsidRDefault="00114F61" w:rsidP="008473B2">
      <w:pPr>
        <w:jc w:val="both"/>
      </w:pPr>
      <w:r w:rsidRPr="00C107C6">
        <w:rPr>
          <w:u w:val="single"/>
        </w:rPr>
        <w:t>Taux d’inflation</w:t>
      </w:r>
      <w:r>
        <w:t> :</w:t>
      </w:r>
      <w:r w:rsidR="00C107C6" w:rsidRPr="00C107C6">
        <w:t xml:space="preserve"> Mouvement persistant à la hausse, au fil du temps, du prix moyen des biens et des services, c'est-à-dire du « coût de la vie ».</w:t>
      </w:r>
    </w:p>
    <w:p w:rsidR="00114F61" w:rsidRDefault="00114F61" w:rsidP="008473B2">
      <w:pPr>
        <w:jc w:val="both"/>
      </w:pPr>
      <w:r w:rsidRPr="00C107C6">
        <w:rPr>
          <w:u w:val="single"/>
        </w:rPr>
        <w:t>L’indice des prix à la consommation</w:t>
      </w:r>
      <w:r>
        <w:t> :</w:t>
      </w:r>
      <w:r w:rsidR="00C107C6" w:rsidRPr="00C107C6">
        <w:t xml:space="preserve"> </w:t>
      </w:r>
      <w:r w:rsidR="00C107C6">
        <w:t>Es</w:t>
      </w:r>
      <w:r w:rsidR="00C107C6" w:rsidRPr="00C107C6">
        <w:t>t un indicateur de la variation des prix à la consommation payés par les Canadiens.</w:t>
      </w:r>
    </w:p>
    <w:p w:rsidR="00114F61" w:rsidRDefault="00114F61" w:rsidP="008473B2">
      <w:pPr>
        <w:jc w:val="both"/>
      </w:pPr>
      <w:r w:rsidRPr="0076217B">
        <w:rPr>
          <w:u w:val="single"/>
        </w:rPr>
        <w:t>Productivité</w:t>
      </w:r>
      <w:r>
        <w:t> :</w:t>
      </w:r>
      <w:r w:rsidR="0076217B">
        <w:rPr>
          <w:rFonts w:ascii="Arial" w:eastAsia="MS PGothic" w:hAnsi="Arial" w:cs="Arial"/>
          <w:color w:val="000000" w:themeColor="text1"/>
          <w:sz w:val="64"/>
          <w:szCs w:val="64"/>
        </w:rPr>
        <w:t xml:space="preserve"> </w:t>
      </w:r>
      <w:r w:rsidR="0076217B" w:rsidRPr="0076217B">
        <w:t>Capacité de production</w:t>
      </w:r>
    </w:p>
    <w:p w:rsidR="00114F61" w:rsidRDefault="00114F61" w:rsidP="008473B2">
      <w:pPr>
        <w:jc w:val="both"/>
      </w:pPr>
      <w:r w:rsidRPr="0076217B">
        <w:rPr>
          <w:u w:val="single"/>
        </w:rPr>
        <w:t>Population active</w:t>
      </w:r>
      <w:r>
        <w:t> :</w:t>
      </w:r>
      <w:r w:rsidR="0076217B" w:rsidRPr="0076217B">
        <w:t xml:space="preserve"> </w:t>
      </w:r>
      <w:r w:rsidR="0076217B">
        <w:t>M</w:t>
      </w:r>
      <w:r w:rsidR="0076217B" w:rsidRPr="0076217B">
        <w:t>ain-d’œuvre</w:t>
      </w:r>
    </w:p>
    <w:p w:rsidR="00114F61" w:rsidRDefault="00DD3E1D" w:rsidP="008473B2">
      <w:pPr>
        <w:jc w:val="both"/>
      </w:pPr>
      <w:r>
        <w:rPr>
          <w:u w:val="single"/>
        </w:rPr>
        <w:t>Productivité</w:t>
      </w:r>
      <w:r w:rsidR="00114F61" w:rsidRPr="0076217B">
        <w:rPr>
          <w:u w:val="single"/>
        </w:rPr>
        <w:t xml:space="preserve"> multifonctionnelle</w:t>
      </w:r>
      <w:r w:rsidR="00114F61">
        <w:t> :</w:t>
      </w:r>
    </w:p>
    <w:p w:rsidR="0076217B" w:rsidRPr="0076217B" w:rsidRDefault="0076217B" w:rsidP="008473B2">
      <w:pPr>
        <w:pStyle w:val="ListParagraph"/>
        <w:numPr>
          <w:ilvl w:val="0"/>
          <w:numId w:val="1"/>
        </w:numPr>
        <w:jc w:val="both"/>
        <w:rPr>
          <w:b/>
        </w:rPr>
      </w:pPr>
      <w:r w:rsidRPr="0076217B">
        <w:rPr>
          <w:b/>
        </w:rPr>
        <w:t>Pourquoi s’intéresser à la population et le lien avec le monde des affaires?</w:t>
      </w:r>
    </w:p>
    <w:p w:rsidR="009D2ADA" w:rsidRPr="0076217B" w:rsidRDefault="005F7C10" w:rsidP="008473B2">
      <w:pPr>
        <w:jc w:val="both"/>
      </w:pPr>
      <w:r w:rsidRPr="0076217B">
        <w:t>Achètent les biens et services des entreprises</w:t>
      </w:r>
      <w:r w:rsidR="0076217B">
        <w:t xml:space="preserve">. </w:t>
      </w:r>
      <w:r w:rsidRPr="0076217B">
        <w:t>Modes de consommation différents selon le groupe d’âge</w:t>
      </w:r>
      <w:r w:rsidR="0076217B">
        <w:t xml:space="preserve">. </w:t>
      </w:r>
      <w:r w:rsidRPr="0076217B">
        <w:t>Travaillent pour les entreprises</w:t>
      </w:r>
    </w:p>
    <w:p w:rsidR="006A629A" w:rsidRDefault="006A629A" w:rsidP="008473B2">
      <w:pPr>
        <w:pStyle w:val="ListParagraph"/>
        <w:numPr>
          <w:ilvl w:val="0"/>
          <w:numId w:val="1"/>
        </w:numPr>
        <w:jc w:val="both"/>
        <w:rPr>
          <w:b/>
        </w:rPr>
      </w:pPr>
      <w:r w:rsidRPr="006A629A">
        <w:rPr>
          <w:b/>
        </w:rPr>
        <w:t>Province ou territoires avec taux d’accroissement de leur population supérieurs à la moyenne</w:t>
      </w:r>
    </w:p>
    <w:p w:rsidR="006A629A" w:rsidRDefault="006A629A" w:rsidP="008473B2">
      <w:pPr>
        <w:jc w:val="both"/>
      </w:pPr>
      <w:r>
        <w:t xml:space="preserve">Alberta, Ontario et </w:t>
      </w:r>
      <w:r w:rsidRPr="006A629A">
        <w:t>Colombie-Britannique</w:t>
      </w:r>
    </w:p>
    <w:p w:rsidR="006A629A" w:rsidRDefault="006A629A" w:rsidP="008473B2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Principaux facteurs qui conduisent ensemble à l’accélération du vieillissement de la population canadienne</w:t>
      </w:r>
    </w:p>
    <w:p w:rsidR="006A629A" w:rsidRDefault="006A629A" w:rsidP="008473B2">
      <w:pPr>
        <w:jc w:val="both"/>
      </w:pPr>
      <w:r w:rsidRPr="006A629A">
        <w:t>Une fécondité depuis longtemps sous le seuil de remplacement des générations et par une espérance de vie à la hausse.</w:t>
      </w:r>
    </w:p>
    <w:p w:rsidR="006A629A" w:rsidRDefault="006A629A" w:rsidP="008473B2">
      <w:pPr>
        <w:pStyle w:val="ListParagraph"/>
        <w:numPr>
          <w:ilvl w:val="0"/>
          <w:numId w:val="1"/>
        </w:numPr>
        <w:jc w:val="both"/>
        <w:rPr>
          <w:b/>
        </w:rPr>
      </w:pPr>
      <w:r w:rsidRPr="006A629A">
        <w:rPr>
          <w:b/>
        </w:rPr>
        <w:lastRenderedPageBreak/>
        <w:t>Expliquez brièvement les facteurs contribuant à la baisse de fécondité</w:t>
      </w:r>
    </w:p>
    <w:p w:rsidR="006A629A" w:rsidRDefault="006A629A" w:rsidP="008473B2">
      <w:pPr>
        <w:jc w:val="both"/>
      </w:pPr>
      <w:r w:rsidRPr="006A629A">
        <w:t>L’urbanisation, l’éducation et l’individualisme</w:t>
      </w:r>
    </w:p>
    <w:p w:rsidR="00D75B98" w:rsidRPr="00D75B98" w:rsidRDefault="00D75B98" w:rsidP="008473B2">
      <w:pPr>
        <w:pStyle w:val="ListParagraph"/>
        <w:numPr>
          <w:ilvl w:val="0"/>
          <w:numId w:val="1"/>
        </w:numPr>
        <w:jc w:val="both"/>
        <w:rPr>
          <w:b/>
        </w:rPr>
      </w:pPr>
      <w:r w:rsidRPr="00D75B98">
        <w:rPr>
          <w:b/>
        </w:rPr>
        <w:t>Deux mesures importantes d’une nouvelle politique d’immigration</w:t>
      </w:r>
    </w:p>
    <w:p w:rsidR="00D75B98" w:rsidRDefault="00D75B98" w:rsidP="008473B2">
      <w:pPr>
        <w:jc w:val="both"/>
      </w:pPr>
      <w:r>
        <w:t>Choisir des immigrants qualifiés et qui peuvent travailler dès leur arrivé</w:t>
      </w:r>
      <w:r w:rsidR="00DD3E1D">
        <w:t>e.</w:t>
      </w:r>
    </w:p>
    <w:p w:rsidR="00D75B98" w:rsidRPr="00D75B98" w:rsidRDefault="00D75B98" w:rsidP="008473B2">
      <w:pPr>
        <w:pStyle w:val="ListParagraph"/>
        <w:numPr>
          <w:ilvl w:val="0"/>
          <w:numId w:val="1"/>
        </w:numPr>
        <w:jc w:val="both"/>
        <w:rPr>
          <w:b/>
        </w:rPr>
      </w:pPr>
      <w:r w:rsidRPr="00D75B98">
        <w:rPr>
          <w:b/>
        </w:rPr>
        <w:t>Définition d’une récession et solution pour la combattre</w:t>
      </w:r>
    </w:p>
    <w:p w:rsidR="00D75B98" w:rsidRDefault="00DD3E1D" w:rsidP="008473B2">
      <w:pPr>
        <w:tabs>
          <w:tab w:val="num" w:pos="1440"/>
        </w:tabs>
        <w:jc w:val="both"/>
      </w:pPr>
      <w:r w:rsidRPr="00DD3E1D">
        <w:t xml:space="preserve">La récession est une contraction au cours d’une période de temps de sa production mesurée par son produit </w:t>
      </w:r>
      <w:r>
        <w:t>i</w:t>
      </w:r>
      <w:r w:rsidRPr="00DD3E1D">
        <w:t xml:space="preserve">ntérieur </w:t>
      </w:r>
      <w:r>
        <w:t>b</w:t>
      </w:r>
      <w:r w:rsidRPr="00DD3E1D">
        <w:t>rut</w:t>
      </w:r>
      <w:r>
        <w:t>. La combattre avec des t</w:t>
      </w:r>
      <w:r w:rsidR="005F7C10" w:rsidRPr="00DD3E1D">
        <w:t xml:space="preserve">ravaux </w:t>
      </w:r>
      <w:r>
        <w:t>p</w:t>
      </w:r>
      <w:r w:rsidR="005F7C10" w:rsidRPr="00DD3E1D">
        <w:t>ublics</w:t>
      </w:r>
      <w:r>
        <w:t>, a</w:t>
      </w:r>
      <w:r w:rsidR="005F7C10" w:rsidRPr="00DD3E1D">
        <w:t>ctions envers les consommateurs</w:t>
      </w:r>
      <w:r>
        <w:t xml:space="preserve"> et réduction des Taux d’Intérêt.</w:t>
      </w:r>
    </w:p>
    <w:p w:rsidR="00DD3E1D" w:rsidRDefault="00DD3E1D" w:rsidP="008473B2">
      <w:pPr>
        <w:pStyle w:val="ListParagraph"/>
        <w:numPr>
          <w:ilvl w:val="0"/>
          <w:numId w:val="1"/>
        </w:numPr>
        <w:tabs>
          <w:tab w:val="num" w:pos="1440"/>
        </w:tabs>
        <w:jc w:val="both"/>
        <w:rPr>
          <w:b/>
        </w:rPr>
      </w:pPr>
      <w:r w:rsidRPr="00DD3E1D">
        <w:rPr>
          <w:b/>
        </w:rPr>
        <w:t>Types de transaction qui se font en dehors du marché qui n’entrent pas dans le calcul du PIB</w:t>
      </w:r>
    </w:p>
    <w:p w:rsidR="00DD3E1D" w:rsidRDefault="00DD3E1D" w:rsidP="008473B2">
      <w:pPr>
        <w:jc w:val="both"/>
      </w:pPr>
      <w:r w:rsidRPr="00DD3E1D">
        <w:t>Le bénévolat et le travail domestique</w:t>
      </w:r>
    </w:p>
    <w:p w:rsidR="005F7C10" w:rsidRDefault="005F7C10" w:rsidP="008473B2">
      <w:pPr>
        <w:pStyle w:val="ListParagraph"/>
        <w:numPr>
          <w:ilvl w:val="0"/>
          <w:numId w:val="1"/>
        </w:numPr>
        <w:jc w:val="both"/>
        <w:rPr>
          <w:b/>
        </w:rPr>
      </w:pPr>
      <w:r w:rsidRPr="005F7C10">
        <w:rPr>
          <w:b/>
        </w:rPr>
        <w:t>Expliquez les caractéristiques de la structure industrielle canadienne</w:t>
      </w:r>
    </w:p>
    <w:p w:rsidR="009D2ADA" w:rsidRDefault="005F7C10" w:rsidP="008473B2">
      <w:pPr>
        <w:jc w:val="both"/>
        <w:rPr>
          <w:lang w:val="fr-FR"/>
        </w:rPr>
      </w:pPr>
      <w:r w:rsidRPr="005F7C10">
        <w:rPr>
          <w:lang w:val="fr-FR"/>
        </w:rPr>
        <w:t>La prédominance du secteur des services</w:t>
      </w:r>
      <w:r w:rsidRPr="005F7C10">
        <w:t>, l</w:t>
      </w:r>
      <w:r w:rsidRPr="005F7C10">
        <w:rPr>
          <w:lang w:val="fr-FR"/>
        </w:rPr>
        <w:t>es disparités régionales</w:t>
      </w:r>
      <w:r w:rsidRPr="005F7C10">
        <w:t xml:space="preserve">, la croissance avec les États-Unis et la </w:t>
      </w:r>
      <w:r w:rsidRPr="005F7C10">
        <w:rPr>
          <w:lang w:val="fr-FR"/>
        </w:rPr>
        <w:t>mondialisation</w:t>
      </w:r>
    </w:p>
    <w:p w:rsidR="005F7C10" w:rsidRPr="005F7C10" w:rsidRDefault="005F7C10" w:rsidP="008473B2">
      <w:pPr>
        <w:pStyle w:val="ListParagraph"/>
        <w:numPr>
          <w:ilvl w:val="0"/>
          <w:numId w:val="1"/>
        </w:numPr>
        <w:jc w:val="both"/>
        <w:rPr>
          <w:b/>
        </w:rPr>
      </w:pPr>
      <w:r w:rsidRPr="005F7C10">
        <w:rPr>
          <w:b/>
        </w:rPr>
        <w:t>Expliquez les 3 secteurs de l’économie canadienne</w:t>
      </w:r>
    </w:p>
    <w:p w:rsidR="005F7C10" w:rsidRDefault="005F7C10" w:rsidP="008473B2">
      <w:pPr>
        <w:jc w:val="both"/>
      </w:pPr>
      <w:r>
        <w:t>Industries productrices de biens, secteur primaire et secteur secondaire</w:t>
      </w:r>
    </w:p>
    <w:p w:rsidR="00AB097B" w:rsidRPr="008473B2" w:rsidRDefault="00AB097B" w:rsidP="008473B2">
      <w:pPr>
        <w:pStyle w:val="ListParagraph"/>
        <w:numPr>
          <w:ilvl w:val="0"/>
          <w:numId w:val="1"/>
        </w:numPr>
        <w:jc w:val="both"/>
        <w:rPr>
          <w:b/>
        </w:rPr>
      </w:pPr>
      <w:r w:rsidRPr="008473B2">
        <w:rPr>
          <w:b/>
        </w:rPr>
        <w:t>Selon l’OCDE, forces et faiblesses de la situation économique du Canada</w:t>
      </w:r>
    </w:p>
    <w:p w:rsidR="00AB097B" w:rsidRDefault="00AB097B" w:rsidP="008473B2">
      <w:pPr>
        <w:jc w:val="both"/>
      </w:pPr>
    </w:p>
    <w:p w:rsidR="005F7C10" w:rsidRPr="00C31EE0" w:rsidRDefault="00C31EE0" w:rsidP="00C31EE0">
      <w:pPr>
        <w:pStyle w:val="ListParagraph"/>
        <w:numPr>
          <w:ilvl w:val="0"/>
          <w:numId w:val="1"/>
        </w:numPr>
        <w:jc w:val="both"/>
        <w:rPr>
          <w:b/>
        </w:rPr>
      </w:pPr>
      <w:r w:rsidRPr="00C31EE0">
        <w:rPr>
          <w:b/>
        </w:rPr>
        <w:t>Observations et suggestions à propos de notre niveau d’innovation</w:t>
      </w:r>
      <w:r>
        <w:rPr>
          <w:b/>
        </w:rPr>
        <w:t xml:space="preserve"> (</w:t>
      </w:r>
      <w:r w:rsidRPr="008473B2">
        <w:rPr>
          <w:b/>
        </w:rPr>
        <w:t>Selon l’OCDE</w:t>
      </w:r>
      <w:r>
        <w:rPr>
          <w:b/>
        </w:rPr>
        <w:t>)</w:t>
      </w:r>
    </w:p>
    <w:p w:rsidR="00C31EE0" w:rsidRDefault="00C31EE0" w:rsidP="008473B2">
      <w:pPr>
        <w:jc w:val="both"/>
      </w:pPr>
    </w:p>
    <w:p w:rsidR="00C31EE0" w:rsidRDefault="00C31EE0" w:rsidP="00C31EE0">
      <w:pPr>
        <w:pStyle w:val="ListParagraph"/>
        <w:numPr>
          <w:ilvl w:val="0"/>
          <w:numId w:val="1"/>
        </w:numPr>
        <w:jc w:val="both"/>
        <w:rPr>
          <w:b/>
        </w:rPr>
      </w:pPr>
      <w:r w:rsidRPr="00C31EE0">
        <w:rPr>
          <w:b/>
        </w:rPr>
        <w:t>3 recommandations envers l’éducation</w:t>
      </w:r>
      <w:r>
        <w:rPr>
          <w:b/>
        </w:rPr>
        <w:t xml:space="preserve"> (</w:t>
      </w:r>
      <w:r w:rsidRPr="008473B2">
        <w:rPr>
          <w:b/>
        </w:rPr>
        <w:t>Selon l’OCDE</w:t>
      </w:r>
      <w:r>
        <w:rPr>
          <w:b/>
        </w:rPr>
        <w:t>)</w:t>
      </w:r>
    </w:p>
    <w:p w:rsidR="00C31EE0" w:rsidRPr="00C31EE0" w:rsidRDefault="00C31EE0" w:rsidP="00C31EE0">
      <w:pPr>
        <w:pStyle w:val="ListParagraph"/>
        <w:rPr>
          <w:b/>
        </w:rPr>
      </w:pPr>
    </w:p>
    <w:p w:rsidR="00C31EE0" w:rsidRPr="00C31EE0" w:rsidRDefault="00C31EE0" w:rsidP="00C31EE0">
      <w:pPr>
        <w:jc w:val="both"/>
        <w:rPr>
          <w:b/>
        </w:rPr>
      </w:pPr>
    </w:p>
    <w:p w:rsidR="00DD3E1D" w:rsidRPr="00AB097B" w:rsidRDefault="00AB097B" w:rsidP="008473B2">
      <w:pPr>
        <w:pStyle w:val="ListParagraph"/>
        <w:numPr>
          <w:ilvl w:val="0"/>
          <w:numId w:val="1"/>
        </w:numPr>
        <w:tabs>
          <w:tab w:val="num" w:pos="1440"/>
        </w:tabs>
        <w:jc w:val="both"/>
        <w:rPr>
          <w:b/>
        </w:rPr>
      </w:pPr>
      <w:r w:rsidRPr="00AB097B">
        <w:rPr>
          <w:b/>
        </w:rPr>
        <w:t>Provinces qui ne dépasseront pas leur taux de croissance économique</w:t>
      </w:r>
    </w:p>
    <w:p w:rsidR="00AB097B" w:rsidRPr="00AB097B" w:rsidRDefault="00AB097B" w:rsidP="008473B2">
      <w:pPr>
        <w:autoSpaceDE w:val="0"/>
        <w:autoSpaceDN w:val="0"/>
        <w:adjustRightInd w:val="0"/>
        <w:spacing w:after="0"/>
        <w:jc w:val="both"/>
      </w:pPr>
      <w:r w:rsidRPr="00AB097B">
        <w:t>Alberta et Colombie-Britannique</w:t>
      </w:r>
    </w:p>
    <w:p w:rsidR="00AB097B" w:rsidRDefault="00AB097B" w:rsidP="008473B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AB097B">
        <w:rPr>
          <w:b/>
        </w:rPr>
        <w:t>Situation économique de Terre-neuve et Labrador</w:t>
      </w:r>
    </w:p>
    <w:p w:rsidR="00AB097B" w:rsidRDefault="00AB097B" w:rsidP="008473B2">
      <w:pPr>
        <w:autoSpaceDE w:val="0"/>
        <w:autoSpaceDN w:val="0"/>
        <w:adjustRightInd w:val="0"/>
        <w:spacing w:after="0"/>
        <w:jc w:val="both"/>
      </w:pPr>
      <w:r w:rsidRPr="00AB097B">
        <w:t>La croissance économique à Terre-Neuve-et-Labrador devrait connaître un fort rebond</w:t>
      </w:r>
      <w:r w:rsidRPr="00AB097B">
        <w:t xml:space="preserve"> </w:t>
      </w:r>
      <w:r w:rsidRPr="00AB097B">
        <w:t>cette année après avoir été fortement plombée en 2012 par d’importants reculs dans le</w:t>
      </w:r>
      <w:r w:rsidRPr="00AB097B">
        <w:t xml:space="preserve"> </w:t>
      </w:r>
      <w:r w:rsidRPr="00AB097B">
        <w:t>secteur de l’énergie.</w:t>
      </w:r>
    </w:p>
    <w:p w:rsidR="00C31EE0" w:rsidRDefault="00C31EE0" w:rsidP="008473B2">
      <w:pPr>
        <w:autoSpaceDE w:val="0"/>
        <w:autoSpaceDN w:val="0"/>
        <w:adjustRightInd w:val="0"/>
        <w:spacing w:after="0"/>
        <w:jc w:val="both"/>
      </w:pPr>
    </w:p>
    <w:p w:rsidR="00C31EE0" w:rsidRDefault="00C31EE0" w:rsidP="008473B2">
      <w:pPr>
        <w:autoSpaceDE w:val="0"/>
        <w:autoSpaceDN w:val="0"/>
        <w:adjustRightInd w:val="0"/>
        <w:spacing w:after="0"/>
        <w:jc w:val="both"/>
      </w:pPr>
    </w:p>
    <w:p w:rsidR="00AD474D" w:rsidRPr="008473B2" w:rsidRDefault="00AD474D" w:rsidP="008473B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8473B2">
        <w:rPr>
          <w:b/>
        </w:rPr>
        <w:lastRenderedPageBreak/>
        <w:t>Provinces riches en ressources naturelles</w:t>
      </w:r>
    </w:p>
    <w:p w:rsidR="00AD474D" w:rsidRDefault="00AD474D" w:rsidP="008473B2">
      <w:pPr>
        <w:autoSpaceDE w:val="0"/>
        <w:autoSpaceDN w:val="0"/>
        <w:adjustRightInd w:val="0"/>
        <w:spacing w:after="0"/>
        <w:jc w:val="both"/>
      </w:pPr>
      <w:r w:rsidRPr="008473B2">
        <w:t>Les provinces riches en ressources naturelles dominent encore notre classement des</w:t>
      </w:r>
      <w:r w:rsidRPr="008473B2">
        <w:t xml:space="preserve"> </w:t>
      </w:r>
      <w:r w:rsidRPr="008473B2">
        <w:t>taux de croissance pour 2013, comme lors des trois dernières années.</w:t>
      </w:r>
    </w:p>
    <w:p w:rsidR="008473B2" w:rsidRPr="008473B2" w:rsidRDefault="008473B2" w:rsidP="008473B2">
      <w:pPr>
        <w:autoSpaceDE w:val="0"/>
        <w:autoSpaceDN w:val="0"/>
        <w:adjustRightInd w:val="0"/>
        <w:spacing w:after="0"/>
        <w:jc w:val="both"/>
      </w:pPr>
    </w:p>
    <w:p w:rsidR="008473B2" w:rsidRDefault="008473B2" w:rsidP="008473B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8473B2">
        <w:rPr>
          <w:b/>
        </w:rPr>
        <w:t>Situation au Québec</w:t>
      </w:r>
    </w:p>
    <w:p w:rsidR="008473B2" w:rsidRPr="00AB4C94" w:rsidRDefault="008473B2" w:rsidP="00AB4C94">
      <w:pPr>
        <w:autoSpaceDE w:val="0"/>
        <w:autoSpaceDN w:val="0"/>
        <w:adjustRightInd w:val="0"/>
        <w:spacing w:after="0"/>
        <w:jc w:val="both"/>
        <w:rPr>
          <w:b/>
        </w:rPr>
      </w:pPr>
      <w:r w:rsidRPr="008473B2">
        <w:t>Les conditions économiques sont demeurées contrastées au Québec au début de 2013 ;</w:t>
      </w:r>
      <w:r w:rsidRPr="008473B2">
        <w:t xml:space="preserve"> </w:t>
      </w:r>
      <w:r w:rsidRPr="008473B2">
        <w:t>toutefois, nous constatons que les signes encourageants apparus à la fin de l’an dernier</w:t>
      </w:r>
      <w:r w:rsidRPr="008473B2">
        <w:t xml:space="preserve"> </w:t>
      </w:r>
      <w:r w:rsidRPr="008473B2">
        <w:t>s’accentuent, ce qui ouvre la voie à une reprise de la croissance économique globale</w:t>
      </w:r>
      <w:r w:rsidRPr="008473B2">
        <w:t xml:space="preserve"> </w:t>
      </w:r>
      <w:r w:rsidRPr="008473B2">
        <w:t>cette année.</w:t>
      </w:r>
    </w:p>
    <w:sectPr w:rsidR="008473B2" w:rsidRPr="00AB4C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D6F5C"/>
    <w:multiLevelType w:val="hybridMultilevel"/>
    <w:tmpl w:val="CEC03C26"/>
    <w:lvl w:ilvl="0" w:tplc="EAD6956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80ACB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F2456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8CD5C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503D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5AE1B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F688A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2A907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EC7B3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1EE5BF3"/>
    <w:multiLevelType w:val="hybridMultilevel"/>
    <w:tmpl w:val="87CE5C9C"/>
    <w:lvl w:ilvl="0" w:tplc="4DA63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F42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FC35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F8C8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307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3AD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2A89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14A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DC2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0530B42"/>
    <w:multiLevelType w:val="hybridMultilevel"/>
    <w:tmpl w:val="22E87C82"/>
    <w:lvl w:ilvl="0" w:tplc="109A3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E27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30A5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949B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869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A60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2C8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5831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8E3B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9653D58"/>
    <w:multiLevelType w:val="hybridMultilevel"/>
    <w:tmpl w:val="C06EE42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702812"/>
    <w:multiLevelType w:val="hybridMultilevel"/>
    <w:tmpl w:val="DEEC8CB0"/>
    <w:lvl w:ilvl="0" w:tplc="A09CE7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4A5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6E4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F4C2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B899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32B7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C207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3ABF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8C6D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6347AE5"/>
    <w:multiLevelType w:val="hybridMultilevel"/>
    <w:tmpl w:val="6820FEB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417"/>
    <w:rsid w:val="00114F61"/>
    <w:rsid w:val="003354F3"/>
    <w:rsid w:val="00440F76"/>
    <w:rsid w:val="005F7C10"/>
    <w:rsid w:val="006A629A"/>
    <w:rsid w:val="00702417"/>
    <w:rsid w:val="0076217B"/>
    <w:rsid w:val="008473B2"/>
    <w:rsid w:val="009D2ADA"/>
    <w:rsid w:val="00AB097B"/>
    <w:rsid w:val="00AB4C94"/>
    <w:rsid w:val="00AD474D"/>
    <w:rsid w:val="00C107C6"/>
    <w:rsid w:val="00C31EE0"/>
    <w:rsid w:val="00C878DD"/>
    <w:rsid w:val="00D75B98"/>
    <w:rsid w:val="00D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1EE611-E5B0-461C-AC76-A32D6047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41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F6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4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2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8393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83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116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23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10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9831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3330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4809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666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60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536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320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23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3</Pages>
  <Words>580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David</cp:lastModifiedBy>
  <cp:revision>7</cp:revision>
  <dcterms:created xsi:type="dcterms:W3CDTF">2013-10-17T16:16:00Z</dcterms:created>
  <dcterms:modified xsi:type="dcterms:W3CDTF">2013-10-19T02:12:00Z</dcterms:modified>
</cp:coreProperties>
</file>