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2BC" w:rsidRPr="00225EC1" w:rsidRDefault="00225EC1">
      <w:pPr>
        <w:rPr>
          <w:b/>
        </w:rPr>
      </w:pPr>
      <w:bookmarkStart w:id="0" w:name="_GoBack"/>
      <w:bookmarkEnd w:id="0"/>
      <w:r w:rsidRPr="00225EC1">
        <w:rPr>
          <w:b/>
        </w:rPr>
        <w:t>Theo 206</w:t>
      </w:r>
    </w:p>
    <w:p w:rsidR="00225EC1" w:rsidRDefault="00225EC1">
      <w:pPr>
        <w:rPr>
          <w:b/>
          <w:u w:val="single"/>
        </w:rPr>
      </w:pPr>
      <w:r w:rsidRPr="00225EC1">
        <w:rPr>
          <w:b/>
          <w:u w:val="single"/>
        </w:rPr>
        <w:t>Lesson 1</w:t>
      </w:r>
      <w:r w:rsidR="000742A8" w:rsidRPr="00225EC1">
        <w:rPr>
          <w:b/>
        </w:rPr>
        <w:t>(first reading)</w:t>
      </w:r>
    </w:p>
    <w:p w:rsidR="00225EC1" w:rsidRDefault="00225EC1" w:rsidP="00225EC1">
      <w:pPr>
        <w:tabs>
          <w:tab w:val="left" w:pos="3510"/>
        </w:tabs>
        <w:rPr>
          <w:b/>
        </w:rPr>
      </w:pPr>
      <w:r>
        <w:rPr>
          <w:b/>
          <w:u w:val="single"/>
        </w:rPr>
        <w:t>The Patristic Period</w:t>
      </w:r>
      <w:r>
        <w:rPr>
          <w:b/>
        </w:rPr>
        <w:tab/>
      </w:r>
    </w:p>
    <w:p w:rsidR="00225EC1" w:rsidRPr="00225EC1" w:rsidRDefault="00225EC1" w:rsidP="00225EC1">
      <w:pPr>
        <w:pStyle w:val="ListParagraph"/>
        <w:numPr>
          <w:ilvl w:val="0"/>
          <w:numId w:val="1"/>
        </w:numPr>
        <w:tabs>
          <w:tab w:val="left" w:pos="3510"/>
        </w:tabs>
        <w:rPr>
          <w:u w:val="single"/>
        </w:rPr>
      </w:pPr>
      <w:r>
        <w:t xml:space="preserve">First centuries of </w:t>
      </w:r>
      <w:proofErr w:type="spellStart"/>
      <w:r>
        <w:t>Christinaity</w:t>
      </w:r>
      <w:proofErr w:type="spellEnd"/>
      <w:r>
        <w:t xml:space="preserve"> called the “Patristic Period”</w:t>
      </w:r>
    </w:p>
    <w:p w:rsidR="00225EC1" w:rsidRDefault="00225EC1" w:rsidP="00225EC1">
      <w:pPr>
        <w:pStyle w:val="ListParagraph"/>
        <w:numPr>
          <w:ilvl w:val="0"/>
          <w:numId w:val="1"/>
        </w:numPr>
        <w:tabs>
          <w:tab w:val="left" w:pos="3510"/>
        </w:tabs>
      </w:pPr>
      <w:r>
        <w:t>“fathers” –period of the founders of the church, of the “fathers” (</w:t>
      </w:r>
      <w:proofErr w:type="spellStart"/>
      <w:r>
        <w:t>patres</w:t>
      </w:r>
      <w:proofErr w:type="spellEnd"/>
      <w:r>
        <w:t xml:space="preserve">)who did pioneering work in turning the Christian movement into a self-assured religious, social, and intellectual force </w:t>
      </w:r>
    </w:p>
    <w:p w:rsidR="00225EC1" w:rsidRDefault="001C747E" w:rsidP="00B35184">
      <w:pPr>
        <w:pStyle w:val="ListParagraph"/>
        <w:numPr>
          <w:ilvl w:val="0"/>
          <w:numId w:val="1"/>
        </w:numPr>
        <w:tabs>
          <w:tab w:val="left" w:pos="3510"/>
        </w:tabs>
      </w:pPr>
      <w:r>
        <w:t xml:space="preserve">Patristic Period- various </w:t>
      </w:r>
      <w:r w:rsidR="00392D97">
        <w:t>time frames proposed  (Start</w:t>
      </w:r>
      <w:r w:rsidR="00B35184">
        <w:t xml:space="preserve">ed at </w:t>
      </w:r>
      <w:r w:rsidR="00392D97" w:rsidRPr="00392D97">
        <w:t>100 of the common era</w:t>
      </w:r>
      <w:r w:rsidR="00392D97">
        <w:t xml:space="preserve"> and </w:t>
      </w:r>
      <w:r w:rsidR="00B35184">
        <w:t xml:space="preserve">its </w:t>
      </w:r>
      <w:r w:rsidR="00392D97">
        <w:t xml:space="preserve">end </w:t>
      </w:r>
      <w:r w:rsidR="00B35184">
        <w:t xml:space="preserve">is </w:t>
      </w:r>
      <w:r w:rsidR="00392D97">
        <w:t>unknown and Protestant propose different date</w:t>
      </w:r>
      <w:r w:rsidR="00B35184">
        <w:t>: Middle Ages begin, with Constantine (306–337)</w:t>
      </w:r>
      <w:r w:rsidR="00392D97">
        <w:t>, while Catholics assigned a later date roughly the 11</w:t>
      </w:r>
      <w:r w:rsidR="00392D97" w:rsidRPr="00B35184">
        <w:rPr>
          <w:vertAlign w:val="superscript"/>
        </w:rPr>
        <w:t>th</w:t>
      </w:r>
      <w:r w:rsidR="00392D97">
        <w:t xml:space="preserve"> century )</w:t>
      </w:r>
    </w:p>
    <w:p w:rsidR="00B35184" w:rsidRDefault="00B35184" w:rsidP="00B35184">
      <w:pPr>
        <w:pStyle w:val="ListParagraph"/>
        <w:numPr>
          <w:ilvl w:val="0"/>
          <w:numId w:val="1"/>
        </w:numPr>
        <w:tabs>
          <w:tab w:val="left" w:pos="3510"/>
        </w:tabs>
      </w:pPr>
      <w:r>
        <w:t>Christian period traditionally called “the age of the fathers”</w:t>
      </w:r>
    </w:p>
    <w:p w:rsidR="00B35184" w:rsidRPr="00B35184" w:rsidRDefault="00B35184" w:rsidP="00B35184">
      <w:pPr>
        <w:tabs>
          <w:tab w:val="left" w:pos="3510"/>
        </w:tabs>
        <w:rPr>
          <w:b/>
          <w:u w:val="single"/>
        </w:rPr>
      </w:pPr>
      <w:r w:rsidRPr="00B35184">
        <w:rPr>
          <w:b/>
          <w:u w:val="single"/>
        </w:rPr>
        <w:t>Christianity</w:t>
      </w:r>
    </w:p>
    <w:p w:rsidR="00B35184" w:rsidRDefault="00B35184" w:rsidP="00B35184">
      <w:pPr>
        <w:tabs>
          <w:tab w:val="left" w:pos="3510"/>
        </w:tabs>
        <w:ind w:left="360"/>
        <w:rPr>
          <w:rFonts w:cs="Arial"/>
          <w:color w:val="FF0000"/>
          <w:shd w:val="clear" w:color="auto" w:fill="FFFFFF"/>
        </w:rPr>
      </w:pPr>
      <w:r w:rsidRPr="00B35184">
        <w:rPr>
          <w:rFonts w:cs="Arial"/>
          <w:b/>
          <w:color w:val="FF0000"/>
        </w:rPr>
        <w:t>Tenets (</w:t>
      </w:r>
      <w:r w:rsidRPr="00B35184">
        <w:rPr>
          <w:rFonts w:cs="Arial"/>
          <w:color w:val="FF0000"/>
          <w:shd w:val="clear" w:color="auto" w:fill="FFFFFF"/>
        </w:rPr>
        <w:t>A principle or belief, esp. one of the main principles of a religion or philosophy)</w:t>
      </w:r>
    </w:p>
    <w:p w:rsidR="00B35184" w:rsidRDefault="00B35184" w:rsidP="00B35184">
      <w:pPr>
        <w:tabs>
          <w:tab w:val="left" w:pos="3510"/>
        </w:tabs>
        <w:rPr>
          <w:rFonts w:cs="Arial"/>
          <w:b/>
          <w:u w:val="single"/>
          <w:shd w:val="clear" w:color="auto" w:fill="FFFFFF"/>
        </w:rPr>
      </w:pPr>
      <w:proofErr w:type="spellStart"/>
      <w:r w:rsidRPr="00B35184">
        <w:rPr>
          <w:rFonts w:cs="Arial"/>
          <w:b/>
          <w:u w:val="single"/>
          <w:shd w:val="clear" w:color="auto" w:fill="FFFFFF"/>
        </w:rPr>
        <w:t>Patristic</w:t>
      </w:r>
      <w:r>
        <w:rPr>
          <w:rFonts w:cs="Arial"/>
          <w:b/>
          <w:u w:val="single"/>
          <w:shd w:val="clear" w:color="auto" w:fill="FFFFFF"/>
        </w:rPr>
        <w:t>s</w:t>
      </w:r>
      <w:proofErr w:type="spellEnd"/>
      <w:r w:rsidRPr="00B35184">
        <w:rPr>
          <w:rFonts w:cs="Arial"/>
          <w:b/>
          <w:u w:val="single"/>
          <w:shd w:val="clear" w:color="auto" w:fill="FFFFFF"/>
        </w:rPr>
        <w:t xml:space="preserve"> as a Field of Research and Study</w:t>
      </w:r>
    </w:p>
    <w:p w:rsidR="00B35184" w:rsidRDefault="000742A8" w:rsidP="00B35184">
      <w:pPr>
        <w:tabs>
          <w:tab w:val="left" w:pos="1843"/>
          <w:tab w:val="left" w:pos="3510"/>
        </w:tabs>
        <w:rPr>
          <w:rFonts w:cs="Arial"/>
          <w:b/>
          <w:color w:val="FF0000"/>
          <w:shd w:val="clear" w:color="auto" w:fill="FFFFFF"/>
        </w:rPr>
      </w:pPr>
      <w:r>
        <w:rPr>
          <w:rFonts w:cs="Arial"/>
          <w:b/>
          <w:shd w:val="clear" w:color="auto" w:fill="FFFFFF"/>
        </w:rPr>
        <w:t xml:space="preserve">      </w:t>
      </w:r>
      <w:r w:rsidR="00B35184">
        <w:rPr>
          <w:rFonts w:cs="Arial"/>
          <w:b/>
          <w:color w:val="FF0000"/>
          <w:shd w:val="clear" w:color="auto" w:fill="FFFFFF"/>
        </w:rPr>
        <w:t xml:space="preserve">Patristic </w:t>
      </w:r>
      <w:r w:rsidR="00B35184" w:rsidRPr="00B35184">
        <w:rPr>
          <w:rFonts w:cs="Arial"/>
          <w:color w:val="FF0000"/>
          <w:shd w:val="clear" w:color="auto" w:fill="FFFFFF"/>
        </w:rPr>
        <w:t xml:space="preserve">The branch of Christian theology that deals with the lives, writings, and doctrines of the </w:t>
      </w:r>
      <w:r>
        <w:rPr>
          <w:rFonts w:cs="Arial"/>
          <w:color w:val="FF0000"/>
          <w:shd w:val="clear" w:color="auto" w:fill="FFFFFF"/>
        </w:rPr>
        <w:t xml:space="preserve">       </w:t>
      </w:r>
      <w:r w:rsidR="00B35184" w:rsidRPr="00B35184">
        <w:rPr>
          <w:rFonts w:cs="Arial"/>
          <w:color w:val="FF0000"/>
          <w:shd w:val="clear" w:color="auto" w:fill="FFFFFF"/>
        </w:rPr>
        <w:t>early Christian theologians.</w:t>
      </w:r>
      <w:r w:rsidR="00B35184" w:rsidRPr="00B35184">
        <w:rPr>
          <w:rFonts w:cs="Arial"/>
          <w:b/>
          <w:color w:val="FF0000"/>
          <w:shd w:val="clear" w:color="auto" w:fill="FFFFFF"/>
        </w:rPr>
        <w:t xml:space="preserve"> </w:t>
      </w:r>
    </w:p>
    <w:p w:rsidR="000742A8" w:rsidRPr="000742A8" w:rsidRDefault="000742A8" w:rsidP="00B35184">
      <w:pPr>
        <w:tabs>
          <w:tab w:val="left" w:pos="1843"/>
          <w:tab w:val="left" w:pos="3510"/>
        </w:tabs>
        <w:rPr>
          <w:rFonts w:cs="Arial"/>
          <w:u w:val="single"/>
          <w:shd w:val="clear" w:color="auto" w:fill="FFFFFF"/>
        </w:rPr>
      </w:pPr>
      <w:r w:rsidRPr="000742A8">
        <w:rPr>
          <w:rFonts w:cs="Arial"/>
          <w:b/>
          <w:u w:val="single"/>
          <w:shd w:val="clear" w:color="auto" w:fill="FFFFFF"/>
        </w:rPr>
        <w:t>Sources and Tools</w:t>
      </w:r>
    </w:p>
    <w:p w:rsidR="00225EC1" w:rsidRPr="000742A8" w:rsidRDefault="000742A8" w:rsidP="000742A8">
      <w:pPr>
        <w:pStyle w:val="ListParagraph"/>
        <w:numPr>
          <w:ilvl w:val="0"/>
          <w:numId w:val="5"/>
        </w:numPr>
      </w:pPr>
      <w:r w:rsidRPr="000742A8">
        <w:t>Previous centuries were often satisfied with written testimonies and built their reconstructions of the past almost exclusively on textual remains</w:t>
      </w:r>
    </w:p>
    <w:p w:rsidR="003F753D" w:rsidRDefault="000742A8" w:rsidP="003F753D">
      <w:pPr>
        <w:pStyle w:val="ListParagraph"/>
        <w:numPr>
          <w:ilvl w:val="0"/>
          <w:numId w:val="5"/>
        </w:numPr>
      </w:pPr>
      <w:r>
        <w:t>As for today archeology the wealth of material remains, epigraphy and papyrology, iconography and artistic representations are</w:t>
      </w:r>
      <w:r w:rsidR="003F753D">
        <w:t xml:space="preserve"> </w:t>
      </w:r>
      <w:r>
        <w:t>some of the main ways unpublished or fresh information is put at our</w:t>
      </w:r>
      <w:r w:rsidR="003F753D">
        <w:t xml:space="preserve"> </w:t>
      </w:r>
      <w:r>
        <w:t xml:space="preserve">disposal. </w:t>
      </w:r>
    </w:p>
    <w:p w:rsidR="00225EC1" w:rsidRDefault="000742A8" w:rsidP="003F753D">
      <w:pPr>
        <w:pStyle w:val="ListParagraph"/>
        <w:numPr>
          <w:ilvl w:val="0"/>
          <w:numId w:val="5"/>
        </w:numPr>
      </w:pPr>
      <w:r>
        <w:t>Anthropology and socio</w:t>
      </w:r>
      <w:r w:rsidR="003F753D">
        <w:t xml:space="preserve">logy have also provided fruitful </w:t>
      </w:r>
      <w:r>
        <w:t>hypotheses and conceptual tools often yielding fresh understanding of</w:t>
      </w:r>
      <w:r w:rsidR="003F753D">
        <w:t xml:space="preserve"> </w:t>
      </w:r>
      <w:r>
        <w:t>the historical and intellectual processes.</w:t>
      </w:r>
    </w:p>
    <w:p w:rsidR="003F753D" w:rsidRDefault="003F753D" w:rsidP="003F753D">
      <w:pPr>
        <w:pStyle w:val="ListParagraph"/>
        <w:numPr>
          <w:ilvl w:val="0"/>
          <w:numId w:val="5"/>
        </w:numPr>
      </w:pPr>
      <w:r>
        <w:t>Reconstruction and interpretation of the past/ new critical assessment.</w:t>
      </w:r>
    </w:p>
    <w:p w:rsidR="003F753D" w:rsidRDefault="003F753D" w:rsidP="003F753D">
      <w:pPr>
        <w:rPr>
          <w:b/>
          <w:u w:val="single"/>
        </w:rPr>
      </w:pPr>
      <w:r w:rsidRPr="003F753D">
        <w:rPr>
          <w:b/>
          <w:u w:val="single"/>
        </w:rPr>
        <w:t xml:space="preserve">Topicality of </w:t>
      </w:r>
      <w:proofErr w:type="spellStart"/>
      <w:r w:rsidRPr="003F753D">
        <w:rPr>
          <w:b/>
          <w:u w:val="single"/>
        </w:rPr>
        <w:t>Patrisic</w:t>
      </w:r>
      <w:proofErr w:type="spellEnd"/>
      <w:r w:rsidRPr="003F753D">
        <w:rPr>
          <w:b/>
          <w:u w:val="single"/>
        </w:rPr>
        <w:t xml:space="preserve"> Studies</w:t>
      </w:r>
    </w:p>
    <w:p w:rsidR="00017439" w:rsidRPr="00017439" w:rsidRDefault="00017439" w:rsidP="003F753D">
      <w:pPr>
        <w:rPr>
          <w:b/>
          <w:color w:val="FF0000"/>
        </w:rPr>
      </w:pPr>
      <w:r w:rsidRPr="00017439">
        <w:rPr>
          <w:b/>
          <w:color w:val="FF0000"/>
        </w:rPr>
        <w:t xml:space="preserve">Dogma </w:t>
      </w:r>
      <w:r w:rsidRPr="00017439">
        <w:rPr>
          <w:rFonts w:cs="Arial"/>
          <w:color w:val="FF0000"/>
          <w:shd w:val="clear" w:color="auto" w:fill="FFFFFF"/>
        </w:rPr>
        <w:t xml:space="preserve">A principle or set of principles </w:t>
      </w:r>
      <w:proofErr w:type="gramStart"/>
      <w:r w:rsidRPr="00017439">
        <w:rPr>
          <w:rFonts w:cs="Arial"/>
          <w:color w:val="FF0000"/>
          <w:shd w:val="clear" w:color="auto" w:fill="FFFFFF"/>
        </w:rPr>
        <w:t>laid</w:t>
      </w:r>
      <w:proofErr w:type="gramEnd"/>
      <w:r w:rsidRPr="00017439">
        <w:rPr>
          <w:rFonts w:cs="Arial"/>
          <w:color w:val="FF0000"/>
          <w:shd w:val="clear" w:color="auto" w:fill="FFFFFF"/>
        </w:rPr>
        <w:t xml:space="preserve"> down by an authority as incontrovertibly true</w:t>
      </w:r>
    </w:p>
    <w:p w:rsidR="003F753D" w:rsidRDefault="00017439" w:rsidP="003F753D">
      <w:pPr>
        <w:pStyle w:val="ListParagraph"/>
        <w:numPr>
          <w:ilvl w:val="0"/>
          <w:numId w:val="6"/>
        </w:numPr>
      </w:pPr>
      <w:r w:rsidRPr="00017439">
        <w:t xml:space="preserve">Patristic studies blossomed </w:t>
      </w:r>
      <w:r>
        <w:t xml:space="preserve">in the past two centuries for the double cause: </w:t>
      </w:r>
    </w:p>
    <w:p w:rsidR="00017439" w:rsidRDefault="00017439" w:rsidP="00017439">
      <w:pPr>
        <w:pStyle w:val="ListParagraph"/>
        <w:numPr>
          <w:ilvl w:val="0"/>
          <w:numId w:val="7"/>
        </w:numPr>
      </w:pPr>
      <w:r>
        <w:t>First, the spirit of criticism that characterized the eighteenth century Enlightenment, especially in its German branch, could not bypass the need for assessing the extent</w:t>
      </w:r>
    </w:p>
    <w:p w:rsidR="00017439" w:rsidRDefault="00017439" w:rsidP="00017439">
      <w:pPr>
        <w:pStyle w:val="ListParagraph"/>
        <w:ind w:left="1440"/>
      </w:pPr>
      <w:proofErr w:type="gramStart"/>
      <w:r>
        <w:t>to</w:t>
      </w:r>
      <w:proofErr w:type="gramEnd"/>
      <w:r>
        <w:t xml:space="preserve"> which contemporary Christianity had developed away from its original features. </w:t>
      </w:r>
    </w:p>
    <w:p w:rsidR="00017439" w:rsidRDefault="00017439" w:rsidP="00017439">
      <w:pPr>
        <w:pStyle w:val="ListParagraph"/>
        <w:numPr>
          <w:ilvl w:val="0"/>
          <w:numId w:val="6"/>
        </w:numPr>
      </w:pPr>
      <w:r>
        <w:t xml:space="preserve">G. E. Lessing (1729–1781) and A. von </w:t>
      </w:r>
      <w:proofErr w:type="spellStart"/>
      <w:r>
        <w:t>Harnack</w:t>
      </w:r>
      <w:proofErr w:type="spellEnd"/>
      <w:r>
        <w:t xml:space="preserve"> (1851–1930) mark two important moments in the enterprise of critique of dogma.</w:t>
      </w:r>
    </w:p>
    <w:p w:rsidR="00017439" w:rsidRDefault="00017439" w:rsidP="00017439">
      <w:pPr>
        <w:pStyle w:val="ListParagraph"/>
        <w:numPr>
          <w:ilvl w:val="0"/>
          <w:numId w:val="6"/>
        </w:numPr>
      </w:pPr>
      <w:r>
        <w:lastRenderedPageBreak/>
        <w:t xml:space="preserve">Second, </w:t>
      </w:r>
      <w:r w:rsidRPr="00017439">
        <w:t>F. Hegel (1770–1831) and F. C. Bauer</w:t>
      </w:r>
      <w:r>
        <w:t>, (1792–1860), provided the definitive driving force in the development of patristic studies.</w:t>
      </w:r>
    </w:p>
    <w:p w:rsidR="00CD0C1F" w:rsidRDefault="00CD0C1F" w:rsidP="00CD0C1F">
      <w:pPr>
        <w:pStyle w:val="ListParagraph"/>
        <w:numPr>
          <w:ilvl w:val="0"/>
          <w:numId w:val="6"/>
        </w:numPr>
      </w:pPr>
      <w:r>
        <w:t>It became clear that the historical perspective was now essential to an understanding of the present. The study of ancient sources was seen as offering vital elements in the search for Christian identity in the contemporary situation</w:t>
      </w:r>
    </w:p>
    <w:p w:rsidR="00CD0C1F" w:rsidRDefault="00CD0C1F" w:rsidP="00CD0C1F">
      <w:pPr>
        <w:pStyle w:val="ListParagraph"/>
        <w:numPr>
          <w:ilvl w:val="0"/>
          <w:numId w:val="6"/>
        </w:numPr>
      </w:pPr>
      <w:proofErr w:type="gramStart"/>
      <w:r>
        <w:t>the</w:t>
      </w:r>
      <w:proofErr w:type="gramEnd"/>
      <w:r>
        <w:t xml:space="preserve"> proximity of the fathers to the origins of the Christian movement gives them a unique worth as regards the interpretation and understanding of Christianity . The current interest in beginnings finds in their writings a privileged voice of authenticity, most helpful in the task of retrieving a concept of Christianity that antedates the strictures of European cultural self-importance.</w:t>
      </w:r>
    </w:p>
    <w:p w:rsidR="00CD0C1F" w:rsidRPr="00CD0C1F" w:rsidRDefault="00CD0C1F" w:rsidP="00CD0C1F">
      <w:pPr>
        <w:ind w:left="360"/>
        <w:rPr>
          <w:b/>
          <w:u w:val="single"/>
        </w:rPr>
      </w:pPr>
      <w:r w:rsidRPr="00CD0C1F">
        <w:rPr>
          <w:b/>
          <w:u w:val="single"/>
        </w:rPr>
        <w:t>Trends in Recent Research</w:t>
      </w:r>
    </w:p>
    <w:p w:rsidR="00CD0C1F" w:rsidRDefault="00CD0C1F" w:rsidP="00CD0C1F">
      <w:pPr>
        <w:ind w:left="360"/>
        <w:rPr>
          <w:rStyle w:val="apple-converted-space"/>
          <w:rFonts w:ascii="Arial" w:hAnsi="Arial" w:cs="Arial"/>
          <w:color w:val="FF0000"/>
          <w:sz w:val="20"/>
          <w:szCs w:val="20"/>
          <w:shd w:val="clear" w:color="auto" w:fill="FFFFFF"/>
        </w:rPr>
      </w:pPr>
      <w:r w:rsidRPr="00CD0C1F">
        <w:rPr>
          <w:rFonts w:ascii="Arial" w:hAnsi="Arial" w:cs="Arial"/>
          <w:b/>
          <w:bCs/>
          <w:color w:val="FF0000"/>
          <w:sz w:val="20"/>
          <w:szCs w:val="20"/>
          <w:shd w:val="clear" w:color="auto" w:fill="FFFFFF"/>
        </w:rPr>
        <w:t>Late Antiquity</w:t>
      </w:r>
      <w:r w:rsidRPr="00CD0C1F">
        <w:rPr>
          <w:rStyle w:val="apple-converted-space"/>
          <w:rFonts w:ascii="Arial" w:hAnsi="Arial" w:cs="Arial"/>
          <w:color w:val="FF0000"/>
          <w:sz w:val="20"/>
          <w:szCs w:val="20"/>
          <w:shd w:val="clear" w:color="auto" w:fill="FFFFFF"/>
        </w:rPr>
        <w:t> </w:t>
      </w:r>
      <w:r w:rsidRPr="00CD0C1F">
        <w:rPr>
          <w:rFonts w:ascii="Arial" w:hAnsi="Arial" w:cs="Arial"/>
          <w:color w:val="FF0000"/>
          <w:sz w:val="20"/>
          <w:szCs w:val="20"/>
          <w:shd w:val="clear" w:color="auto" w:fill="FFFFFF"/>
        </w:rPr>
        <w:t>is a</w:t>
      </w:r>
      <w:r w:rsidRPr="00CD0C1F">
        <w:rPr>
          <w:rStyle w:val="apple-converted-space"/>
          <w:rFonts w:ascii="Arial" w:hAnsi="Arial" w:cs="Arial"/>
          <w:color w:val="FF0000"/>
          <w:sz w:val="20"/>
          <w:szCs w:val="20"/>
          <w:shd w:val="clear" w:color="auto" w:fill="FFFFFF"/>
        </w:rPr>
        <w:t> </w:t>
      </w:r>
      <w:hyperlink r:id="rId6" w:tooltip="Periodization" w:history="1">
        <w:r w:rsidRPr="00CD0C1F">
          <w:rPr>
            <w:rStyle w:val="Hyperlink"/>
            <w:rFonts w:ascii="Arial" w:hAnsi="Arial" w:cs="Arial"/>
            <w:color w:val="FF0000"/>
            <w:sz w:val="20"/>
            <w:szCs w:val="20"/>
            <w:shd w:val="clear" w:color="auto" w:fill="FFFFFF"/>
          </w:rPr>
          <w:t>periodization</w:t>
        </w:r>
      </w:hyperlink>
      <w:r w:rsidRPr="00CD0C1F">
        <w:rPr>
          <w:rStyle w:val="apple-converted-space"/>
          <w:rFonts w:ascii="Arial" w:hAnsi="Arial" w:cs="Arial"/>
          <w:color w:val="FF0000"/>
          <w:sz w:val="20"/>
          <w:szCs w:val="20"/>
          <w:shd w:val="clear" w:color="auto" w:fill="FFFFFF"/>
        </w:rPr>
        <w:t> </w:t>
      </w:r>
      <w:r w:rsidRPr="00CD0C1F">
        <w:rPr>
          <w:rFonts w:ascii="Arial" w:hAnsi="Arial" w:cs="Arial"/>
          <w:color w:val="FF0000"/>
          <w:sz w:val="20"/>
          <w:szCs w:val="20"/>
          <w:shd w:val="clear" w:color="auto" w:fill="FFFFFF"/>
        </w:rPr>
        <w:t>used by historians to describe the time of transition from</w:t>
      </w:r>
      <w:r w:rsidRPr="00CD0C1F">
        <w:rPr>
          <w:rStyle w:val="apple-converted-space"/>
          <w:rFonts w:ascii="Arial" w:hAnsi="Arial" w:cs="Arial"/>
          <w:color w:val="FF0000"/>
          <w:sz w:val="20"/>
          <w:szCs w:val="20"/>
          <w:shd w:val="clear" w:color="auto" w:fill="FFFFFF"/>
        </w:rPr>
        <w:t> </w:t>
      </w:r>
      <w:hyperlink r:id="rId7" w:tooltip="Classical antiquity" w:history="1">
        <w:r w:rsidRPr="00CD0C1F">
          <w:rPr>
            <w:rStyle w:val="Hyperlink"/>
            <w:rFonts w:ascii="Arial" w:hAnsi="Arial" w:cs="Arial"/>
            <w:color w:val="FF0000"/>
            <w:sz w:val="20"/>
            <w:szCs w:val="20"/>
            <w:shd w:val="clear" w:color="auto" w:fill="FFFFFF"/>
          </w:rPr>
          <w:t>Classical Antiquity</w:t>
        </w:r>
      </w:hyperlink>
      <w:r w:rsidRPr="00CD0C1F">
        <w:rPr>
          <w:rStyle w:val="apple-converted-space"/>
          <w:rFonts w:ascii="Arial" w:hAnsi="Arial" w:cs="Arial"/>
          <w:color w:val="FF0000"/>
          <w:sz w:val="20"/>
          <w:szCs w:val="20"/>
          <w:shd w:val="clear" w:color="auto" w:fill="FFFFFF"/>
        </w:rPr>
        <w:t> </w:t>
      </w:r>
      <w:r w:rsidRPr="00CD0C1F">
        <w:rPr>
          <w:rFonts w:ascii="Arial" w:hAnsi="Arial" w:cs="Arial"/>
          <w:color w:val="FF0000"/>
          <w:sz w:val="20"/>
          <w:szCs w:val="20"/>
          <w:shd w:val="clear" w:color="auto" w:fill="FFFFFF"/>
        </w:rPr>
        <w:t>to the</w:t>
      </w:r>
      <w:r w:rsidRPr="00CD0C1F">
        <w:rPr>
          <w:rStyle w:val="apple-converted-space"/>
          <w:rFonts w:ascii="Arial" w:hAnsi="Arial" w:cs="Arial"/>
          <w:color w:val="FF0000"/>
          <w:sz w:val="20"/>
          <w:szCs w:val="20"/>
          <w:shd w:val="clear" w:color="auto" w:fill="FFFFFF"/>
        </w:rPr>
        <w:t> </w:t>
      </w:r>
      <w:hyperlink r:id="rId8" w:tooltip="Middle Ages" w:history="1">
        <w:r w:rsidRPr="00CD0C1F">
          <w:rPr>
            <w:rStyle w:val="Hyperlink"/>
            <w:rFonts w:ascii="Arial" w:hAnsi="Arial" w:cs="Arial"/>
            <w:color w:val="FF0000"/>
            <w:sz w:val="20"/>
            <w:szCs w:val="20"/>
            <w:shd w:val="clear" w:color="auto" w:fill="FFFFFF"/>
          </w:rPr>
          <w:t>Middle Ages</w:t>
        </w:r>
      </w:hyperlink>
      <w:r w:rsidRPr="00CD0C1F">
        <w:rPr>
          <w:rFonts w:ascii="Arial" w:hAnsi="Arial" w:cs="Arial"/>
          <w:color w:val="FF0000"/>
          <w:sz w:val="20"/>
          <w:szCs w:val="20"/>
          <w:shd w:val="clear" w:color="auto" w:fill="FFFFFF"/>
        </w:rPr>
        <w:t>, in both mainland</w:t>
      </w:r>
      <w:r w:rsidRPr="00CD0C1F">
        <w:rPr>
          <w:rStyle w:val="apple-converted-space"/>
          <w:rFonts w:ascii="Arial" w:hAnsi="Arial" w:cs="Arial"/>
          <w:color w:val="FF0000"/>
          <w:sz w:val="20"/>
          <w:szCs w:val="20"/>
          <w:shd w:val="clear" w:color="auto" w:fill="FFFFFF"/>
        </w:rPr>
        <w:t> </w:t>
      </w:r>
      <w:hyperlink r:id="rId9" w:tooltip="Europe" w:history="1">
        <w:r w:rsidRPr="00CD0C1F">
          <w:rPr>
            <w:rStyle w:val="Hyperlink"/>
            <w:rFonts w:ascii="Arial" w:hAnsi="Arial" w:cs="Arial"/>
            <w:color w:val="FF0000"/>
            <w:sz w:val="20"/>
            <w:szCs w:val="20"/>
            <w:shd w:val="clear" w:color="auto" w:fill="FFFFFF"/>
          </w:rPr>
          <w:t>Europe</w:t>
        </w:r>
      </w:hyperlink>
      <w:r w:rsidRPr="00CD0C1F">
        <w:rPr>
          <w:rStyle w:val="apple-converted-space"/>
          <w:rFonts w:ascii="Arial" w:hAnsi="Arial" w:cs="Arial"/>
          <w:color w:val="FF0000"/>
          <w:sz w:val="20"/>
          <w:szCs w:val="20"/>
          <w:shd w:val="clear" w:color="auto" w:fill="FFFFFF"/>
        </w:rPr>
        <w:t> </w:t>
      </w:r>
      <w:r w:rsidRPr="00CD0C1F">
        <w:rPr>
          <w:rFonts w:ascii="Arial" w:hAnsi="Arial" w:cs="Arial"/>
          <w:color w:val="FF0000"/>
          <w:sz w:val="20"/>
          <w:szCs w:val="20"/>
          <w:shd w:val="clear" w:color="auto" w:fill="FFFFFF"/>
        </w:rPr>
        <w:t>and the</w:t>
      </w:r>
      <w:r w:rsidRPr="00CD0C1F">
        <w:rPr>
          <w:rStyle w:val="apple-converted-space"/>
          <w:rFonts w:ascii="Arial" w:hAnsi="Arial" w:cs="Arial"/>
          <w:color w:val="FF0000"/>
          <w:sz w:val="20"/>
          <w:szCs w:val="20"/>
          <w:shd w:val="clear" w:color="auto" w:fill="FFFFFF"/>
        </w:rPr>
        <w:t> </w:t>
      </w:r>
      <w:proofErr w:type="spellStart"/>
      <w:r w:rsidRPr="00CD0C1F">
        <w:rPr>
          <w:color w:val="FF0000"/>
        </w:rPr>
        <w:fldChar w:fldCharType="begin"/>
      </w:r>
      <w:r w:rsidRPr="00CD0C1F">
        <w:rPr>
          <w:color w:val="FF0000"/>
        </w:rPr>
        <w:instrText xml:space="preserve"> HYPERLINK "http://en.wikipedia.org/wiki/Mediterranean" \o "Mediterranean" </w:instrText>
      </w:r>
      <w:r w:rsidRPr="00CD0C1F">
        <w:rPr>
          <w:color w:val="FF0000"/>
        </w:rPr>
        <w:fldChar w:fldCharType="separate"/>
      </w:r>
      <w:r w:rsidRPr="00CD0C1F">
        <w:rPr>
          <w:rStyle w:val="Hyperlink"/>
          <w:rFonts w:ascii="Arial" w:hAnsi="Arial" w:cs="Arial"/>
          <w:color w:val="FF0000"/>
          <w:sz w:val="20"/>
          <w:szCs w:val="20"/>
          <w:shd w:val="clear" w:color="auto" w:fill="FFFFFF"/>
        </w:rPr>
        <w:t>Mediterranean</w:t>
      </w:r>
      <w:r w:rsidRPr="00CD0C1F">
        <w:rPr>
          <w:color w:val="FF0000"/>
        </w:rPr>
        <w:fldChar w:fldCharType="end"/>
      </w:r>
      <w:r w:rsidRPr="00CD0C1F">
        <w:rPr>
          <w:rFonts w:ascii="Arial" w:hAnsi="Arial" w:cs="Arial"/>
          <w:color w:val="FF0000"/>
          <w:sz w:val="20"/>
          <w:szCs w:val="20"/>
          <w:shd w:val="clear" w:color="auto" w:fill="FFFFFF"/>
        </w:rPr>
        <w:t>world</w:t>
      </w:r>
      <w:proofErr w:type="spellEnd"/>
      <w:r w:rsidRPr="00CD0C1F">
        <w:rPr>
          <w:rFonts w:ascii="Arial" w:hAnsi="Arial" w:cs="Arial"/>
          <w:color w:val="FF0000"/>
          <w:sz w:val="20"/>
          <w:szCs w:val="20"/>
          <w:shd w:val="clear" w:color="auto" w:fill="FFFFFF"/>
        </w:rPr>
        <w:t>.</w:t>
      </w:r>
      <w:r w:rsidRPr="00CD0C1F">
        <w:rPr>
          <w:rStyle w:val="apple-converted-space"/>
          <w:rFonts w:ascii="Arial" w:hAnsi="Arial" w:cs="Arial"/>
          <w:color w:val="FF0000"/>
          <w:sz w:val="20"/>
          <w:szCs w:val="20"/>
          <w:shd w:val="clear" w:color="auto" w:fill="FFFFFF"/>
        </w:rPr>
        <w:t> </w:t>
      </w:r>
    </w:p>
    <w:p w:rsidR="00CD0C1F" w:rsidRPr="00CD0C1F" w:rsidRDefault="00CD0C1F" w:rsidP="00CD0C1F">
      <w:pPr>
        <w:pStyle w:val="ListParagraph"/>
        <w:numPr>
          <w:ilvl w:val="0"/>
          <w:numId w:val="9"/>
        </w:numPr>
        <w:rPr>
          <w:rFonts w:cs="Arial"/>
          <w:shd w:val="clear" w:color="auto" w:fill="FFFFFF"/>
        </w:rPr>
      </w:pPr>
      <w:r w:rsidRPr="00CD0C1F">
        <w:rPr>
          <w:rFonts w:cs="Arial"/>
          <w:shd w:val="clear" w:color="auto" w:fill="FFFFFF"/>
        </w:rPr>
        <w:t>Characterizes much of the recent work in the study of Christianity in Late Antiquity</w:t>
      </w:r>
    </w:p>
    <w:p w:rsidR="00CD0C1F" w:rsidRDefault="00CD0C1F" w:rsidP="00CD0C1F">
      <w:pPr>
        <w:pStyle w:val="ListParagraph"/>
        <w:numPr>
          <w:ilvl w:val="0"/>
          <w:numId w:val="8"/>
        </w:numPr>
      </w:pPr>
      <w:r w:rsidRPr="00CD0C1F">
        <w:t xml:space="preserve">A second trend characterizes recent work in </w:t>
      </w:r>
      <w:proofErr w:type="spellStart"/>
      <w:r w:rsidRPr="00CD0C1F">
        <w:t>patristics</w:t>
      </w:r>
      <w:proofErr w:type="spellEnd"/>
      <w:r w:rsidRPr="00CD0C1F">
        <w:t>: that work is performed in the broader context of the history of religions</w:t>
      </w:r>
    </w:p>
    <w:p w:rsidR="00CD0C1F" w:rsidRDefault="00CD0C1F" w:rsidP="00DB62C7">
      <w:pPr>
        <w:pStyle w:val="ListParagraph"/>
        <w:numPr>
          <w:ilvl w:val="0"/>
          <w:numId w:val="7"/>
        </w:numPr>
      </w:pPr>
      <w:r>
        <w:t>Jews and Christians the early fourth century marked the definitive</w:t>
      </w:r>
      <w:r w:rsidR="00DB62C7">
        <w:t xml:space="preserve"> </w:t>
      </w:r>
      <w:r>
        <w:t>split between the two religious traditions; the march toward that split</w:t>
      </w:r>
      <w:r w:rsidR="00DB62C7">
        <w:t xml:space="preserve"> </w:t>
      </w:r>
      <w:r>
        <w:t>was documented in patristic literature</w:t>
      </w:r>
    </w:p>
    <w:p w:rsidR="00DB62C7" w:rsidRDefault="00DB62C7" w:rsidP="00DB62C7">
      <w:pPr>
        <w:pStyle w:val="ListParagraph"/>
        <w:numPr>
          <w:ilvl w:val="0"/>
          <w:numId w:val="8"/>
        </w:numPr>
      </w:pPr>
      <w:r>
        <w:t>This wider context for the study of patristic literature is aided by a third trend, one that might claim the place of honor in the eyes of an outside observer: Current work is characterized by a direct, resolute, and extensive dealing with sources.</w:t>
      </w:r>
    </w:p>
    <w:p w:rsidR="00DB62C7" w:rsidRPr="00DB62C7" w:rsidRDefault="00DB62C7" w:rsidP="00DB62C7">
      <w:pPr>
        <w:rPr>
          <w:b/>
          <w:u w:val="single"/>
        </w:rPr>
      </w:pPr>
    </w:p>
    <w:sectPr w:rsidR="00DB62C7" w:rsidRPr="00DB62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940B0"/>
    <w:multiLevelType w:val="hybridMultilevel"/>
    <w:tmpl w:val="46BCF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B869C9"/>
    <w:multiLevelType w:val="hybridMultilevel"/>
    <w:tmpl w:val="2C726A8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67E4E2B"/>
    <w:multiLevelType w:val="hybridMultilevel"/>
    <w:tmpl w:val="B43E282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AA0452F"/>
    <w:multiLevelType w:val="hybridMultilevel"/>
    <w:tmpl w:val="C3B68E6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0D6E78F2"/>
    <w:multiLevelType w:val="hybridMultilevel"/>
    <w:tmpl w:val="68D8A1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893AEE"/>
    <w:multiLevelType w:val="hybridMultilevel"/>
    <w:tmpl w:val="ECDE7D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21DE70C7"/>
    <w:multiLevelType w:val="hybridMultilevel"/>
    <w:tmpl w:val="AC442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32E65EB"/>
    <w:multiLevelType w:val="hybridMultilevel"/>
    <w:tmpl w:val="DDE40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E6E0906"/>
    <w:multiLevelType w:val="hybridMultilevel"/>
    <w:tmpl w:val="DA987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8"/>
  </w:num>
  <w:num w:numId="5">
    <w:abstractNumId w:val="0"/>
  </w:num>
  <w:num w:numId="6">
    <w:abstractNumId w:val="7"/>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EC1"/>
    <w:rsid w:val="00017439"/>
    <w:rsid w:val="000742A8"/>
    <w:rsid w:val="001C747E"/>
    <w:rsid w:val="00225EC1"/>
    <w:rsid w:val="00392D97"/>
    <w:rsid w:val="003F753D"/>
    <w:rsid w:val="007742BC"/>
    <w:rsid w:val="00811FA1"/>
    <w:rsid w:val="00B35184"/>
    <w:rsid w:val="00CD0C1F"/>
    <w:rsid w:val="00DB62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EC1"/>
    <w:pPr>
      <w:ind w:left="720"/>
      <w:contextualSpacing/>
    </w:pPr>
  </w:style>
  <w:style w:type="character" w:customStyle="1" w:styleId="apple-converted-space">
    <w:name w:val="apple-converted-space"/>
    <w:basedOn w:val="DefaultParagraphFont"/>
    <w:rsid w:val="00CD0C1F"/>
  </w:style>
  <w:style w:type="character" w:styleId="Hyperlink">
    <w:name w:val="Hyperlink"/>
    <w:basedOn w:val="DefaultParagraphFont"/>
    <w:uiPriority w:val="99"/>
    <w:semiHidden/>
    <w:unhideWhenUsed/>
    <w:rsid w:val="00CD0C1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EC1"/>
    <w:pPr>
      <w:ind w:left="720"/>
      <w:contextualSpacing/>
    </w:pPr>
  </w:style>
  <w:style w:type="character" w:customStyle="1" w:styleId="apple-converted-space">
    <w:name w:val="apple-converted-space"/>
    <w:basedOn w:val="DefaultParagraphFont"/>
    <w:rsid w:val="00CD0C1F"/>
  </w:style>
  <w:style w:type="character" w:styleId="Hyperlink">
    <w:name w:val="Hyperlink"/>
    <w:basedOn w:val="DefaultParagraphFont"/>
    <w:uiPriority w:val="99"/>
    <w:semiHidden/>
    <w:unhideWhenUsed/>
    <w:rsid w:val="00CD0C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Middle_Ages" TargetMode="External"/><Relationship Id="rId3" Type="http://schemas.microsoft.com/office/2007/relationships/stylesWithEffects" Target="stylesWithEffects.xml"/><Relationship Id="rId7" Type="http://schemas.openxmlformats.org/officeDocument/2006/relationships/hyperlink" Target="http://en.wikipedia.org/wiki/Classical_antiqu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Periodizatio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wikipedia.org/wiki/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1287</TotalTime>
  <Pages>2</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dc:creator>
  <cp:lastModifiedBy>Christina</cp:lastModifiedBy>
  <cp:revision>1</cp:revision>
  <dcterms:created xsi:type="dcterms:W3CDTF">2013-09-13T21:55:00Z</dcterms:created>
  <dcterms:modified xsi:type="dcterms:W3CDTF">2013-09-15T18:02:00Z</dcterms:modified>
</cp:coreProperties>
</file>