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4A15" w:rsidRPr="00B64A15" w:rsidRDefault="00B64A15" w:rsidP="00B64A15">
      <w:pPr>
        <w:spacing w:after="0"/>
        <w:rPr>
          <w:b/>
          <w:bCs/>
          <w:lang w:val="en-US"/>
        </w:rPr>
      </w:pPr>
      <w:r w:rsidRPr="00B64A15">
        <w:rPr>
          <w:b/>
          <w:bCs/>
          <w:lang w:val="en-US"/>
        </w:rPr>
        <w:t>Neural Tissue and Membrane Potentials</w:t>
      </w:r>
    </w:p>
    <w:p w:rsidR="00B64A15" w:rsidRDefault="00B64A15" w:rsidP="00B64A15">
      <w:pPr>
        <w:spacing w:after="0"/>
        <w:rPr>
          <w:b/>
          <w:bCs/>
          <w:lang w:val="en-US"/>
        </w:rPr>
      </w:pPr>
    </w:p>
    <w:p w:rsidR="00B64A15" w:rsidRPr="00B64A15" w:rsidRDefault="00B64A15" w:rsidP="00B64A15">
      <w:pPr>
        <w:spacing w:after="0"/>
        <w:rPr>
          <w:b/>
          <w:bCs/>
          <w:lang w:val="en-US"/>
        </w:rPr>
      </w:pPr>
      <w:r w:rsidRPr="00B64A15">
        <w:rPr>
          <w:b/>
          <w:bCs/>
          <w:lang w:val="en-US"/>
        </w:rPr>
        <w:t>Overview</w:t>
      </w:r>
    </w:p>
    <w:p w:rsidR="00B64A15" w:rsidRPr="00B64A15" w:rsidRDefault="00B64A15" w:rsidP="00B64A15">
      <w:pPr>
        <w:pStyle w:val="ListParagraph"/>
        <w:numPr>
          <w:ilvl w:val="0"/>
          <w:numId w:val="7"/>
        </w:numPr>
        <w:spacing w:after="0"/>
        <w:rPr>
          <w:lang w:val="en-US"/>
        </w:rPr>
      </w:pPr>
      <w:r w:rsidRPr="00B64A15">
        <w:rPr>
          <w:lang w:val="en-US"/>
        </w:rPr>
        <w:t>Communication by neurons is based on changes in the plasma membrane’s permeability to ions.</w:t>
      </w:r>
    </w:p>
    <w:p w:rsidR="00B64A15" w:rsidRPr="00B64A15" w:rsidRDefault="00B64A15" w:rsidP="00B64A15">
      <w:pPr>
        <w:pStyle w:val="ListParagraph"/>
        <w:numPr>
          <w:ilvl w:val="0"/>
          <w:numId w:val="7"/>
        </w:numPr>
        <w:spacing w:after="0"/>
        <w:rPr>
          <w:lang w:val="en-US"/>
        </w:rPr>
      </w:pPr>
      <w:r w:rsidRPr="00B64A15">
        <w:rPr>
          <w:lang w:val="en-US"/>
        </w:rPr>
        <w:t>Two types of membrane potentials are of major functional significance: graded potentials and action potentials.</w:t>
      </w:r>
      <w:r>
        <w:rPr>
          <w:lang w:val="en-US"/>
        </w:rPr>
        <w:t xml:space="preserve"> (allows for communication)</w:t>
      </w:r>
    </w:p>
    <w:p w:rsidR="00B64A15" w:rsidRPr="00B64A15" w:rsidRDefault="00B64A15" w:rsidP="00B64A15">
      <w:pPr>
        <w:pStyle w:val="ListParagraph"/>
        <w:numPr>
          <w:ilvl w:val="0"/>
          <w:numId w:val="7"/>
        </w:numPr>
        <w:spacing w:after="0"/>
        <w:rPr>
          <w:lang w:val="en-US"/>
        </w:rPr>
      </w:pPr>
      <w:r w:rsidRPr="00B64A15">
        <w:rPr>
          <w:lang w:val="en-US"/>
        </w:rPr>
        <w:t xml:space="preserve">A typical neuron has a </w:t>
      </w:r>
      <w:proofErr w:type="spellStart"/>
      <w:r w:rsidRPr="00B64A15">
        <w:rPr>
          <w:lang w:val="en-US"/>
        </w:rPr>
        <w:t>dendritic</w:t>
      </w:r>
      <w:proofErr w:type="spellEnd"/>
      <w:r w:rsidRPr="00B64A15">
        <w:rPr>
          <w:lang w:val="en-US"/>
        </w:rPr>
        <w:t xml:space="preserve"> region and an axonal region. The </w:t>
      </w:r>
      <w:proofErr w:type="spellStart"/>
      <w:r w:rsidRPr="00B64A15">
        <w:rPr>
          <w:lang w:val="en-US"/>
        </w:rPr>
        <w:t>dendritic</w:t>
      </w:r>
      <w:proofErr w:type="spellEnd"/>
      <w:r w:rsidRPr="00B64A15">
        <w:rPr>
          <w:lang w:val="en-US"/>
        </w:rPr>
        <w:t xml:space="preserve"> region is specialized to receive information whereas the axonal region is specialized to deliver information.</w:t>
      </w:r>
    </w:p>
    <w:p w:rsidR="00B64A15" w:rsidRPr="00B64A15" w:rsidRDefault="00B64A15" w:rsidP="00B64A15">
      <w:pPr>
        <w:pStyle w:val="ListParagraph"/>
        <w:numPr>
          <w:ilvl w:val="0"/>
          <w:numId w:val="7"/>
        </w:numPr>
        <w:spacing w:after="0"/>
        <w:rPr>
          <w:lang w:val="en-US"/>
        </w:rPr>
      </w:pPr>
      <w:r w:rsidRPr="00B64A15">
        <w:rPr>
          <w:lang w:val="en-US"/>
        </w:rPr>
        <w:t>The human brain contains ~100 billion neurons – about the same number of stars in our galaxy. ~100 trillion synapses!</w:t>
      </w:r>
      <w:r w:rsidR="0004460F">
        <w:rPr>
          <w:lang w:val="en-US"/>
        </w:rPr>
        <w:t xml:space="preserve"> (most complex network/system in the universe)</w:t>
      </w:r>
    </w:p>
    <w:p w:rsidR="00B64A15" w:rsidRPr="00B64A15" w:rsidRDefault="00B64A15" w:rsidP="00B64A15">
      <w:pPr>
        <w:spacing w:after="0"/>
        <w:rPr>
          <w:lang w:val="en-US"/>
        </w:rPr>
      </w:pPr>
    </w:p>
    <w:p w:rsidR="00B64A15" w:rsidRPr="00B64A15" w:rsidRDefault="00B64A15" w:rsidP="00B64A15">
      <w:pPr>
        <w:spacing w:after="0"/>
        <w:rPr>
          <w:b/>
          <w:bCs/>
          <w:lang w:val="en-US"/>
        </w:rPr>
      </w:pPr>
      <w:r w:rsidRPr="00B64A15">
        <w:rPr>
          <w:b/>
          <w:bCs/>
          <w:lang w:val="en-US"/>
        </w:rPr>
        <w:t>Major Divisions of the Nervous System</w:t>
      </w:r>
    </w:p>
    <w:p w:rsidR="00B64A15" w:rsidRDefault="00B64A15" w:rsidP="00B64A15">
      <w:pPr>
        <w:pStyle w:val="ListParagraph"/>
        <w:numPr>
          <w:ilvl w:val="0"/>
          <w:numId w:val="7"/>
        </w:numPr>
        <w:spacing w:after="0"/>
        <w:rPr>
          <w:lang w:val="en-US"/>
        </w:rPr>
      </w:pPr>
      <w:r w:rsidRPr="00B64A15">
        <w:rPr>
          <w:lang w:val="en-US"/>
        </w:rPr>
        <w:t>The two major divisions in the nervous system are the central nervous system (CNS) and the peripheral nervous system (PNS).</w:t>
      </w:r>
    </w:p>
    <w:p w:rsidR="0004460F" w:rsidRDefault="0004460F" w:rsidP="0004460F">
      <w:pPr>
        <w:pStyle w:val="ListParagraph"/>
        <w:numPr>
          <w:ilvl w:val="1"/>
          <w:numId w:val="7"/>
        </w:numPr>
        <w:spacing w:after="0"/>
        <w:rPr>
          <w:lang w:val="en-US"/>
        </w:rPr>
      </w:pPr>
      <w:r>
        <w:rPr>
          <w:lang w:val="en-US"/>
        </w:rPr>
        <w:t>CNS</w:t>
      </w:r>
      <w:r w:rsidRPr="0004460F">
        <w:rPr>
          <w:lang w:val="en-US"/>
        </w:rPr>
        <w:sym w:font="Wingdings" w:char="F0E0"/>
      </w:r>
      <w:r>
        <w:rPr>
          <w:lang w:val="en-US"/>
        </w:rPr>
        <w:t>Brain and Spinal Cord</w:t>
      </w:r>
    </w:p>
    <w:p w:rsidR="0004460F" w:rsidRPr="00B64A15" w:rsidRDefault="0004460F" w:rsidP="0004460F">
      <w:pPr>
        <w:pStyle w:val="ListParagraph"/>
        <w:numPr>
          <w:ilvl w:val="1"/>
          <w:numId w:val="7"/>
        </w:numPr>
        <w:spacing w:after="0"/>
        <w:rPr>
          <w:lang w:val="en-US"/>
        </w:rPr>
      </w:pPr>
      <w:r>
        <w:rPr>
          <w:lang w:val="en-US"/>
        </w:rPr>
        <w:t>PNS</w:t>
      </w:r>
      <w:r w:rsidRPr="0004460F">
        <w:rPr>
          <w:lang w:val="en-US"/>
        </w:rPr>
        <w:sym w:font="Wingdings" w:char="F0E0"/>
      </w:r>
      <w:r>
        <w:rPr>
          <w:lang w:val="en-US"/>
        </w:rPr>
        <w:t>Everything else</w:t>
      </w:r>
    </w:p>
    <w:p w:rsidR="00B64A15" w:rsidRPr="00B64A15" w:rsidRDefault="00B64A15" w:rsidP="00B64A15">
      <w:pPr>
        <w:pStyle w:val="ListParagraph"/>
        <w:numPr>
          <w:ilvl w:val="0"/>
          <w:numId w:val="7"/>
        </w:numPr>
        <w:spacing w:after="0"/>
        <w:rPr>
          <w:lang w:val="en-US"/>
        </w:rPr>
      </w:pPr>
      <w:r w:rsidRPr="00B64A15">
        <w:rPr>
          <w:lang w:val="en-US"/>
        </w:rPr>
        <w:t xml:space="preserve">Within the PNS, major divisions are the </w:t>
      </w:r>
      <w:r w:rsidRPr="00B64A15">
        <w:rPr>
          <w:b/>
          <w:bCs/>
          <w:lang w:val="en-US"/>
        </w:rPr>
        <w:t>somatic nervous system</w:t>
      </w:r>
      <w:r w:rsidR="0004460F">
        <w:rPr>
          <w:b/>
          <w:bCs/>
          <w:lang w:val="en-US"/>
        </w:rPr>
        <w:t xml:space="preserve"> </w:t>
      </w:r>
      <w:r w:rsidR="0004460F">
        <w:rPr>
          <w:bCs/>
          <w:lang w:val="en-US"/>
        </w:rPr>
        <w:t xml:space="preserve">(voluntary) </w:t>
      </w:r>
      <w:r w:rsidRPr="00B64A15">
        <w:rPr>
          <w:lang w:val="en-US"/>
        </w:rPr>
        <w:t xml:space="preserve">and the </w:t>
      </w:r>
      <w:r w:rsidRPr="00B64A15">
        <w:rPr>
          <w:b/>
          <w:bCs/>
          <w:lang w:val="en-US"/>
        </w:rPr>
        <w:t>autonomic nervous system</w:t>
      </w:r>
      <w:r w:rsidR="0004460F">
        <w:rPr>
          <w:b/>
          <w:bCs/>
          <w:lang w:val="en-US"/>
        </w:rPr>
        <w:t xml:space="preserve"> (</w:t>
      </w:r>
      <w:r w:rsidR="0004460F">
        <w:rPr>
          <w:bCs/>
          <w:lang w:val="en-US"/>
        </w:rPr>
        <w:t>involuntary)</w:t>
      </w:r>
      <w:r w:rsidRPr="00B64A15">
        <w:rPr>
          <w:lang w:val="en-US"/>
        </w:rPr>
        <w:t xml:space="preserve">, which has two branches: </w:t>
      </w:r>
    </w:p>
    <w:p w:rsidR="00B64A15" w:rsidRPr="00B64A15" w:rsidRDefault="0004460F" w:rsidP="00B64A15">
      <w:pPr>
        <w:pStyle w:val="ListParagraph"/>
        <w:numPr>
          <w:ilvl w:val="0"/>
          <w:numId w:val="7"/>
        </w:numPr>
        <w:spacing w:after="0"/>
        <w:rPr>
          <w:lang w:val="en-US"/>
        </w:rPr>
      </w:pPr>
      <w:r>
        <w:rPr>
          <w:noProof/>
          <w:lang w:eastAsia="en-CA"/>
        </w:rPr>
        <w:drawing>
          <wp:anchor distT="0" distB="0" distL="114300" distR="114300" simplePos="0" relativeHeight="251658240" behindDoc="1" locked="0" layoutInCell="1" allowOverlap="1">
            <wp:simplePos x="0" y="0"/>
            <wp:positionH relativeFrom="column">
              <wp:posOffset>3905250</wp:posOffset>
            </wp:positionH>
            <wp:positionV relativeFrom="paragraph">
              <wp:posOffset>52070</wp:posOffset>
            </wp:positionV>
            <wp:extent cx="2355850" cy="2603500"/>
            <wp:effectExtent l="19050" t="0" r="6350" b="0"/>
            <wp:wrapTight wrapText="bothSides">
              <wp:wrapPolygon edited="0">
                <wp:start x="-175" y="0"/>
                <wp:lineTo x="-175" y="21495"/>
                <wp:lineTo x="21658" y="21495"/>
                <wp:lineTo x="21658" y="0"/>
                <wp:lineTo x="-175" y="0"/>
              </wp:wrapPolygon>
            </wp:wrapTight>
            <wp:docPr id="1" name="Picture 1" descr="06_01"/>
            <wp:cNvGraphicFramePr/>
            <a:graphic xmlns:a="http://schemas.openxmlformats.org/drawingml/2006/main">
              <a:graphicData uri="http://schemas.openxmlformats.org/drawingml/2006/picture">
                <pic:pic xmlns:pic="http://schemas.openxmlformats.org/drawingml/2006/picture">
                  <pic:nvPicPr>
                    <pic:cNvPr id="9221" name="Picture 9" descr="06_01"/>
                    <pic:cNvPicPr>
                      <a:picLocks noChangeAspect="1" noChangeArrowheads="1"/>
                    </pic:cNvPicPr>
                  </pic:nvPicPr>
                  <pic:blipFill>
                    <a:blip r:embed="rId5" cstate="print"/>
                    <a:srcRect/>
                    <a:stretch>
                      <a:fillRect/>
                    </a:stretch>
                  </pic:blipFill>
                  <pic:spPr bwMode="auto">
                    <a:xfrm>
                      <a:off x="0" y="0"/>
                      <a:ext cx="2355850" cy="2603500"/>
                    </a:xfrm>
                    <a:prstGeom prst="rect">
                      <a:avLst/>
                    </a:prstGeom>
                    <a:noFill/>
                    <a:ln w="9525">
                      <a:noFill/>
                      <a:miter lim="800000"/>
                      <a:headEnd/>
                      <a:tailEnd/>
                    </a:ln>
                  </pic:spPr>
                </pic:pic>
              </a:graphicData>
            </a:graphic>
          </wp:anchor>
        </w:drawing>
      </w:r>
      <w:r w:rsidR="00B64A15" w:rsidRPr="00B64A15">
        <w:rPr>
          <w:lang w:val="en-US"/>
        </w:rPr>
        <w:t xml:space="preserve">the parasympathetic </w:t>
      </w:r>
    </w:p>
    <w:p w:rsidR="00B64A15" w:rsidRPr="00B64A15" w:rsidRDefault="00B64A15" w:rsidP="00B64A15">
      <w:pPr>
        <w:pStyle w:val="ListParagraph"/>
        <w:numPr>
          <w:ilvl w:val="0"/>
          <w:numId w:val="7"/>
        </w:numPr>
        <w:spacing w:after="0"/>
        <w:rPr>
          <w:lang w:val="en-US"/>
        </w:rPr>
      </w:pPr>
      <w:r w:rsidRPr="00B64A15">
        <w:rPr>
          <w:lang w:val="en-US"/>
        </w:rPr>
        <w:t>the sympathetic</w:t>
      </w:r>
    </w:p>
    <w:p w:rsidR="00B64A15" w:rsidRPr="00B64A15" w:rsidRDefault="00B64A15" w:rsidP="00B64A15">
      <w:pPr>
        <w:spacing w:after="0"/>
        <w:rPr>
          <w:lang w:val="en-US"/>
        </w:rPr>
      </w:pPr>
    </w:p>
    <w:p w:rsidR="00B64A15" w:rsidRPr="00B64A15" w:rsidRDefault="00B64A15" w:rsidP="00B64A15">
      <w:pPr>
        <w:spacing w:after="0"/>
        <w:rPr>
          <w:b/>
          <w:bCs/>
          <w:lang w:val="en-US"/>
        </w:rPr>
      </w:pPr>
      <w:r w:rsidRPr="00B64A15">
        <w:rPr>
          <w:b/>
          <w:bCs/>
          <w:lang w:val="en-US"/>
        </w:rPr>
        <w:t>The neuron (nerve cell)</w:t>
      </w:r>
    </w:p>
    <w:p w:rsidR="00B64A15" w:rsidRPr="00B64A15" w:rsidRDefault="00B64A15" w:rsidP="00B64A15">
      <w:pPr>
        <w:pStyle w:val="ListParagraph"/>
        <w:numPr>
          <w:ilvl w:val="0"/>
          <w:numId w:val="7"/>
        </w:numPr>
        <w:spacing w:after="0"/>
        <w:rPr>
          <w:lang w:val="en-US"/>
        </w:rPr>
      </w:pPr>
      <w:r w:rsidRPr="00B64A15">
        <w:rPr>
          <w:lang w:val="en-US"/>
        </w:rPr>
        <w:t>The neuron is the basic unit of the nervous system.</w:t>
      </w:r>
    </w:p>
    <w:p w:rsidR="00B64A15" w:rsidRPr="00B64A15" w:rsidRDefault="00B64A15" w:rsidP="00B64A15">
      <w:pPr>
        <w:pStyle w:val="ListParagraph"/>
        <w:numPr>
          <w:ilvl w:val="0"/>
          <w:numId w:val="7"/>
        </w:numPr>
        <w:spacing w:after="0"/>
        <w:rPr>
          <w:lang w:val="en-US"/>
        </w:rPr>
      </w:pPr>
      <w:r w:rsidRPr="00B64A15">
        <w:rPr>
          <w:b/>
          <w:bCs/>
          <w:lang w:val="en-US"/>
        </w:rPr>
        <w:t>Dendrites</w:t>
      </w:r>
      <w:r w:rsidRPr="00B64A15">
        <w:rPr>
          <w:lang w:val="en-US"/>
        </w:rPr>
        <w:t xml:space="preserve">: receive information, typically neurotransmitters, </w:t>
      </w:r>
      <w:proofErr w:type="gramStart"/>
      <w:r w:rsidRPr="00B64A15">
        <w:rPr>
          <w:lang w:val="en-US"/>
        </w:rPr>
        <w:t>then</w:t>
      </w:r>
      <w:proofErr w:type="gramEnd"/>
      <w:r w:rsidRPr="00B64A15">
        <w:rPr>
          <w:lang w:val="en-US"/>
        </w:rPr>
        <w:t xml:space="preserve"> undergo graded potentials.</w:t>
      </w:r>
    </w:p>
    <w:p w:rsidR="00B64A15" w:rsidRDefault="00B64A15" w:rsidP="00B64A15">
      <w:pPr>
        <w:pStyle w:val="ListParagraph"/>
        <w:numPr>
          <w:ilvl w:val="0"/>
          <w:numId w:val="7"/>
        </w:numPr>
        <w:spacing w:after="0"/>
        <w:rPr>
          <w:lang w:val="en-US"/>
        </w:rPr>
      </w:pPr>
      <w:r w:rsidRPr="00B64A15">
        <w:rPr>
          <w:b/>
          <w:bCs/>
          <w:lang w:val="en-US"/>
        </w:rPr>
        <w:t>Axons</w:t>
      </w:r>
      <w:r w:rsidRPr="00B64A15">
        <w:rPr>
          <w:lang w:val="en-US"/>
        </w:rPr>
        <w:t>:  undergo action potentials to deliver information, typically neurotransmitters, from the axon terminals.</w:t>
      </w:r>
    </w:p>
    <w:p w:rsidR="0004460F" w:rsidRPr="0004460F" w:rsidRDefault="0004460F" w:rsidP="0004460F">
      <w:pPr>
        <w:pStyle w:val="ListParagraph"/>
        <w:numPr>
          <w:ilvl w:val="1"/>
          <w:numId w:val="7"/>
        </w:numPr>
        <w:spacing w:after="0"/>
        <w:rPr>
          <w:lang w:val="en-US"/>
        </w:rPr>
      </w:pPr>
      <w:r>
        <w:rPr>
          <w:bCs/>
          <w:lang w:val="en-US"/>
        </w:rPr>
        <w:t xml:space="preserve">be </w:t>
      </w:r>
      <w:proofErr w:type="spellStart"/>
      <w:r>
        <w:rPr>
          <w:bCs/>
          <w:lang w:val="en-US"/>
        </w:rPr>
        <w:t>upto</w:t>
      </w:r>
      <w:proofErr w:type="spellEnd"/>
      <w:r>
        <w:rPr>
          <w:bCs/>
          <w:lang w:val="en-US"/>
        </w:rPr>
        <w:t xml:space="preserve"> 2 m long </w:t>
      </w:r>
    </w:p>
    <w:p w:rsidR="0004460F" w:rsidRPr="00B64A15" w:rsidRDefault="0004460F" w:rsidP="0004460F">
      <w:pPr>
        <w:pStyle w:val="ListParagraph"/>
        <w:numPr>
          <w:ilvl w:val="1"/>
          <w:numId w:val="7"/>
        </w:numPr>
        <w:spacing w:after="0"/>
        <w:rPr>
          <w:lang w:val="en-US"/>
        </w:rPr>
      </w:pPr>
      <w:r>
        <w:rPr>
          <w:bCs/>
          <w:lang w:val="en-US"/>
        </w:rPr>
        <w:t>have collaterals (branches)</w:t>
      </w:r>
    </w:p>
    <w:p w:rsidR="00B64A15" w:rsidRPr="00B64A15" w:rsidRDefault="00B64A15" w:rsidP="00B64A15">
      <w:pPr>
        <w:pStyle w:val="ListParagraph"/>
        <w:numPr>
          <w:ilvl w:val="0"/>
          <w:numId w:val="7"/>
        </w:numPr>
        <w:spacing w:after="0"/>
        <w:rPr>
          <w:lang w:val="en-US"/>
        </w:rPr>
      </w:pPr>
      <w:r w:rsidRPr="00B64A15">
        <w:rPr>
          <w:lang w:val="en-US"/>
        </w:rPr>
        <w:t xml:space="preserve">The </w:t>
      </w:r>
      <w:r w:rsidRPr="00B64A15">
        <w:rPr>
          <w:b/>
          <w:bCs/>
          <w:lang w:val="en-US"/>
        </w:rPr>
        <w:t>initial segment</w:t>
      </w:r>
      <w:r w:rsidRPr="00B64A15">
        <w:rPr>
          <w:lang w:val="en-US"/>
        </w:rPr>
        <w:t xml:space="preserve"> (or </w:t>
      </w:r>
      <w:r w:rsidRPr="00B64A15">
        <w:rPr>
          <w:b/>
          <w:bCs/>
          <w:lang w:val="en-US"/>
        </w:rPr>
        <w:t>axon hillock)</w:t>
      </w:r>
      <w:r w:rsidRPr="00B64A15">
        <w:rPr>
          <w:lang w:val="en-US"/>
        </w:rPr>
        <w:t xml:space="preserve"> is the trigger zone where action potentials are generated.</w:t>
      </w:r>
    </w:p>
    <w:p w:rsidR="00B64A15" w:rsidRPr="00B64A15" w:rsidRDefault="00B64A15" w:rsidP="00B64A15">
      <w:pPr>
        <w:spacing w:after="0"/>
        <w:rPr>
          <w:lang w:val="en-US"/>
        </w:rPr>
      </w:pPr>
    </w:p>
    <w:p w:rsidR="00B64A15" w:rsidRPr="00B64A15" w:rsidRDefault="00B64A15" w:rsidP="00B64A15">
      <w:pPr>
        <w:spacing w:after="0"/>
        <w:rPr>
          <w:b/>
          <w:bCs/>
          <w:lang w:val="en-US"/>
        </w:rPr>
      </w:pPr>
      <w:proofErr w:type="spellStart"/>
      <w:r w:rsidRPr="00B64A15">
        <w:rPr>
          <w:b/>
          <w:bCs/>
          <w:lang w:val="en-US"/>
        </w:rPr>
        <w:t>Glial</w:t>
      </w:r>
      <w:proofErr w:type="spellEnd"/>
      <w:r w:rsidRPr="00B64A15">
        <w:rPr>
          <w:b/>
          <w:bCs/>
          <w:lang w:val="en-US"/>
        </w:rPr>
        <w:t xml:space="preserve"> Cells</w:t>
      </w:r>
    </w:p>
    <w:p w:rsidR="00B64A15" w:rsidRPr="00B64A15" w:rsidRDefault="00B64A15" w:rsidP="00B64A15">
      <w:pPr>
        <w:pStyle w:val="ListParagraph"/>
        <w:numPr>
          <w:ilvl w:val="0"/>
          <w:numId w:val="7"/>
        </w:numPr>
        <w:spacing w:after="0"/>
        <w:rPr>
          <w:lang w:val="en-US"/>
        </w:rPr>
      </w:pPr>
      <w:proofErr w:type="spellStart"/>
      <w:r w:rsidRPr="00B64A15">
        <w:rPr>
          <w:lang w:val="en-US"/>
        </w:rPr>
        <w:t>Glia</w:t>
      </w:r>
      <w:proofErr w:type="spellEnd"/>
      <w:r w:rsidRPr="00B64A15">
        <w:rPr>
          <w:lang w:val="en-US"/>
        </w:rPr>
        <w:t xml:space="preserve"> make up ~90% of the cells in the CNS (~50% by volume)</w:t>
      </w:r>
    </w:p>
    <w:p w:rsidR="00932171" w:rsidRDefault="00B64A15" w:rsidP="00B64A15">
      <w:pPr>
        <w:pStyle w:val="ListParagraph"/>
        <w:numPr>
          <w:ilvl w:val="0"/>
          <w:numId w:val="7"/>
        </w:numPr>
        <w:spacing w:after="0"/>
        <w:rPr>
          <w:lang w:val="en-US"/>
        </w:rPr>
      </w:pPr>
      <w:proofErr w:type="spellStart"/>
      <w:r w:rsidRPr="00B64A15">
        <w:rPr>
          <w:lang w:val="en-US"/>
        </w:rPr>
        <w:t>Glial</w:t>
      </w:r>
      <w:proofErr w:type="spellEnd"/>
      <w:r w:rsidRPr="00B64A15">
        <w:rPr>
          <w:lang w:val="en-US"/>
        </w:rPr>
        <w:t xml:space="preserve"> cells surround the soma, axon, and dendrites of neurons providing physical and metabolic support.</w:t>
      </w:r>
    </w:p>
    <w:p w:rsidR="00B64A15" w:rsidRPr="00932171" w:rsidRDefault="00B64A15" w:rsidP="00B64A15">
      <w:pPr>
        <w:pStyle w:val="ListParagraph"/>
        <w:numPr>
          <w:ilvl w:val="0"/>
          <w:numId w:val="7"/>
        </w:numPr>
        <w:spacing w:after="0"/>
        <w:rPr>
          <w:lang w:val="en-US"/>
        </w:rPr>
      </w:pPr>
      <w:proofErr w:type="spellStart"/>
      <w:r w:rsidRPr="00932171">
        <w:rPr>
          <w:b/>
          <w:bCs/>
          <w:lang w:val="en-US"/>
        </w:rPr>
        <w:t>Astrocytes</w:t>
      </w:r>
      <w:proofErr w:type="spellEnd"/>
      <w:r w:rsidRPr="00932171">
        <w:rPr>
          <w:b/>
          <w:bCs/>
          <w:lang w:val="en-US"/>
        </w:rPr>
        <w:t xml:space="preserve">: </w:t>
      </w:r>
    </w:p>
    <w:p w:rsidR="00B64A15" w:rsidRPr="00B64A15" w:rsidRDefault="00B64A15" w:rsidP="00932171">
      <w:pPr>
        <w:pStyle w:val="ListParagraph"/>
        <w:numPr>
          <w:ilvl w:val="1"/>
          <w:numId w:val="7"/>
        </w:numPr>
        <w:spacing w:after="0"/>
        <w:rPr>
          <w:lang w:val="en-US"/>
        </w:rPr>
      </w:pPr>
      <w:r w:rsidRPr="00B64A15">
        <w:rPr>
          <w:lang w:val="en-US"/>
        </w:rPr>
        <w:t>help regulate the composition of the ECF in the CNS (C</w:t>
      </w:r>
      <w:r w:rsidR="00932171">
        <w:rPr>
          <w:lang w:val="en-US"/>
        </w:rPr>
        <w:t xml:space="preserve">erebral </w:t>
      </w:r>
      <w:r w:rsidRPr="00B64A15">
        <w:rPr>
          <w:lang w:val="en-US"/>
        </w:rPr>
        <w:t>S</w:t>
      </w:r>
      <w:r w:rsidR="00932171">
        <w:rPr>
          <w:lang w:val="en-US"/>
        </w:rPr>
        <w:t xml:space="preserve">pinal </w:t>
      </w:r>
      <w:r w:rsidRPr="00B64A15">
        <w:rPr>
          <w:lang w:val="en-US"/>
        </w:rPr>
        <w:t>F</w:t>
      </w:r>
      <w:r w:rsidR="00932171">
        <w:rPr>
          <w:lang w:val="en-US"/>
        </w:rPr>
        <w:t>luid “CSF”</w:t>
      </w:r>
      <w:r w:rsidRPr="00B64A15">
        <w:rPr>
          <w:lang w:val="en-US"/>
        </w:rPr>
        <w:t>) by removing K</w:t>
      </w:r>
      <w:r w:rsidRPr="00B64A15">
        <w:rPr>
          <w:vertAlign w:val="superscript"/>
          <w:lang w:val="en-US"/>
        </w:rPr>
        <w:t>+</w:t>
      </w:r>
      <w:r w:rsidRPr="00B64A15">
        <w:rPr>
          <w:lang w:val="en-US"/>
        </w:rPr>
        <w:t xml:space="preserve"> and </w:t>
      </w:r>
      <w:r w:rsidR="00932171">
        <w:rPr>
          <w:lang w:val="en-US"/>
        </w:rPr>
        <w:t xml:space="preserve">neurotransmitters from synapses </w:t>
      </w:r>
    </w:p>
    <w:p w:rsidR="00B64A15" w:rsidRPr="00B64A15" w:rsidRDefault="00B64A15" w:rsidP="00932171">
      <w:pPr>
        <w:pStyle w:val="ListParagraph"/>
        <w:numPr>
          <w:ilvl w:val="1"/>
          <w:numId w:val="7"/>
        </w:numPr>
        <w:spacing w:after="0"/>
        <w:rPr>
          <w:lang w:val="en-US"/>
        </w:rPr>
      </w:pPr>
      <w:proofErr w:type="spellStart"/>
      <w:r w:rsidRPr="00B64A15">
        <w:rPr>
          <w:lang w:val="en-US"/>
        </w:rPr>
        <w:t>Astrocytic</w:t>
      </w:r>
      <w:proofErr w:type="spellEnd"/>
      <w:r w:rsidRPr="00B64A15">
        <w:rPr>
          <w:lang w:val="en-US"/>
        </w:rPr>
        <w:t xml:space="preserve"> </w:t>
      </w:r>
      <w:proofErr w:type="spellStart"/>
      <w:r w:rsidRPr="00B64A15">
        <w:rPr>
          <w:lang w:val="en-US"/>
        </w:rPr>
        <w:t>endfeet</w:t>
      </w:r>
      <w:proofErr w:type="spellEnd"/>
      <w:r w:rsidRPr="00B64A15">
        <w:rPr>
          <w:lang w:val="en-US"/>
        </w:rPr>
        <w:t xml:space="preserve"> also help to form the blood-brain barrier (BBB) which separates the blood from the CSF. The BBB prevent toxins and other substances from entering the brain.</w:t>
      </w:r>
    </w:p>
    <w:p w:rsidR="00B64A15" w:rsidRPr="00B64A15" w:rsidRDefault="00B64A15" w:rsidP="00932171">
      <w:pPr>
        <w:pStyle w:val="ListParagraph"/>
        <w:numPr>
          <w:ilvl w:val="1"/>
          <w:numId w:val="7"/>
        </w:numPr>
        <w:spacing w:after="0"/>
        <w:rPr>
          <w:lang w:val="en-US"/>
        </w:rPr>
      </w:pPr>
      <w:r w:rsidRPr="00B64A15">
        <w:rPr>
          <w:lang w:val="en-US"/>
        </w:rPr>
        <w:lastRenderedPageBreak/>
        <w:t>Provide metabolic support to neurons (glucose and remove ammonia)</w:t>
      </w:r>
    </w:p>
    <w:p w:rsidR="00B64A15" w:rsidRPr="00B64A15" w:rsidRDefault="00B64A15" w:rsidP="00932171">
      <w:pPr>
        <w:pStyle w:val="ListParagraph"/>
        <w:numPr>
          <w:ilvl w:val="1"/>
          <w:numId w:val="7"/>
        </w:numPr>
        <w:spacing w:after="0"/>
        <w:rPr>
          <w:lang w:val="en-US"/>
        </w:rPr>
      </w:pPr>
      <w:r w:rsidRPr="00B64A15">
        <w:rPr>
          <w:lang w:val="en-US"/>
        </w:rPr>
        <w:t xml:space="preserve">Help to guide neuronal processes in the developing brain and provide </w:t>
      </w:r>
      <w:proofErr w:type="spellStart"/>
      <w:r w:rsidRPr="00B64A15">
        <w:rPr>
          <w:lang w:val="en-US"/>
        </w:rPr>
        <w:t>trophic</w:t>
      </w:r>
      <w:proofErr w:type="spellEnd"/>
      <w:r w:rsidRPr="00B64A15">
        <w:rPr>
          <w:lang w:val="en-US"/>
        </w:rPr>
        <w:t xml:space="preserve"> substances (growth factors).</w:t>
      </w:r>
    </w:p>
    <w:p w:rsidR="00B64A15" w:rsidRPr="00B64A15" w:rsidRDefault="00B64A15" w:rsidP="00932171">
      <w:pPr>
        <w:pStyle w:val="ListParagraph"/>
        <w:numPr>
          <w:ilvl w:val="1"/>
          <w:numId w:val="7"/>
        </w:numPr>
        <w:spacing w:after="0"/>
        <w:rPr>
          <w:lang w:val="en-US"/>
        </w:rPr>
      </w:pPr>
      <w:r w:rsidRPr="00B64A15">
        <w:rPr>
          <w:lang w:val="en-US"/>
        </w:rPr>
        <w:t xml:space="preserve">Recent evidence suggests </w:t>
      </w:r>
      <w:proofErr w:type="spellStart"/>
      <w:r w:rsidRPr="00B64A15">
        <w:rPr>
          <w:lang w:val="en-US"/>
        </w:rPr>
        <w:t>astrocytes</w:t>
      </w:r>
      <w:proofErr w:type="spellEnd"/>
      <w:r w:rsidRPr="00B64A15">
        <w:rPr>
          <w:lang w:val="en-US"/>
        </w:rPr>
        <w:t xml:space="preserve"> also contribute to neuronal signaling – they have ion channels, receptors for certain neurotransmitters and can generate weak electrical responses</w:t>
      </w:r>
    </w:p>
    <w:p w:rsidR="00B64A15" w:rsidRPr="00B64A15" w:rsidRDefault="00B64A15" w:rsidP="00B64A15">
      <w:pPr>
        <w:spacing w:after="0"/>
        <w:rPr>
          <w:lang w:val="en-US"/>
        </w:rPr>
      </w:pPr>
    </w:p>
    <w:p w:rsidR="00B64A15" w:rsidRPr="00B64A15" w:rsidRDefault="00932171" w:rsidP="00B64A15">
      <w:pPr>
        <w:spacing w:after="0"/>
        <w:rPr>
          <w:b/>
          <w:bCs/>
          <w:lang w:val="en-US"/>
        </w:rPr>
      </w:pPr>
      <w:r>
        <w:rPr>
          <w:b/>
          <w:bCs/>
          <w:noProof/>
          <w:lang w:eastAsia="en-CA"/>
        </w:rPr>
        <w:drawing>
          <wp:anchor distT="0" distB="0" distL="114300" distR="114300" simplePos="0" relativeHeight="251659264" behindDoc="1" locked="0" layoutInCell="1" allowOverlap="1">
            <wp:simplePos x="0" y="0"/>
            <wp:positionH relativeFrom="column">
              <wp:posOffset>3168650</wp:posOffset>
            </wp:positionH>
            <wp:positionV relativeFrom="paragraph">
              <wp:posOffset>177800</wp:posOffset>
            </wp:positionV>
            <wp:extent cx="3486150" cy="3213100"/>
            <wp:effectExtent l="19050" t="0" r="0" b="0"/>
            <wp:wrapTight wrapText="bothSides">
              <wp:wrapPolygon edited="0">
                <wp:start x="-118" y="0"/>
                <wp:lineTo x="-118" y="21515"/>
                <wp:lineTo x="21600" y="21515"/>
                <wp:lineTo x="21600" y="0"/>
                <wp:lineTo x="-118" y="0"/>
              </wp:wrapPolygon>
            </wp:wrapTight>
            <wp:docPr id="2" name="Picture 2" descr="06_02"/>
            <wp:cNvGraphicFramePr/>
            <a:graphic xmlns:a="http://schemas.openxmlformats.org/drawingml/2006/main">
              <a:graphicData uri="http://schemas.openxmlformats.org/drawingml/2006/picture">
                <pic:pic xmlns:pic="http://schemas.openxmlformats.org/drawingml/2006/picture">
                  <pic:nvPicPr>
                    <pic:cNvPr id="11267" name="Picture 5" descr="06_02"/>
                    <pic:cNvPicPr>
                      <a:picLocks noChangeAspect="1" noChangeArrowheads="1"/>
                    </pic:cNvPicPr>
                  </pic:nvPicPr>
                  <pic:blipFill>
                    <a:blip r:embed="rId6" cstate="print"/>
                    <a:srcRect t="2054"/>
                    <a:stretch>
                      <a:fillRect/>
                    </a:stretch>
                  </pic:blipFill>
                  <pic:spPr bwMode="auto">
                    <a:xfrm>
                      <a:off x="0" y="0"/>
                      <a:ext cx="3486150" cy="3213100"/>
                    </a:xfrm>
                    <a:prstGeom prst="rect">
                      <a:avLst/>
                    </a:prstGeom>
                    <a:noFill/>
                    <a:ln w="9525">
                      <a:noFill/>
                      <a:miter lim="800000"/>
                      <a:headEnd/>
                      <a:tailEnd/>
                    </a:ln>
                  </pic:spPr>
                </pic:pic>
              </a:graphicData>
            </a:graphic>
          </wp:anchor>
        </w:drawing>
      </w:r>
      <w:proofErr w:type="spellStart"/>
      <w:r w:rsidR="00B64A15" w:rsidRPr="00B64A15">
        <w:rPr>
          <w:b/>
          <w:bCs/>
          <w:lang w:val="en-US"/>
        </w:rPr>
        <w:t>Glial</w:t>
      </w:r>
      <w:proofErr w:type="spellEnd"/>
      <w:r w:rsidR="00B64A15" w:rsidRPr="00B64A15">
        <w:rPr>
          <w:b/>
          <w:bCs/>
          <w:lang w:val="en-US"/>
        </w:rPr>
        <w:t xml:space="preserve"> cells and </w:t>
      </w:r>
      <w:proofErr w:type="spellStart"/>
      <w:r w:rsidR="00B64A15" w:rsidRPr="00B64A15">
        <w:rPr>
          <w:b/>
          <w:bCs/>
          <w:lang w:val="en-US"/>
        </w:rPr>
        <w:t>Myelination</w:t>
      </w:r>
      <w:proofErr w:type="spellEnd"/>
    </w:p>
    <w:p w:rsidR="00B64A15" w:rsidRDefault="00B64A15" w:rsidP="00B64A15">
      <w:pPr>
        <w:pStyle w:val="ListParagraph"/>
        <w:numPr>
          <w:ilvl w:val="0"/>
          <w:numId w:val="7"/>
        </w:numPr>
        <w:spacing w:after="0"/>
        <w:rPr>
          <w:lang w:val="en-US"/>
        </w:rPr>
      </w:pPr>
      <w:proofErr w:type="spellStart"/>
      <w:r w:rsidRPr="00B64A15">
        <w:rPr>
          <w:b/>
          <w:bCs/>
          <w:lang w:val="en-US"/>
        </w:rPr>
        <w:t>Oligodendrocytes</w:t>
      </w:r>
      <w:proofErr w:type="spellEnd"/>
      <w:r w:rsidRPr="00B64A15">
        <w:rPr>
          <w:lang w:val="en-US"/>
        </w:rPr>
        <w:t xml:space="preserve"> form myelin on (</w:t>
      </w:r>
      <w:proofErr w:type="spellStart"/>
      <w:r w:rsidRPr="00B64A15">
        <w:rPr>
          <w:lang w:val="en-US"/>
        </w:rPr>
        <w:t>ensheath</w:t>
      </w:r>
      <w:proofErr w:type="spellEnd"/>
      <w:r w:rsidRPr="00B64A15">
        <w:rPr>
          <w:lang w:val="en-US"/>
        </w:rPr>
        <w:t xml:space="preserve">) multiple central neuronal axons. The gray </w:t>
      </w:r>
      <w:proofErr w:type="gramStart"/>
      <w:r w:rsidRPr="00B64A15">
        <w:rPr>
          <w:lang w:val="en-US"/>
        </w:rPr>
        <w:t>matter of the brain are</w:t>
      </w:r>
      <w:proofErr w:type="gramEnd"/>
      <w:r w:rsidRPr="00B64A15">
        <w:rPr>
          <w:lang w:val="en-US"/>
        </w:rPr>
        <w:t xml:space="preserve"> cells bodies of neurons (mostly) whereas the white matter are </w:t>
      </w:r>
      <w:proofErr w:type="spellStart"/>
      <w:r w:rsidRPr="00B64A15">
        <w:rPr>
          <w:lang w:val="en-US"/>
        </w:rPr>
        <w:t>myelinated</w:t>
      </w:r>
      <w:proofErr w:type="spellEnd"/>
      <w:r w:rsidRPr="00B64A15">
        <w:rPr>
          <w:lang w:val="en-US"/>
        </w:rPr>
        <w:t xml:space="preserve"> axon tracts.</w:t>
      </w:r>
    </w:p>
    <w:p w:rsidR="00932171" w:rsidRPr="00B64A15" w:rsidRDefault="00932171" w:rsidP="00932171">
      <w:pPr>
        <w:pStyle w:val="ListParagraph"/>
        <w:numPr>
          <w:ilvl w:val="1"/>
          <w:numId w:val="7"/>
        </w:numPr>
        <w:spacing w:after="0"/>
        <w:rPr>
          <w:lang w:val="en-US"/>
        </w:rPr>
      </w:pPr>
      <w:r>
        <w:rPr>
          <w:bCs/>
          <w:lang w:val="en-US"/>
        </w:rPr>
        <w:t>Basically cells that have dried out and is like a layer “sheath” of plasma membrane</w:t>
      </w:r>
    </w:p>
    <w:p w:rsidR="00B64A15" w:rsidRPr="00B64A15" w:rsidRDefault="00B64A15" w:rsidP="00B64A15">
      <w:pPr>
        <w:pStyle w:val="ListParagraph"/>
        <w:numPr>
          <w:ilvl w:val="0"/>
          <w:numId w:val="7"/>
        </w:numPr>
        <w:spacing w:after="0"/>
        <w:rPr>
          <w:lang w:val="en-US"/>
        </w:rPr>
      </w:pPr>
      <w:r w:rsidRPr="00B64A15">
        <w:rPr>
          <w:b/>
          <w:bCs/>
          <w:lang w:val="en-US"/>
        </w:rPr>
        <w:t>Schwann cells</w:t>
      </w:r>
      <w:r w:rsidRPr="00B64A15">
        <w:rPr>
          <w:lang w:val="en-US"/>
        </w:rPr>
        <w:t xml:space="preserve"> form myelin on peripheral neuronal axons.</w:t>
      </w:r>
    </w:p>
    <w:p w:rsidR="00B64A15" w:rsidRPr="00B64A15" w:rsidRDefault="00B64A15" w:rsidP="00B64A15">
      <w:pPr>
        <w:pStyle w:val="ListParagraph"/>
        <w:numPr>
          <w:ilvl w:val="0"/>
          <w:numId w:val="7"/>
        </w:numPr>
        <w:spacing w:after="0"/>
        <w:rPr>
          <w:lang w:val="en-US"/>
        </w:rPr>
      </w:pPr>
      <w:r w:rsidRPr="00B64A15">
        <w:rPr>
          <w:lang w:val="en-US"/>
        </w:rPr>
        <w:t xml:space="preserve">The myelin sheath speeds up conduction along the axon. Among all types of neurons, </w:t>
      </w:r>
      <w:proofErr w:type="spellStart"/>
      <w:r w:rsidRPr="00B64A15">
        <w:rPr>
          <w:lang w:val="en-US"/>
        </w:rPr>
        <w:t>myelinated</w:t>
      </w:r>
      <w:proofErr w:type="spellEnd"/>
      <w:r w:rsidRPr="00B64A15">
        <w:rPr>
          <w:lang w:val="en-US"/>
        </w:rPr>
        <w:t xml:space="preserve"> neurons conduct action potentials most rapidly. </w:t>
      </w:r>
    </w:p>
    <w:p w:rsidR="00B64A15" w:rsidRPr="00B64A15" w:rsidRDefault="00B64A15" w:rsidP="00B64A15">
      <w:pPr>
        <w:pStyle w:val="ListParagraph"/>
        <w:numPr>
          <w:ilvl w:val="0"/>
          <w:numId w:val="7"/>
        </w:numPr>
        <w:spacing w:after="0"/>
        <w:rPr>
          <w:lang w:val="en-US"/>
        </w:rPr>
      </w:pPr>
      <w:r w:rsidRPr="00B64A15">
        <w:rPr>
          <w:lang w:val="en-US"/>
        </w:rPr>
        <w:t>The myelin sheath is composed of highly compacted layers (20-200) of modified plasma membrane.</w:t>
      </w:r>
    </w:p>
    <w:p w:rsidR="00B64A15" w:rsidRPr="00B64A15" w:rsidRDefault="00B64A15" w:rsidP="00B64A15">
      <w:pPr>
        <w:pStyle w:val="ListParagraph"/>
        <w:numPr>
          <w:ilvl w:val="0"/>
          <w:numId w:val="7"/>
        </w:numPr>
        <w:spacing w:after="0"/>
        <w:rPr>
          <w:lang w:val="en-US"/>
        </w:rPr>
      </w:pPr>
      <w:r w:rsidRPr="00B64A15">
        <w:rPr>
          <w:lang w:val="en-US"/>
        </w:rPr>
        <w:t xml:space="preserve">The spaces between adjacent sections of myelin where the axon’s plasma membrane is exposed to the ECF [in this case of the CNS, the cerebrospinal fluid (CSF)] are the nodes of </w:t>
      </w:r>
      <w:proofErr w:type="spellStart"/>
      <w:r w:rsidRPr="00B64A15">
        <w:rPr>
          <w:lang w:val="en-US"/>
        </w:rPr>
        <w:t>Ranvier</w:t>
      </w:r>
      <w:proofErr w:type="spellEnd"/>
      <w:r w:rsidRPr="00B64A15">
        <w:rPr>
          <w:lang w:val="en-US"/>
        </w:rPr>
        <w:t>.</w:t>
      </w:r>
    </w:p>
    <w:p w:rsidR="00B64A15" w:rsidRPr="00B64A15" w:rsidRDefault="00932171" w:rsidP="00B64A15">
      <w:pPr>
        <w:spacing w:after="0"/>
        <w:rPr>
          <w:lang w:val="en-US"/>
        </w:rPr>
      </w:pPr>
      <w:r>
        <w:rPr>
          <w:noProof/>
          <w:lang w:eastAsia="en-CA"/>
        </w:rPr>
        <w:drawing>
          <wp:anchor distT="0" distB="0" distL="114300" distR="114300" simplePos="0" relativeHeight="251660288" behindDoc="1" locked="0" layoutInCell="1" allowOverlap="1">
            <wp:simplePos x="0" y="0"/>
            <wp:positionH relativeFrom="column">
              <wp:posOffset>3028950</wp:posOffset>
            </wp:positionH>
            <wp:positionV relativeFrom="paragraph">
              <wp:posOffset>155575</wp:posOffset>
            </wp:positionV>
            <wp:extent cx="3244850" cy="2628900"/>
            <wp:effectExtent l="19050" t="0" r="0" b="0"/>
            <wp:wrapTight wrapText="bothSides">
              <wp:wrapPolygon edited="0">
                <wp:start x="-127" y="0"/>
                <wp:lineTo x="-127" y="21443"/>
                <wp:lineTo x="21558" y="21443"/>
                <wp:lineTo x="21558" y="0"/>
                <wp:lineTo x="-127" y="0"/>
              </wp:wrapPolygon>
            </wp:wrapTight>
            <wp:docPr id="3" name="Picture 3" descr="wid4962X_0606"/>
            <wp:cNvGraphicFramePr/>
            <a:graphic xmlns:a="http://schemas.openxmlformats.org/drawingml/2006/main">
              <a:graphicData uri="http://schemas.openxmlformats.org/drawingml/2006/picture">
                <pic:pic xmlns:pic="http://schemas.openxmlformats.org/drawingml/2006/picture">
                  <pic:nvPicPr>
                    <pic:cNvPr id="12293" name="Picture 4" descr="wid4962X_0606"/>
                    <pic:cNvPicPr>
                      <a:picLocks noChangeAspect="1" noChangeArrowheads="1"/>
                    </pic:cNvPicPr>
                  </pic:nvPicPr>
                  <pic:blipFill>
                    <a:blip r:embed="rId7" cstate="print"/>
                    <a:srcRect t="3517"/>
                    <a:stretch>
                      <a:fillRect/>
                    </a:stretch>
                  </pic:blipFill>
                  <pic:spPr bwMode="auto">
                    <a:xfrm>
                      <a:off x="0" y="0"/>
                      <a:ext cx="3244850" cy="2628900"/>
                    </a:xfrm>
                    <a:prstGeom prst="rect">
                      <a:avLst/>
                    </a:prstGeom>
                    <a:noFill/>
                    <a:ln w="9525">
                      <a:noFill/>
                      <a:miter lim="800000"/>
                      <a:headEnd/>
                      <a:tailEnd/>
                    </a:ln>
                  </pic:spPr>
                </pic:pic>
              </a:graphicData>
            </a:graphic>
          </wp:anchor>
        </w:drawing>
      </w:r>
    </w:p>
    <w:p w:rsidR="00B64A15" w:rsidRPr="00B64A15" w:rsidRDefault="00B64A15" w:rsidP="00B64A15">
      <w:pPr>
        <w:spacing w:after="0"/>
        <w:rPr>
          <w:b/>
          <w:bCs/>
          <w:lang w:val="en-US"/>
        </w:rPr>
      </w:pPr>
      <w:proofErr w:type="spellStart"/>
      <w:r w:rsidRPr="00B64A15">
        <w:rPr>
          <w:b/>
          <w:bCs/>
          <w:lang w:val="en-US"/>
        </w:rPr>
        <w:t>Glial</w:t>
      </w:r>
      <w:proofErr w:type="spellEnd"/>
      <w:r w:rsidRPr="00B64A15">
        <w:rPr>
          <w:b/>
          <w:bCs/>
          <w:lang w:val="en-US"/>
        </w:rPr>
        <w:t xml:space="preserve"> cells</w:t>
      </w:r>
      <w:proofErr w:type="gramStart"/>
      <w:r w:rsidRPr="00B64A15">
        <w:rPr>
          <w:b/>
          <w:bCs/>
          <w:lang w:val="en-US"/>
        </w:rPr>
        <w:t>…(</w:t>
      </w:r>
      <w:proofErr w:type="gramEnd"/>
      <w:r w:rsidRPr="00B64A15">
        <w:rPr>
          <w:b/>
          <w:bCs/>
          <w:lang w:val="en-US"/>
        </w:rPr>
        <w:t>cont’d)</w:t>
      </w:r>
    </w:p>
    <w:p w:rsidR="00B64A15" w:rsidRPr="00B64A15" w:rsidRDefault="00B64A15" w:rsidP="00B64A15">
      <w:pPr>
        <w:pStyle w:val="ListParagraph"/>
        <w:numPr>
          <w:ilvl w:val="0"/>
          <w:numId w:val="7"/>
        </w:numPr>
        <w:spacing w:after="0"/>
        <w:rPr>
          <w:lang w:val="en-US"/>
        </w:rPr>
      </w:pPr>
      <w:proofErr w:type="gramStart"/>
      <w:r w:rsidRPr="00B64A15">
        <w:rPr>
          <w:b/>
          <w:bCs/>
          <w:lang w:val="en-US"/>
        </w:rPr>
        <w:t>Microglia</w:t>
      </w:r>
      <w:r w:rsidRPr="00B64A15">
        <w:rPr>
          <w:lang w:val="en-US"/>
        </w:rPr>
        <w:t xml:space="preserve"> are</w:t>
      </w:r>
      <w:proofErr w:type="gramEnd"/>
      <w:r w:rsidRPr="00B64A15">
        <w:rPr>
          <w:lang w:val="en-US"/>
        </w:rPr>
        <w:t xml:space="preserve"> specialized macrophage-like cells that reside in the CNS and will proliferate and become activated in response to injury.</w:t>
      </w:r>
    </w:p>
    <w:p w:rsidR="00B64A15" w:rsidRDefault="00B64A15" w:rsidP="00B64A15">
      <w:pPr>
        <w:pStyle w:val="ListParagraph"/>
        <w:numPr>
          <w:ilvl w:val="0"/>
          <w:numId w:val="7"/>
        </w:numPr>
        <w:spacing w:after="0"/>
        <w:rPr>
          <w:lang w:val="en-US"/>
        </w:rPr>
      </w:pPr>
      <w:proofErr w:type="spellStart"/>
      <w:r w:rsidRPr="00B64A15">
        <w:rPr>
          <w:b/>
          <w:bCs/>
          <w:lang w:val="en-US"/>
        </w:rPr>
        <w:t>Ependymal</w:t>
      </w:r>
      <w:proofErr w:type="spellEnd"/>
      <w:r w:rsidRPr="00B64A15">
        <w:rPr>
          <w:b/>
          <w:bCs/>
          <w:lang w:val="en-US"/>
        </w:rPr>
        <w:t xml:space="preserve"> cells</w:t>
      </w:r>
      <w:r w:rsidRPr="00B64A15">
        <w:rPr>
          <w:lang w:val="en-US"/>
        </w:rPr>
        <w:t xml:space="preserve"> line the fluid filled cavities of the brain and regulate production of the cerebrospinal fluid</w:t>
      </w:r>
    </w:p>
    <w:p w:rsidR="00932171" w:rsidRPr="00932171" w:rsidRDefault="00932171" w:rsidP="00932171">
      <w:pPr>
        <w:spacing w:after="0"/>
        <w:rPr>
          <w:lang w:val="en-US"/>
        </w:rPr>
      </w:pPr>
    </w:p>
    <w:p w:rsidR="00932171" w:rsidRDefault="00932171" w:rsidP="00B64A15">
      <w:pPr>
        <w:spacing w:after="0"/>
        <w:rPr>
          <w:b/>
          <w:bCs/>
          <w:lang w:val="en-US"/>
        </w:rPr>
      </w:pPr>
    </w:p>
    <w:p w:rsidR="00932171" w:rsidRDefault="00932171" w:rsidP="00B64A15">
      <w:pPr>
        <w:spacing w:after="0"/>
        <w:rPr>
          <w:b/>
          <w:bCs/>
          <w:lang w:val="en-US"/>
        </w:rPr>
      </w:pPr>
    </w:p>
    <w:p w:rsidR="00932171" w:rsidRDefault="00932171" w:rsidP="00B64A15">
      <w:pPr>
        <w:spacing w:after="0"/>
        <w:rPr>
          <w:b/>
          <w:bCs/>
          <w:lang w:val="en-US"/>
        </w:rPr>
      </w:pPr>
    </w:p>
    <w:p w:rsidR="00B64A15" w:rsidRDefault="00B64A15" w:rsidP="00B64A15">
      <w:pPr>
        <w:spacing w:after="0"/>
        <w:rPr>
          <w:b/>
          <w:bCs/>
          <w:lang w:val="en-US"/>
        </w:rPr>
      </w:pPr>
      <w:r w:rsidRPr="00B64A15">
        <w:rPr>
          <w:b/>
          <w:bCs/>
          <w:lang w:val="en-US"/>
        </w:rPr>
        <w:t>Axonal Transport</w:t>
      </w:r>
    </w:p>
    <w:p w:rsidR="00932171" w:rsidRPr="00932171" w:rsidRDefault="00932171" w:rsidP="00932171">
      <w:pPr>
        <w:pStyle w:val="ListParagraph"/>
        <w:numPr>
          <w:ilvl w:val="0"/>
          <w:numId w:val="7"/>
        </w:numPr>
        <w:spacing w:after="0"/>
        <w:rPr>
          <w:b/>
          <w:bCs/>
          <w:lang w:val="en-US"/>
        </w:rPr>
      </w:pPr>
      <w:r>
        <w:rPr>
          <w:bCs/>
          <w:lang w:val="en-US"/>
        </w:rPr>
        <w:t xml:space="preserve">Transportation of nutrients and proteins are </w:t>
      </w:r>
      <w:r>
        <w:rPr>
          <w:bCs/>
          <w:lang w:val="en-US"/>
        </w:rPr>
        <w:lastRenderedPageBreak/>
        <w:t>transported along the axon from the cell body to the terminal ends</w:t>
      </w:r>
    </w:p>
    <w:p w:rsidR="00932171" w:rsidRPr="00932171" w:rsidRDefault="00932171" w:rsidP="00932171">
      <w:pPr>
        <w:pStyle w:val="ListParagraph"/>
        <w:numPr>
          <w:ilvl w:val="0"/>
          <w:numId w:val="7"/>
        </w:numPr>
        <w:spacing w:after="0"/>
        <w:rPr>
          <w:b/>
          <w:bCs/>
          <w:lang w:val="en-US"/>
        </w:rPr>
      </w:pPr>
      <w:proofErr w:type="spellStart"/>
      <w:r>
        <w:rPr>
          <w:bCs/>
          <w:lang w:val="en-US"/>
        </w:rPr>
        <w:t>Kinesins</w:t>
      </w:r>
      <w:proofErr w:type="spellEnd"/>
      <w:r>
        <w:rPr>
          <w:bCs/>
          <w:lang w:val="en-US"/>
        </w:rPr>
        <w:t xml:space="preserve"> (motor protein)</w:t>
      </w:r>
      <w:r w:rsidRPr="00932171">
        <w:rPr>
          <w:bCs/>
          <w:lang w:val="en-US"/>
        </w:rPr>
        <w:sym w:font="Wingdings" w:char="F0E0"/>
      </w:r>
      <w:r>
        <w:rPr>
          <w:bCs/>
          <w:lang w:val="en-US"/>
        </w:rPr>
        <w:t xml:space="preserve">transport </w:t>
      </w:r>
      <w:proofErr w:type="spellStart"/>
      <w:r>
        <w:rPr>
          <w:bCs/>
          <w:lang w:val="en-US"/>
        </w:rPr>
        <w:t>secretory</w:t>
      </w:r>
      <w:proofErr w:type="spellEnd"/>
      <w:r>
        <w:rPr>
          <w:bCs/>
          <w:lang w:val="en-US"/>
        </w:rPr>
        <w:t xml:space="preserve"> vesicles from the cell body to the axon terminal (they have legs that walk on track (</w:t>
      </w:r>
      <w:r w:rsidR="007A150F">
        <w:rPr>
          <w:bCs/>
          <w:lang w:val="en-US"/>
        </w:rPr>
        <w:t>microtubules</w:t>
      </w:r>
      <w:r>
        <w:rPr>
          <w:bCs/>
          <w:lang w:val="en-US"/>
        </w:rPr>
        <w:t>)</w:t>
      </w:r>
    </w:p>
    <w:p w:rsidR="00932171" w:rsidRPr="007A150F" w:rsidRDefault="00932171" w:rsidP="00932171">
      <w:pPr>
        <w:pStyle w:val="ListParagraph"/>
        <w:numPr>
          <w:ilvl w:val="0"/>
          <w:numId w:val="7"/>
        </w:numPr>
        <w:spacing w:after="0"/>
        <w:rPr>
          <w:b/>
          <w:bCs/>
          <w:lang w:val="en-US"/>
        </w:rPr>
      </w:pPr>
      <w:proofErr w:type="spellStart"/>
      <w:r>
        <w:rPr>
          <w:bCs/>
          <w:lang w:val="en-US"/>
        </w:rPr>
        <w:t>Dyneins</w:t>
      </w:r>
      <w:proofErr w:type="spellEnd"/>
      <w:r>
        <w:rPr>
          <w:bCs/>
          <w:lang w:val="en-US"/>
        </w:rPr>
        <w:t xml:space="preserve"> motor proteins</w:t>
      </w:r>
      <w:r w:rsidRPr="00932171">
        <w:rPr>
          <w:bCs/>
          <w:lang w:val="en-US"/>
        </w:rPr>
        <w:sym w:font="Wingdings" w:char="F0E0"/>
      </w:r>
      <w:r>
        <w:rPr>
          <w:bCs/>
          <w:lang w:val="en-US"/>
        </w:rPr>
        <w:t xml:space="preserve"> proteins that transport vesicles from the terminal to the cell body</w:t>
      </w:r>
    </w:p>
    <w:p w:rsidR="007A150F" w:rsidRPr="007A150F" w:rsidRDefault="007A150F" w:rsidP="007A150F">
      <w:pPr>
        <w:pStyle w:val="ListParagraph"/>
        <w:numPr>
          <w:ilvl w:val="0"/>
          <w:numId w:val="7"/>
        </w:numPr>
        <w:rPr>
          <w:bCs/>
          <w:lang w:val="en-US"/>
        </w:rPr>
      </w:pPr>
      <w:proofErr w:type="spellStart"/>
      <w:r w:rsidRPr="007A150F">
        <w:rPr>
          <w:bCs/>
          <w:lang w:val="en-US"/>
        </w:rPr>
        <w:t>Anteriograde</w:t>
      </w:r>
      <w:proofErr w:type="spellEnd"/>
      <w:r w:rsidRPr="007A150F">
        <w:rPr>
          <w:bCs/>
          <w:lang w:val="en-US"/>
        </w:rPr>
        <w:t xml:space="preserve"> and retrograde transport</w:t>
      </w:r>
    </w:p>
    <w:p w:rsidR="00B64A15" w:rsidRPr="00B64A15" w:rsidRDefault="00B64A15" w:rsidP="00B64A15">
      <w:pPr>
        <w:spacing w:after="0"/>
        <w:rPr>
          <w:b/>
          <w:bCs/>
          <w:lang w:val="en-US"/>
        </w:rPr>
      </w:pPr>
      <w:r w:rsidRPr="00B64A15">
        <w:rPr>
          <w:b/>
          <w:bCs/>
          <w:lang w:val="en-US"/>
        </w:rPr>
        <w:t>Functional Classes of Neurons</w:t>
      </w:r>
    </w:p>
    <w:p w:rsidR="007A150F" w:rsidRDefault="007A150F" w:rsidP="00B64A15">
      <w:pPr>
        <w:spacing w:after="0"/>
        <w:rPr>
          <w:b/>
          <w:bCs/>
          <w:lang w:val="en-US"/>
        </w:rPr>
      </w:pPr>
      <w:r w:rsidRPr="007A150F">
        <w:rPr>
          <w:b/>
          <w:bCs/>
          <w:noProof/>
          <w:lang w:eastAsia="en-CA"/>
        </w:rPr>
        <w:drawing>
          <wp:inline distT="0" distB="0" distL="0" distR="0">
            <wp:extent cx="5384800" cy="3429000"/>
            <wp:effectExtent l="0" t="0" r="0" b="0"/>
            <wp:docPr id="5" name="Object 5"/>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618412" cy="5214938"/>
                      <a:chOff x="875491" y="1163281"/>
                      <a:chExt cx="7618412" cy="5214938"/>
                    </a:xfrm>
                  </a:grpSpPr>
                  <a:grpSp>
                    <a:nvGrpSpPr>
                      <a:cNvPr id="12" name="Group 11"/>
                      <a:cNvGrpSpPr/>
                    </a:nvGrpSpPr>
                    <a:grpSpPr>
                      <a:xfrm>
                        <a:off x="875491" y="1163281"/>
                        <a:ext cx="7618412" cy="5214938"/>
                        <a:chOff x="894152" y="1088636"/>
                        <a:chExt cx="7618412" cy="5214938"/>
                      </a:xfrm>
                    </a:grpSpPr>
                    <a:grpSp>
                      <a:nvGrpSpPr>
                        <a:cNvPr id="3" name="Group 10"/>
                        <a:cNvGrpSpPr/>
                      </a:nvGrpSpPr>
                      <a:grpSpPr>
                        <a:xfrm>
                          <a:off x="894152" y="1088636"/>
                          <a:ext cx="7618412" cy="5214938"/>
                          <a:chOff x="912813" y="1069975"/>
                          <a:chExt cx="7618412" cy="5214938"/>
                        </a:xfrm>
                      </a:grpSpPr>
                      <a:pic>
                        <a:nvPicPr>
                          <a:cNvPr id="14342" name="Picture 8" descr="06_04"/>
                          <a:cNvPicPr>
                            <a:picLocks noChangeAspect="1" noChangeArrowheads="1"/>
                          </a:cNvPicPr>
                        </a:nvPicPr>
                        <a:blipFill>
                          <a:blip r:embed="rId8" cstate="print"/>
                          <a:srcRect t="3487"/>
                          <a:stretch>
                            <a:fillRect/>
                          </a:stretch>
                        </a:blipFill>
                        <a:spPr bwMode="auto">
                          <a:xfrm>
                            <a:off x="938602" y="1910961"/>
                            <a:ext cx="7427912" cy="3249613"/>
                          </a:xfrm>
                          <a:prstGeom prst="rect">
                            <a:avLst/>
                          </a:prstGeom>
                          <a:noFill/>
                          <a:ln w="9525">
                            <a:noFill/>
                            <a:miter lim="800000"/>
                            <a:headEnd/>
                            <a:tailEnd/>
                          </a:ln>
                        </a:spPr>
                      </a:pic>
                      <a:sp>
                        <a:nvSpPr>
                          <a:cNvPr id="211970" name="Text Box 2"/>
                          <a:cNvSpPr txBox="1">
                            <a:spLocks noChangeArrowheads="1"/>
                          </a:cNvSpPr>
                        </a:nvSpPr>
                        <a:spPr bwMode="auto">
                          <a:xfrm>
                            <a:off x="3640138" y="1081088"/>
                            <a:ext cx="4891087" cy="835025"/>
                          </a:xfrm>
                          <a:prstGeom prst="rect">
                            <a:avLst/>
                          </a:prstGeom>
                          <a:noFill/>
                          <a:ln w="12700">
                            <a:noFill/>
                            <a:miter lim="800000"/>
                            <a:headEnd/>
                            <a:tailEnd/>
                          </a:ln>
                        </a:spPr>
                        <a:txSp>
                          <a:txBody>
                            <a:bodyPr lIns="102577" tIns="51289" rIns="102577" bIns="51289">
                              <a:spAutoFit/>
                            </a:bodyPr>
                            <a:lstStyle>
                              <a:defPPr>
                                <a:defRPr lang="en-US"/>
                              </a:defPPr>
                              <a:lvl1pPr algn="l" rtl="0" fontAlgn="base">
                                <a:spcBef>
                                  <a:spcPct val="0"/>
                                </a:spcBef>
                                <a:spcAft>
                                  <a:spcPct val="0"/>
                                </a:spcAft>
                                <a:defRPr sz="1400" kern="1200">
                                  <a:solidFill>
                                    <a:schemeClr val="tx1"/>
                                  </a:solidFill>
                                  <a:latin typeface="Arial" charset="0"/>
                                  <a:ea typeface="+mn-ea"/>
                                  <a:cs typeface="Arial" charset="0"/>
                                </a:defRPr>
                              </a:lvl1pPr>
                              <a:lvl2pPr marL="457200" algn="l" rtl="0" fontAlgn="base">
                                <a:spcBef>
                                  <a:spcPct val="0"/>
                                </a:spcBef>
                                <a:spcAft>
                                  <a:spcPct val="0"/>
                                </a:spcAft>
                                <a:defRPr sz="1400" kern="1200">
                                  <a:solidFill>
                                    <a:schemeClr val="tx1"/>
                                  </a:solidFill>
                                  <a:latin typeface="Arial" charset="0"/>
                                  <a:ea typeface="+mn-ea"/>
                                  <a:cs typeface="Arial" charset="0"/>
                                </a:defRPr>
                              </a:lvl2pPr>
                              <a:lvl3pPr marL="914400" algn="l" rtl="0" fontAlgn="base">
                                <a:spcBef>
                                  <a:spcPct val="0"/>
                                </a:spcBef>
                                <a:spcAft>
                                  <a:spcPct val="0"/>
                                </a:spcAft>
                                <a:defRPr sz="1400" kern="1200">
                                  <a:solidFill>
                                    <a:schemeClr val="tx1"/>
                                  </a:solidFill>
                                  <a:latin typeface="Arial" charset="0"/>
                                  <a:ea typeface="+mn-ea"/>
                                  <a:cs typeface="Arial" charset="0"/>
                                </a:defRPr>
                              </a:lvl3pPr>
                              <a:lvl4pPr marL="1371600" algn="l" rtl="0" fontAlgn="base">
                                <a:spcBef>
                                  <a:spcPct val="0"/>
                                </a:spcBef>
                                <a:spcAft>
                                  <a:spcPct val="0"/>
                                </a:spcAft>
                                <a:defRPr sz="1400" kern="1200">
                                  <a:solidFill>
                                    <a:schemeClr val="tx1"/>
                                  </a:solidFill>
                                  <a:latin typeface="Arial" charset="0"/>
                                  <a:ea typeface="+mn-ea"/>
                                  <a:cs typeface="Arial" charset="0"/>
                                </a:defRPr>
                              </a:lvl4pPr>
                              <a:lvl5pPr marL="1828800" algn="l" rtl="0" fontAlgn="base">
                                <a:spcBef>
                                  <a:spcPct val="0"/>
                                </a:spcBef>
                                <a:spcAft>
                                  <a:spcPct val="0"/>
                                </a:spcAft>
                                <a:defRPr sz="1400" kern="1200">
                                  <a:solidFill>
                                    <a:schemeClr val="tx1"/>
                                  </a:solidFill>
                                  <a:latin typeface="Arial" charset="0"/>
                                  <a:ea typeface="+mn-ea"/>
                                  <a:cs typeface="Arial" charset="0"/>
                                </a:defRPr>
                              </a:lvl5pPr>
                              <a:lvl6pPr marL="2286000" algn="l" defTabSz="914400" rtl="0" eaLnBrk="1" latinLnBrk="0" hangingPunct="1">
                                <a:defRPr sz="1400" kern="1200">
                                  <a:solidFill>
                                    <a:schemeClr val="tx1"/>
                                  </a:solidFill>
                                  <a:latin typeface="Arial" charset="0"/>
                                  <a:ea typeface="+mn-ea"/>
                                  <a:cs typeface="Arial" charset="0"/>
                                </a:defRPr>
                              </a:lvl6pPr>
                              <a:lvl7pPr marL="2743200" algn="l" defTabSz="914400" rtl="0" eaLnBrk="1" latinLnBrk="0" hangingPunct="1">
                                <a:defRPr sz="1400" kern="1200">
                                  <a:solidFill>
                                    <a:schemeClr val="tx1"/>
                                  </a:solidFill>
                                  <a:latin typeface="Arial" charset="0"/>
                                  <a:ea typeface="+mn-ea"/>
                                  <a:cs typeface="Arial" charset="0"/>
                                </a:defRPr>
                              </a:lvl7pPr>
                              <a:lvl8pPr marL="3200400" algn="l" defTabSz="914400" rtl="0" eaLnBrk="1" latinLnBrk="0" hangingPunct="1">
                                <a:defRPr sz="1400" kern="1200">
                                  <a:solidFill>
                                    <a:schemeClr val="tx1"/>
                                  </a:solidFill>
                                  <a:latin typeface="Arial" charset="0"/>
                                  <a:ea typeface="+mn-ea"/>
                                  <a:cs typeface="Arial" charset="0"/>
                                </a:defRPr>
                              </a:lvl8pPr>
                              <a:lvl9pPr marL="3657600" algn="l" defTabSz="914400" rtl="0" eaLnBrk="1" latinLnBrk="0" hangingPunct="1">
                                <a:defRPr sz="1400" kern="1200">
                                  <a:solidFill>
                                    <a:schemeClr val="tx1"/>
                                  </a:solidFill>
                                  <a:latin typeface="Arial" charset="0"/>
                                  <a:ea typeface="+mn-ea"/>
                                  <a:cs typeface="Arial" charset="0"/>
                                </a:defRPr>
                              </a:lvl9pPr>
                            </a:lstStyle>
                            <a:p>
                              <a:pPr defTabSz="1025525" eaLnBrk="0" hangingPunct="0"/>
                              <a:r>
                                <a:rPr lang="en-US" sz="1600" dirty="0">
                                  <a:latin typeface="Comic Sans MS" pitchFamily="66" charset="0"/>
                                </a:rPr>
                                <a:t>PNS = afferent neurons into the CNS +  efferent neurons (“effecting” change: movement, secretion, etc.) projecting out of the CNS.</a:t>
                              </a:r>
                            </a:p>
                          </a:txBody>
                          <a:useSpRect/>
                        </a:txSp>
                      </a:sp>
                      <a:sp>
                        <a:nvSpPr>
                          <a:cNvPr id="211973" name="Text Box 5"/>
                          <a:cNvSpPr txBox="1">
                            <a:spLocks noChangeArrowheads="1"/>
                          </a:cNvSpPr>
                        </a:nvSpPr>
                        <a:spPr bwMode="auto">
                          <a:xfrm>
                            <a:off x="912813" y="1069975"/>
                            <a:ext cx="2646362" cy="835025"/>
                          </a:xfrm>
                          <a:prstGeom prst="rect">
                            <a:avLst/>
                          </a:prstGeom>
                          <a:noFill/>
                          <a:ln w="12700">
                            <a:noFill/>
                            <a:miter lim="800000"/>
                            <a:headEnd/>
                            <a:tailEnd/>
                          </a:ln>
                        </a:spPr>
                        <a:txSp>
                          <a:txBody>
                            <a:bodyPr lIns="102577" tIns="51289" rIns="102577" bIns="51289">
                              <a:spAutoFit/>
                            </a:bodyPr>
                            <a:lstStyle>
                              <a:defPPr>
                                <a:defRPr lang="en-US"/>
                              </a:defPPr>
                              <a:lvl1pPr algn="l" rtl="0" fontAlgn="base">
                                <a:spcBef>
                                  <a:spcPct val="0"/>
                                </a:spcBef>
                                <a:spcAft>
                                  <a:spcPct val="0"/>
                                </a:spcAft>
                                <a:defRPr sz="1400" kern="1200">
                                  <a:solidFill>
                                    <a:schemeClr val="tx1"/>
                                  </a:solidFill>
                                  <a:latin typeface="Arial" charset="0"/>
                                  <a:ea typeface="+mn-ea"/>
                                  <a:cs typeface="Arial" charset="0"/>
                                </a:defRPr>
                              </a:lvl1pPr>
                              <a:lvl2pPr marL="457200" algn="l" rtl="0" fontAlgn="base">
                                <a:spcBef>
                                  <a:spcPct val="0"/>
                                </a:spcBef>
                                <a:spcAft>
                                  <a:spcPct val="0"/>
                                </a:spcAft>
                                <a:defRPr sz="1400" kern="1200">
                                  <a:solidFill>
                                    <a:schemeClr val="tx1"/>
                                  </a:solidFill>
                                  <a:latin typeface="Arial" charset="0"/>
                                  <a:ea typeface="+mn-ea"/>
                                  <a:cs typeface="Arial" charset="0"/>
                                </a:defRPr>
                              </a:lvl2pPr>
                              <a:lvl3pPr marL="914400" algn="l" rtl="0" fontAlgn="base">
                                <a:spcBef>
                                  <a:spcPct val="0"/>
                                </a:spcBef>
                                <a:spcAft>
                                  <a:spcPct val="0"/>
                                </a:spcAft>
                                <a:defRPr sz="1400" kern="1200">
                                  <a:solidFill>
                                    <a:schemeClr val="tx1"/>
                                  </a:solidFill>
                                  <a:latin typeface="Arial" charset="0"/>
                                  <a:ea typeface="+mn-ea"/>
                                  <a:cs typeface="Arial" charset="0"/>
                                </a:defRPr>
                              </a:lvl3pPr>
                              <a:lvl4pPr marL="1371600" algn="l" rtl="0" fontAlgn="base">
                                <a:spcBef>
                                  <a:spcPct val="0"/>
                                </a:spcBef>
                                <a:spcAft>
                                  <a:spcPct val="0"/>
                                </a:spcAft>
                                <a:defRPr sz="1400" kern="1200">
                                  <a:solidFill>
                                    <a:schemeClr val="tx1"/>
                                  </a:solidFill>
                                  <a:latin typeface="Arial" charset="0"/>
                                  <a:ea typeface="+mn-ea"/>
                                  <a:cs typeface="Arial" charset="0"/>
                                </a:defRPr>
                              </a:lvl4pPr>
                              <a:lvl5pPr marL="1828800" algn="l" rtl="0" fontAlgn="base">
                                <a:spcBef>
                                  <a:spcPct val="0"/>
                                </a:spcBef>
                                <a:spcAft>
                                  <a:spcPct val="0"/>
                                </a:spcAft>
                                <a:defRPr sz="1400" kern="1200">
                                  <a:solidFill>
                                    <a:schemeClr val="tx1"/>
                                  </a:solidFill>
                                  <a:latin typeface="Arial" charset="0"/>
                                  <a:ea typeface="+mn-ea"/>
                                  <a:cs typeface="Arial" charset="0"/>
                                </a:defRPr>
                              </a:lvl5pPr>
                              <a:lvl6pPr marL="2286000" algn="l" defTabSz="914400" rtl="0" eaLnBrk="1" latinLnBrk="0" hangingPunct="1">
                                <a:defRPr sz="1400" kern="1200">
                                  <a:solidFill>
                                    <a:schemeClr val="tx1"/>
                                  </a:solidFill>
                                  <a:latin typeface="Arial" charset="0"/>
                                  <a:ea typeface="+mn-ea"/>
                                  <a:cs typeface="Arial" charset="0"/>
                                </a:defRPr>
                              </a:lvl6pPr>
                              <a:lvl7pPr marL="2743200" algn="l" defTabSz="914400" rtl="0" eaLnBrk="1" latinLnBrk="0" hangingPunct="1">
                                <a:defRPr sz="1400" kern="1200">
                                  <a:solidFill>
                                    <a:schemeClr val="tx1"/>
                                  </a:solidFill>
                                  <a:latin typeface="Arial" charset="0"/>
                                  <a:ea typeface="+mn-ea"/>
                                  <a:cs typeface="Arial" charset="0"/>
                                </a:defRPr>
                              </a:lvl7pPr>
                              <a:lvl8pPr marL="3200400" algn="l" defTabSz="914400" rtl="0" eaLnBrk="1" latinLnBrk="0" hangingPunct="1">
                                <a:defRPr sz="1400" kern="1200">
                                  <a:solidFill>
                                    <a:schemeClr val="tx1"/>
                                  </a:solidFill>
                                  <a:latin typeface="Arial" charset="0"/>
                                  <a:ea typeface="+mn-ea"/>
                                  <a:cs typeface="Arial" charset="0"/>
                                </a:defRPr>
                              </a:lvl8pPr>
                              <a:lvl9pPr marL="3657600" algn="l" defTabSz="914400" rtl="0" eaLnBrk="1" latinLnBrk="0" hangingPunct="1">
                                <a:defRPr sz="1400" kern="1200">
                                  <a:solidFill>
                                    <a:schemeClr val="tx1"/>
                                  </a:solidFill>
                                  <a:latin typeface="Arial" charset="0"/>
                                  <a:ea typeface="+mn-ea"/>
                                  <a:cs typeface="Arial" charset="0"/>
                                </a:defRPr>
                              </a:lvl9pPr>
                            </a:lstStyle>
                            <a:p>
                              <a:pPr defTabSz="1025525" eaLnBrk="0" hangingPunct="0"/>
                              <a:r>
                                <a:rPr lang="en-US" sz="1600" dirty="0">
                                  <a:latin typeface="Comic Sans MS" pitchFamily="66" charset="0"/>
                                </a:rPr>
                                <a:t>CNS = brain + spinal cord; all parts of </a:t>
                              </a:r>
                              <a:r>
                                <a:rPr lang="en-US" sz="1600" dirty="0" err="1">
                                  <a:latin typeface="Comic Sans MS" pitchFamily="66" charset="0"/>
                                </a:rPr>
                                <a:t>interneurons</a:t>
                              </a:r>
                              <a:r>
                                <a:rPr lang="en-US" sz="1600" dirty="0">
                                  <a:latin typeface="Comic Sans MS" pitchFamily="66" charset="0"/>
                                </a:rPr>
                                <a:t> are in the CNS.</a:t>
                              </a:r>
                            </a:p>
                          </a:txBody>
                          <a:useSpRect/>
                        </a:txSp>
                      </a:sp>
                      <a:sp>
                        <a:nvSpPr>
                          <a:cNvPr id="14343" name="Text Box 9"/>
                          <a:cNvSpPr txBox="1">
                            <a:spLocks noChangeArrowheads="1"/>
                          </a:cNvSpPr>
                        </a:nvSpPr>
                        <a:spPr bwMode="auto">
                          <a:xfrm>
                            <a:off x="946150" y="5119688"/>
                            <a:ext cx="7448550" cy="1165225"/>
                          </a:xfrm>
                          <a:prstGeom prst="rect">
                            <a:avLst/>
                          </a:prstGeom>
                          <a:noFill/>
                          <a:ln w="38100">
                            <a:noFill/>
                            <a:miter lim="800000"/>
                            <a:headEnd/>
                            <a:tailEnd/>
                          </a:ln>
                        </a:spPr>
                        <a:txSp>
                          <a:txBody>
                            <a:bodyPr lIns="102577" tIns="51289" rIns="102577" bIns="51289">
                              <a:spAutoFit/>
                            </a:bodyPr>
                            <a:lstStyle>
                              <a:defPPr>
                                <a:defRPr lang="en-US"/>
                              </a:defPPr>
                              <a:lvl1pPr algn="l" rtl="0" fontAlgn="base">
                                <a:spcBef>
                                  <a:spcPct val="0"/>
                                </a:spcBef>
                                <a:spcAft>
                                  <a:spcPct val="0"/>
                                </a:spcAft>
                                <a:defRPr sz="1400" kern="1200">
                                  <a:solidFill>
                                    <a:schemeClr val="tx1"/>
                                  </a:solidFill>
                                  <a:latin typeface="Arial" charset="0"/>
                                  <a:ea typeface="+mn-ea"/>
                                  <a:cs typeface="Arial" charset="0"/>
                                </a:defRPr>
                              </a:lvl1pPr>
                              <a:lvl2pPr marL="457200" algn="l" rtl="0" fontAlgn="base">
                                <a:spcBef>
                                  <a:spcPct val="0"/>
                                </a:spcBef>
                                <a:spcAft>
                                  <a:spcPct val="0"/>
                                </a:spcAft>
                                <a:defRPr sz="1400" kern="1200">
                                  <a:solidFill>
                                    <a:schemeClr val="tx1"/>
                                  </a:solidFill>
                                  <a:latin typeface="Arial" charset="0"/>
                                  <a:ea typeface="+mn-ea"/>
                                  <a:cs typeface="Arial" charset="0"/>
                                </a:defRPr>
                              </a:lvl2pPr>
                              <a:lvl3pPr marL="914400" algn="l" rtl="0" fontAlgn="base">
                                <a:spcBef>
                                  <a:spcPct val="0"/>
                                </a:spcBef>
                                <a:spcAft>
                                  <a:spcPct val="0"/>
                                </a:spcAft>
                                <a:defRPr sz="1400" kern="1200">
                                  <a:solidFill>
                                    <a:schemeClr val="tx1"/>
                                  </a:solidFill>
                                  <a:latin typeface="Arial" charset="0"/>
                                  <a:ea typeface="+mn-ea"/>
                                  <a:cs typeface="Arial" charset="0"/>
                                </a:defRPr>
                              </a:lvl3pPr>
                              <a:lvl4pPr marL="1371600" algn="l" rtl="0" fontAlgn="base">
                                <a:spcBef>
                                  <a:spcPct val="0"/>
                                </a:spcBef>
                                <a:spcAft>
                                  <a:spcPct val="0"/>
                                </a:spcAft>
                                <a:defRPr sz="1400" kern="1200">
                                  <a:solidFill>
                                    <a:schemeClr val="tx1"/>
                                  </a:solidFill>
                                  <a:latin typeface="Arial" charset="0"/>
                                  <a:ea typeface="+mn-ea"/>
                                  <a:cs typeface="Arial" charset="0"/>
                                </a:defRPr>
                              </a:lvl4pPr>
                              <a:lvl5pPr marL="1828800" algn="l" rtl="0" fontAlgn="base">
                                <a:spcBef>
                                  <a:spcPct val="0"/>
                                </a:spcBef>
                                <a:spcAft>
                                  <a:spcPct val="0"/>
                                </a:spcAft>
                                <a:defRPr sz="1400" kern="1200">
                                  <a:solidFill>
                                    <a:schemeClr val="tx1"/>
                                  </a:solidFill>
                                  <a:latin typeface="Arial" charset="0"/>
                                  <a:ea typeface="+mn-ea"/>
                                  <a:cs typeface="Arial" charset="0"/>
                                </a:defRPr>
                              </a:lvl5pPr>
                              <a:lvl6pPr marL="2286000" algn="l" defTabSz="914400" rtl="0" eaLnBrk="1" latinLnBrk="0" hangingPunct="1">
                                <a:defRPr sz="1400" kern="1200">
                                  <a:solidFill>
                                    <a:schemeClr val="tx1"/>
                                  </a:solidFill>
                                  <a:latin typeface="Arial" charset="0"/>
                                  <a:ea typeface="+mn-ea"/>
                                  <a:cs typeface="Arial" charset="0"/>
                                </a:defRPr>
                              </a:lvl6pPr>
                              <a:lvl7pPr marL="2743200" algn="l" defTabSz="914400" rtl="0" eaLnBrk="1" latinLnBrk="0" hangingPunct="1">
                                <a:defRPr sz="1400" kern="1200">
                                  <a:solidFill>
                                    <a:schemeClr val="tx1"/>
                                  </a:solidFill>
                                  <a:latin typeface="Arial" charset="0"/>
                                  <a:ea typeface="+mn-ea"/>
                                  <a:cs typeface="Arial" charset="0"/>
                                </a:defRPr>
                              </a:lvl7pPr>
                              <a:lvl8pPr marL="3200400" algn="l" defTabSz="914400" rtl="0" eaLnBrk="1" latinLnBrk="0" hangingPunct="1">
                                <a:defRPr sz="1400" kern="1200">
                                  <a:solidFill>
                                    <a:schemeClr val="tx1"/>
                                  </a:solidFill>
                                  <a:latin typeface="Arial" charset="0"/>
                                  <a:ea typeface="+mn-ea"/>
                                  <a:cs typeface="Arial" charset="0"/>
                                </a:defRPr>
                              </a:lvl8pPr>
                              <a:lvl9pPr marL="3657600" algn="l" defTabSz="914400" rtl="0" eaLnBrk="1" latinLnBrk="0" hangingPunct="1">
                                <a:defRPr sz="1400" kern="1200">
                                  <a:solidFill>
                                    <a:schemeClr val="tx1"/>
                                  </a:solidFill>
                                  <a:latin typeface="Arial" charset="0"/>
                                  <a:ea typeface="+mn-ea"/>
                                  <a:cs typeface="Arial" charset="0"/>
                                </a:defRPr>
                              </a:lvl9pPr>
                            </a:lstStyle>
                            <a:p>
                              <a:pPr defTabSz="1025525" eaLnBrk="0" hangingPunct="0"/>
                              <a:r>
                                <a:rPr lang="en-US">
                                  <a:solidFill>
                                    <a:schemeClr val="hlink"/>
                                  </a:solidFill>
                                  <a:latin typeface="Comic Sans MS" pitchFamily="66" charset="0"/>
                                </a:rPr>
                                <a:t>Fig. 6-4</a:t>
                              </a:r>
                              <a:r>
                                <a:rPr lang="en-US">
                                  <a:latin typeface="Comic Sans MS" pitchFamily="66" charset="0"/>
                                </a:rPr>
                                <a:t> Three classes of neurons. The arrows indicate the direction of transmission of neural activity. Afferent neurons in the PS generally receive input at sensory receptors. Efferent components of the PNS may terminate on muscle, gland, or neuron effectors. Both afferent and efferent components may consist of two neurons, not one as shown.</a:t>
                              </a:r>
                            </a:p>
                          </a:txBody>
                          <a:useSpRect/>
                        </a:txSp>
                      </a:sp>
                    </a:grpSp>
                    <a:sp>
                      <a:nvSpPr>
                        <a:cNvPr id="14345" name="Oval 14"/>
                        <a:cNvSpPr>
                          <a:spLocks noChangeArrowheads="1"/>
                        </a:cNvSpPr>
                      </a:nvSpPr>
                      <a:spPr bwMode="auto">
                        <a:xfrm>
                          <a:off x="2384425" y="2447925"/>
                          <a:ext cx="674688" cy="674688"/>
                        </a:xfrm>
                        <a:prstGeom prst="ellipse">
                          <a:avLst/>
                        </a:prstGeom>
                        <a:noFill/>
                        <a:ln w="19050">
                          <a:solidFill>
                            <a:srgbClr val="FF0000"/>
                          </a:solidFill>
                          <a:round/>
                          <a:headEnd/>
                          <a:tailEnd/>
                        </a:ln>
                      </a:spPr>
                      <a:txSp>
                        <a:txBody>
                          <a:bodyPr wrap="none" anchor="ctr"/>
                          <a:lstStyle>
                            <a:defPPr>
                              <a:defRPr lang="en-US"/>
                            </a:defPPr>
                            <a:lvl1pPr algn="l" rtl="0" fontAlgn="base">
                              <a:spcBef>
                                <a:spcPct val="0"/>
                              </a:spcBef>
                              <a:spcAft>
                                <a:spcPct val="0"/>
                              </a:spcAft>
                              <a:defRPr sz="1400" kern="1200">
                                <a:solidFill>
                                  <a:schemeClr val="tx1"/>
                                </a:solidFill>
                                <a:latin typeface="Arial" charset="0"/>
                                <a:ea typeface="+mn-ea"/>
                                <a:cs typeface="Arial" charset="0"/>
                              </a:defRPr>
                            </a:lvl1pPr>
                            <a:lvl2pPr marL="457200" algn="l" rtl="0" fontAlgn="base">
                              <a:spcBef>
                                <a:spcPct val="0"/>
                              </a:spcBef>
                              <a:spcAft>
                                <a:spcPct val="0"/>
                              </a:spcAft>
                              <a:defRPr sz="1400" kern="1200">
                                <a:solidFill>
                                  <a:schemeClr val="tx1"/>
                                </a:solidFill>
                                <a:latin typeface="Arial" charset="0"/>
                                <a:ea typeface="+mn-ea"/>
                                <a:cs typeface="Arial" charset="0"/>
                              </a:defRPr>
                            </a:lvl2pPr>
                            <a:lvl3pPr marL="914400" algn="l" rtl="0" fontAlgn="base">
                              <a:spcBef>
                                <a:spcPct val="0"/>
                              </a:spcBef>
                              <a:spcAft>
                                <a:spcPct val="0"/>
                              </a:spcAft>
                              <a:defRPr sz="1400" kern="1200">
                                <a:solidFill>
                                  <a:schemeClr val="tx1"/>
                                </a:solidFill>
                                <a:latin typeface="Arial" charset="0"/>
                                <a:ea typeface="+mn-ea"/>
                                <a:cs typeface="Arial" charset="0"/>
                              </a:defRPr>
                            </a:lvl3pPr>
                            <a:lvl4pPr marL="1371600" algn="l" rtl="0" fontAlgn="base">
                              <a:spcBef>
                                <a:spcPct val="0"/>
                              </a:spcBef>
                              <a:spcAft>
                                <a:spcPct val="0"/>
                              </a:spcAft>
                              <a:defRPr sz="1400" kern="1200">
                                <a:solidFill>
                                  <a:schemeClr val="tx1"/>
                                </a:solidFill>
                                <a:latin typeface="Arial" charset="0"/>
                                <a:ea typeface="+mn-ea"/>
                                <a:cs typeface="Arial" charset="0"/>
                              </a:defRPr>
                            </a:lvl4pPr>
                            <a:lvl5pPr marL="1828800" algn="l" rtl="0" fontAlgn="base">
                              <a:spcBef>
                                <a:spcPct val="0"/>
                              </a:spcBef>
                              <a:spcAft>
                                <a:spcPct val="0"/>
                              </a:spcAft>
                              <a:defRPr sz="1400" kern="1200">
                                <a:solidFill>
                                  <a:schemeClr val="tx1"/>
                                </a:solidFill>
                                <a:latin typeface="Arial" charset="0"/>
                                <a:ea typeface="+mn-ea"/>
                                <a:cs typeface="Arial" charset="0"/>
                              </a:defRPr>
                            </a:lvl5pPr>
                            <a:lvl6pPr marL="2286000" algn="l" defTabSz="914400" rtl="0" eaLnBrk="1" latinLnBrk="0" hangingPunct="1">
                              <a:defRPr sz="1400" kern="1200">
                                <a:solidFill>
                                  <a:schemeClr val="tx1"/>
                                </a:solidFill>
                                <a:latin typeface="Arial" charset="0"/>
                                <a:ea typeface="+mn-ea"/>
                                <a:cs typeface="Arial" charset="0"/>
                              </a:defRPr>
                            </a:lvl6pPr>
                            <a:lvl7pPr marL="2743200" algn="l" defTabSz="914400" rtl="0" eaLnBrk="1" latinLnBrk="0" hangingPunct="1">
                              <a:defRPr sz="1400" kern="1200">
                                <a:solidFill>
                                  <a:schemeClr val="tx1"/>
                                </a:solidFill>
                                <a:latin typeface="Arial" charset="0"/>
                                <a:ea typeface="+mn-ea"/>
                                <a:cs typeface="Arial" charset="0"/>
                              </a:defRPr>
                            </a:lvl7pPr>
                            <a:lvl8pPr marL="3200400" algn="l" defTabSz="914400" rtl="0" eaLnBrk="1" latinLnBrk="0" hangingPunct="1">
                              <a:defRPr sz="1400" kern="1200">
                                <a:solidFill>
                                  <a:schemeClr val="tx1"/>
                                </a:solidFill>
                                <a:latin typeface="Arial" charset="0"/>
                                <a:ea typeface="+mn-ea"/>
                                <a:cs typeface="Arial" charset="0"/>
                              </a:defRPr>
                            </a:lvl8pPr>
                            <a:lvl9pPr marL="3657600" algn="l" defTabSz="914400" rtl="0" eaLnBrk="1" latinLnBrk="0" hangingPunct="1">
                              <a:defRPr sz="1400" kern="1200">
                                <a:solidFill>
                                  <a:schemeClr val="tx1"/>
                                </a:solidFill>
                                <a:latin typeface="Arial" charset="0"/>
                                <a:ea typeface="+mn-ea"/>
                                <a:cs typeface="Arial" charset="0"/>
                              </a:defRPr>
                            </a:lvl9pPr>
                          </a:lstStyle>
                          <a:p>
                            <a:endParaRPr lang="en-US"/>
                          </a:p>
                        </a:txBody>
                        <a:useSpRect/>
                      </a:txSp>
                    </a:sp>
                    <a:sp>
                      <a:nvSpPr>
                        <a:cNvPr id="14346" name="Oval 15"/>
                        <a:cNvSpPr>
                          <a:spLocks noChangeArrowheads="1"/>
                        </a:cNvSpPr>
                      </a:nvSpPr>
                      <a:spPr bwMode="auto">
                        <a:xfrm>
                          <a:off x="3482975" y="2089150"/>
                          <a:ext cx="674688" cy="674688"/>
                        </a:xfrm>
                        <a:prstGeom prst="ellipse">
                          <a:avLst/>
                        </a:prstGeom>
                        <a:noFill/>
                        <a:ln w="19050">
                          <a:solidFill>
                            <a:srgbClr val="FF0000"/>
                          </a:solidFill>
                          <a:round/>
                          <a:headEnd/>
                          <a:tailEnd/>
                        </a:ln>
                      </a:spPr>
                      <a:txSp>
                        <a:txBody>
                          <a:bodyPr wrap="none" anchor="ctr"/>
                          <a:lstStyle>
                            <a:defPPr>
                              <a:defRPr lang="en-US"/>
                            </a:defPPr>
                            <a:lvl1pPr algn="l" rtl="0" fontAlgn="base">
                              <a:spcBef>
                                <a:spcPct val="0"/>
                              </a:spcBef>
                              <a:spcAft>
                                <a:spcPct val="0"/>
                              </a:spcAft>
                              <a:defRPr sz="1400" kern="1200">
                                <a:solidFill>
                                  <a:schemeClr val="tx1"/>
                                </a:solidFill>
                                <a:latin typeface="Arial" charset="0"/>
                                <a:ea typeface="+mn-ea"/>
                                <a:cs typeface="Arial" charset="0"/>
                              </a:defRPr>
                            </a:lvl1pPr>
                            <a:lvl2pPr marL="457200" algn="l" rtl="0" fontAlgn="base">
                              <a:spcBef>
                                <a:spcPct val="0"/>
                              </a:spcBef>
                              <a:spcAft>
                                <a:spcPct val="0"/>
                              </a:spcAft>
                              <a:defRPr sz="1400" kern="1200">
                                <a:solidFill>
                                  <a:schemeClr val="tx1"/>
                                </a:solidFill>
                                <a:latin typeface="Arial" charset="0"/>
                                <a:ea typeface="+mn-ea"/>
                                <a:cs typeface="Arial" charset="0"/>
                              </a:defRPr>
                            </a:lvl2pPr>
                            <a:lvl3pPr marL="914400" algn="l" rtl="0" fontAlgn="base">
                              <a:spcBef>
                                <a:spcPct val="0"/>
                              </a:spcBef>
                              <a:spcAft>
                                <a:spcPct val="0"/>
                              </a:spcAft>
                              <a:defRPr sz="1400" kern="1200">
                                <a:solidFill>
                                  <a:schemeClr val="tx1"/>
                                </a:solidFill>
                                <a:latin typeface="Arial" charset="0"/>
                                <a:ea typeface="+mn-ea"/>
                                <a:cs typeface="Arial" charset="0"/>
                              </a:defRPr>
                            </a:lvl3pPr>
                            <a:lvl4pPr marL="1371600" algn="l" rtl="0" fontAlgn="base">
                              <a:spcBef>
                                <a:spcPct val="0"/>
                              </a:spcBef>
                              <a:spcAft>
                                <a:spcPct val="0"/>
                              </a:spcAft>
                              <a:defRPr sz="1400" kern="1200">
                                <a:solidFill>
                                  <a:schemeClr val="tx1"/>
                                </a:solidFill>
                                <a:latin typeface="Arial" charset="0"/>
                                <a:ea typeface="+mn-ea"/>
                                <a:cs typeface="Arial" charset="0"/>
                              </a:defRPr>
                            </a:lvl4pPr>
                            <a:lvl5pPr marL="1828800" algn="l" rtl="0" fontAlgn="base">
                              <a:spcBef>
                                <a:spcPct val="0"/>
                              </a:spcBef>
                              <a:spcAft>
                                <a:spcPct val="0"/>
                              </a:spcAft>
                              <a:defRPr sz="1400" kern="1200">
                                <a:solidFill>
                                  <a:schemeClr val="tx1"/>
                                </a:solidFill>
                                <a:latin typeface="Arial" charset="0"/>
                                <a:ea typeface="+mn-ea"/>
                                <a:cs typeface="Arial" charset="0"/>
                              </a:defRPr>
                            </a:lvl5pPr>
                            <a:lvl6pPr marL="2286000" algn="l" defTabSz="914400" rtl="0" eaLnBrk="1" latinLnBrk="0" hangingPunct="1">
                              <a:defRPr sz="1400" kern="1200">
                                <a:solidFill>
                                  <a:schemeClr val="tx1"/>
                                </a:solidFill>
                                <a:latin typeface="Arial" charset="0"/>
                                <a:ea typeface="+mn-ea"/>
                                <a:cs typeface="Arial" charset="0"/>
                              </a:defRPr>
                            </a:lvl6pPr>
                            <a:lvl7pPr marL="2743200" algn="l" defTabSz="914400" rtl="0" eaLnBrk="1" latinLnBrk="0" hangingPunct="1">
                              <a:defRPr sz="1400" kern="1200">
                                <a:solidFill>
                                  <a:schemeClr val="tx1"/>
                                </a:solidFill>
                                <a:latin typeface="Arial" charset="0"/>
                                <a:ea typeface="+mn-ea"/>
                                <a:cs typeface="Arial" charset="0"/>
                              </a:defRPr>
                            </a:lvl7pPr>
                            <a:lvl8pPr marL="3200400" algn="l" defTabSz="914400" rtl="0" eaLnBrk="1" latinLnBrk="0" hangingPunct="1">
                              <a:defRPr sz="1400" kern="1200">
                                <a:solidFill>
                                  <a:schemeClr val="tx1"/>
                                </a:solidFill>
                                <a:latin typeface="Arial" charset="0"/>
                                <a:ea typeface="+mn-ea"/>
                                <a:cs typeface="Arial" charset="0"/>
                              </a:defRPr>
                            </a:lvl8pPr>
                            <a:lvl9pPr marL="3657600" algn="l" defTabSz="914400" rtl="0" eaLnBrk="1" latinLnBrk="0" hangingPunct="1">
                              <a:defRPr sz="1400" kern="1200">
                                <a:solidFill>
                                  <a:schemeClr val="tx1"/>
                                </a:solidFill>
                                <a:latin typeface="Arial" charset="0"/>
                                <a:ea typeface="+mn-ea"/>
                                <a:cs typeface="Arial" charset="0"/>
                              </a:defRPr>
                            </a:lvl9pPr>
                          </a:lstStyle>
                          <a:p>
                            <a:endParaRPr lang="en-US"/>
                          </a:p>
                        </a:txBody>
                        <a:useSpRect/>
                      </a:txSp>
                    </a:sp>
                  </a:grpSp>
                </lc:lockedCanvas>
              </a:graphicData>
            </a:graphic>
          </wp:inline>
        </w:drawing>
      </w:r>
    </w:p>
    <w:p w:rsidR="00B64A15" w:rsidRPr="00B64A15" w:rsidRDefault="00B64A15" w:rsidP="00B64A15">
      <w:pPr>
        <w:spacing w:after="0"/>
        <w:rPr>
          <w:b/>
          <w:bCs/>
          <w:lang w:val="en-US"/>
        </w:rPr>
      </w:pPr>
      <w:r w:rsidRPr="00B64A15">
        <w:rPr>
          <w:b/>
          <w:bCs/>
          <w:lang w:val="en-US"/>
        </w:rPr>
        <w:t>Functional Classes of Neurons</w:t>
      </w:r>
    </w:p>
    <w:p w:rsidR="00B64A15" w:rsidRDefault="00B64A15" w:rsidP="00B64A15">
      <w:pPr>
        <w:pStyle w:val="ListParagraph"/>
        <w:numPr>
          <w:ilvl w:val="0"/>
          <w:numId w:val="7"/>
        </w:numPr>
        <w:spacing w:after="0"/>
        <w:rPr>
          <w:lang w:val="en-US"/>
        </w:rPr>
      </w:pPr>
      <w:r w:rsidRPr="00B64A15">
        <w:rPr>
          <w:lang w:val="en-US"/>
        </w:rPr>
        <w:t>Groups of afferent and efferent neurons form the nerves of the PNS. Note that a nerve fiber is a single axon, and a nerve is a bundle of axons.</w:t>
      </w:r>
    </w:p>
    <w:p w:rsidR="007A150F" w:rsidRPr="007A150F" w:rsidRDefault="007A150F" w:rsidP="007A150F">
      <w:pPr>
        <w:spacing w:after="0"/>
        <w:jc w:val="center"/>
        <w:rPr>
          <w:lang w:val="en-US"/>
        </w:rPr>
      </w:pPr>
      <w:r w:rsidRPr="007A150F">
        <w:rPr>
          <w:noProof/>
          <w:lang w:eastAsia="en-CA"/>
        </w:rPr>
        <w:lastRenderedPageBreak/>
        <w:drawing>
          <wp:inline distT="0" distB="0" distL="0" distR="0">
            <wp:extent cx="3067050" cy="4013200"/>
            <wp:effectExtent l="19050" t="0" r="0" b="0"/>
            <wp:docPr id="6" name="Picture 6" descr="06_01"/>
            <wp:cNvGraphicFramePr/>
            <a:graphic xmlns:a="http://schemas.openxmlformats.org/drawingml/2006/main">
              <a:graphicData uri="http://schemas.openxmlformats.org/drawingml/2006/picture">
                <pic:pic xmlns:pic="http://schemas.openxmlformats.org/drawingml/2006/picture">
                  <pic:nvPicPr>
                    <pic:cNvPr id="15363" name="Picture 2" descr="06_01"/>
                    <pic:cNvPicPr>
                      <a:picLocks noChangeAspect="1" noChangeArrowheads="1"/>
                    </pic:cNvPicPr>
                  </pic:nvPicPr>
                  <pic:blipFill>
                    <a:blip r:embed="rId9" cstate="print"/>
                    <a:srcRect t="1259"/>
                    <a:stretch>
                      <a:fillRect/>
                    </a:stretch>
                  </pic:blipFill>
                  <pic:spPr bwMode="auto">
                    <a:xfrm>
                      <a:off x="0" y="0"/>
                      <a:ext cx="3069342" cy="4016199"/>
                    </a:xfrm>
                    <a:prstGeom prst="rect">
                      <a:avLst/>
                    </a:prstGeom>
                    <a:noFill/>
                    <a:ln w="9525">
                      <a:noFill/>
                      <a:miter lim="800000"/>
                      <a:headEnd/>
                      <a:tailEnd/>
                    </a:ln>
                  </pic:spPr>
                </pic:pic>
              </a:graphicData>
            </a:graphic>
          </wp:inline>
        </w:drawing>
      </w:r>
    </w:p>
    <w:p w:rsidR="00B64A15" w:rsidRPr="00B64A15" w:rsidRDefault="007A150F" w:rsidP="00B64A15">
      <w:pPr>
        <w:spacing w:after="0"/>
        <w:rPr>
          <w:b/>
          <w:bCs/>
          <w:lang w:val="en-US"/>
        </w:rPr>
      </w:pPr>
      <w:r>
        <w:rPr>
          <w:b/>
          <w:bCs/>
          <w:noProof/>
          <w:lang w:eastAsia="en-CA"/>
        </w:rPr>
        <w:drawing>
          <wp:anchor distT="0" distB="0" distL="114300" distR="114300" simplePos="0" relativeHeight="251661312" behindDoc="1" locked="0" layoutInCell="1" allowOverlap="1">
            <wp:simplePos x="0" y="0"/>
            <wp:positionH relativeFrom="column">
              <wp:posOffset>4400550</wp:posOffset>
            </wp:positionH>
            <wp:positionV relativeFrom="paragraph">
              <wp:posOffset>101600</wp:posOffset>
            </wp:positionV>
            <wp:extent cx="1949450" cy="2768600"/>
            <wp:effectExtent l="19050" t="0" r="0" b="0"/>
            <wp:wrapTight wrapText="bothSides">
              <wp:wrapPolygon edited="0">
                <wp:start x="-211" y="0"/>
                <wp:lineTo x="-211" y="21402"/>
                <wp:lineTo x="21530" y="21402"/>
                <wp:lineTo x="21530" y="0"/>
                <wp:lineTo x="-211" y="0"/>
              </wp:wrapPolygon>
            </wp:wrapTight>
            <wp:docPr id="7" name="Picture 7" descr="06_05"/>
            <wp:cNvGraphicFramePr/>
            <a:graphic xmlns:a="http://schemas.openxmlformats.org/drawingml/2006/main">
              <a:graphicData uri="http://schemas.openxmlformats.org/drawingml/2006/picture">
                <pic:pic xmlns:pic="http://schemas.openxmlformats.org/drawingml/2006/picture">
                  <pic:nvPicPr>
                    <pic:cNvPr id="16388" name="Picture 6" descr="06_05"/>
                    <pic:cNvPicPr>
                      <a:picLocks noChangeAspect="1" noChangeArrowheads="1"/>
                    </pic:cNvPicPr>
                  </pic:nvPicPr>
                  <pic:blipFill>
                    <a:blip r:embed="rId10" cstate="print"/>
                    <a:srcRect t="2071"/>
                    <a:stretch>
                      <a:fillRect/>
                    </a:stretch>
                  </pic:blipFill>
                  <pic:spPr bwMode="auto">
                    <a:xfrm>
                      <a:off x="0" y="0"/>
                      <a:ext cx="1949450" cy="2768600"/>
                    </a:xfrm>
                    <a:prstGeom prst="rect">
                      <a:avLst/>
                    </a:prstGeom>
                    <a:noFill/>
                    <a:ln w="9525">
                      <a:noFill/>
                      <a:miter lim="800000"/>
                      <a:headEnd/>
                      <a:tailEnd/>
                    </a:ln>
                  </pic:spPr>
                </pic:pic>
              </a:graphicData>
            </a:graphic>
          </wp:anchor>
        </w:drawing>
      </w:r>
      <w:r w:rsidR="00B64A15" w:rsidRPr="00B64A15">
        <w:rPr>
          <w:b/>
          <w:bCs/>
          <w:lang w:val="en-US"/>
        </w:rPr>
        <w:t>Synaptic Inputs</w:t>
      </w:r>
    </w:p>
    <w:p w:rsidR="00B64A15" w:rsidRPr="00B64A15" w:rsidRDefault="00B64A15" w:rsidP="00B64A15">
      <w:pPr>
        <w:pStyle w:val="ListParagraph"/>
        <w:numPr>
          <w:ilvl w:val="0"/>
          <w:numId w:val="7"/>
        </w:numPr>
        <w:spacing w:after="0"/>
        <w:rPr>
          <w:lang w:val="en-US"/>
        </w:rPr>
      </w:pPr>
      <w:r w:rsidRPr="00B64A15">
        <w:rPr>
          <w:lang w:val="en-US"/>
        </w:rPr>
        <w:t>Most synapses occur between an axon terminal of one neuron and a dendrite or cell body of another.</w:t>
      </w:r>
    </w:p>
    <w:p w:rsidR="00B64A15" w:rsidRPr="00B64A15" w:rsidRDefault="00B64A15" w:rsidP="00B64A15">
      <w:pPr>
        <w:pStyle w:val="ListParagraph"/>
        <w:numPr>
          <w:ilvl w:val="0"/>
          <w:numId w:val="7"/>
        </w:numPr>
        <w:spacing w:after="0"/>
        <w:rPr>
          <w:lang w:val="en-US"/>
        </w:rPr>
      </w:pPr>
      <w:r w:rsidRPr="00B64A15">
        <w:rPr>
          <w:lang w:val="en-US"/>
        </w:rPr>
        <w:t xml:space="preserve">(Others can be </w:t>
      </w:r>
      <w:proofErr w:type="spellStart"/>
      <w:r w:rsidRPr="00B64A15">
        <w:rPr>
          <w:lang w:val="en-US"/>
        </w:rPr>
        <w:t>dendro-dendritic</w:t>
      </w:r>
      <w:proofErr w:type="spellEnd"/>
      <w:r w:rsidRPr="00B64A15">
        <w:rPr>
          <w:lang w:val="en-US"/>
        </w:rPr>
        <w:t xml:space="preserve">, </w:t>
      </w:r>
      <w:proofErr w:type="spellStart"/>
      <w:r w:rsidRPr="00B64A15">
        <w:rPr>
          <w:lang w:val="en-US"/>
        </w:rPr>
        <w:t>dendro</w:t>
      </w:r>
      <w:proofErr w:type="spellEnd"/>
      <w:r w:rsidRPr="00B64A15">
        <w:rPr>
          <w:lang w:val="en-US"/>
        </w:rPr>
        <w:t xml:space="preserve">-somatic, or </w:t>
      </w:r>
      <w:proofErr w:type="spellStart"/>
      <w:r w:rsidRPr="00B64A15">
        <w:rPr>
          <w:lang w:val="en-US"/>
        </w:rPr>
        <w:t>axo-axonic</w:t>
      </w:r>
      <w:proofErr w:type="spellEnd"/>
      <w:r w:rsidRPr="00B64A15">
        <w:rPr>
          <w:lang w:val="en-US"/>
        </w:rPr>
        <w:t>)</w:t>
      </w:r>
    </w:p>
    <w:p w:rsidR="00B64A15" w:rsidRPr="00B64A15" w:rsidRDefault="00B64A15" w:rsidP="00B64A15">
      <w:pPr>
        <w:pStyle w:val="ListParagraph"/>
        <w:numPr>
          <w:ilvl w:val="0"/>
          <w:numId w:val="7"/>
        </w:numPr>
        <w:spacing w:after="0"/>
        <w:rPr>
          <w:lang w:val="en-US"/>
        </w:rPr>
      </w:pPr>
      <w:r w:rsidRPr="00B64A15">
        <w:rPr>
          <w:lang w:val="en-US"/>
        </w:rPr>
        <w:t xml:space="preserve">A neuron that conducts a signal towards a synapse is called a </w:t>
      </w:r>
      <w:proofErr w:type="spellStart"/>
      <w:r w:rsidRPr="00B64A15">
        <w:rPr>
          <w:lang w:val="en-US"/>
        </w:rPr>
        <w:t>presynaptic</w:t>
      </w:r>
      <w:proofErr w:type="spellEnd"/>
      <w:r w:rsidRPr="00B64A15">
        <w:rPr>
          <w:lang w:val="en-US"/>
        </w:rPr>
        <w:t xml:space="preserve"> neuron and one that conducts signal away is called postsynaptic.</w:t>
      </w:r>
    </w:p>
    <w:p w:rsidR="00B64A15" w:rsidRPr="00B64A15" w:rsidRDefault="00B64A15" w:rsidP="00B64A15">
      <w:pPr>
        <w:pStyle w:val="ListParagraph"/>
        <w:numPr>
          <w:ilvl w:val="0"/>
          <w:numId w:val="7"/>
        </w:numPr>
        <w:spacing w:after="0"/>
        <w:rPr>
          <w:lang w:val="en-US"/>
        </w:rPr>
      </w:pPr>
      <w:r w:rsidRPr="00B64A15">
        <w:rPr>
          <w:lang w:val="en-US"/>
        </w:rPr>
        <w:t xml:space="preserve">A single neuron postsynaptic to one cell can be </w:t>
      </w:r>
      <w:proofErr w:type="spellStart"/>
      <w:r w:rsidRPr="00B64A15">
        <w:rPr>
          <w:lang w:val="en-US"/>
        </w:rPr>
        <w:t>presynaptic</w:t>
      </w:r>
      <w:proofErr w:type="spellEnd"/>
      <w:r w:rsidRPr="00B64A15">
        <w:rPr>
          <w:lang w:val="en-US"/>
        </w:rPr>
        <w:t xml:space="preserve"> to another cell.</w:t>
      </w:r>
    </w:p>
    <w:p w:rsidR="00B64A15" w:rsidRPr="00B64A15" w:rsidRDefault="00B64A15" w:rsidP="00B64A15">
      <w:pPr>
        <w:spacing w:after="0"/>
        <w:rPr>
          <w:lang w:val="en-US"/>
        </w:rPr>
      </w:pPr>
    </w:p>
    <w:p w:rsidR="00B64A15" w:rsidRPr="00B64A15" w:rsidRDefault="00B64A15" w:rsidP="00B64A15">
      <w:pPr>
        <w:spacing w:after="0"/>
        <w:rPr>
          <w:b/>
          <w:bCs/>
          <w:lang w:val="en-US"/>
        </w:rPr>
      </w:pPr>
      <w:r w:rsidRPr="00B64A15">
        <w:rPr>
          <w:b/>
          <w:bCs/>
          <w:lang w:val="en-US"/>
        </w:rPr>
        <w:t>Basic Principles of Electricity</w:t>
      </w:r>
    </w:p>
    <w:p w:rsidR="00B64A15" w:rsidRPr="00B64A15" w:rsidRDefault="00B64A15" w:rsidP="00B64A15">
      <w:pPr>
        <w:pStyle w:val="ListParagraph"/>
        <w:numPr>
          <w:ilvl w:val="0"/>
          <w:numId w:val="7"/>
        </w:numPr>
        <w:spacing w:after="0"/>
        <w:rPr>
          <w:lang w:val="en-US"/>
        </w:rPr>
      </w:pPr>
      <w:r w:rsidRPr="00B64A15">
        <w:rPr>
          <w:lang w:val="en-US"/>
        </w:rPr>
        <w:t>Opposite charges attract each other and will move toward each other if not separated by some barrier.</w:t>
      </w:r>
    </w:p>
    <w:p w:rsidR="00B64A15" w:rsidRPr="00B64A15" w:rsidRDefault="00B64A15" w:rsidP="00B64A15">
      <w:pPr>
        <w:pStyle w:val="ListParagraph"/>
        <w:numPr>
          <w:ilvl w:val="0"/>
          <w:numId w:val="7"/>
        </w:numPr>
        <w:spacing w:after="0"/>
        <w:rPr>
          <w:lang w:val="en-US"/>
        </w:rPr>
      </w:pPr>
      <w:r w:rsidRPr="00B64A15">
        <w:rPr>
          <w:lang w:val="en-US"/>
        </w:rPr>
        <w:t>Separate charges have the ability to do work – called electrical potential</w:t>
      </w:r>
    </w:p>
    <w:p w:rsidR="00B64A15" w:rsidRPr="00B64A15" w:rsidRDefault="00B64A15" w:rsidP="00B64A15">
      <w:pPr>
        <w:pStyle w:val="ListParagraph"/>
        <w:numPr>
          <w:ilvl w:val="0"/>
          <w:numId w:val="7"/>
        </w:numPr>
        <w:spacing w:after="0"/>
        <w:rPr>
          <w:lang w:val="en-US"/>
        </w:rPr>
      </w:pPr>
      <w:r w:rsidRPr="00B64A15">
        <w:rPr>
          <w:lang w:val="en-US"/>
        </w:rPr>
        <w:t>The difference in charge between two points is the potential difference (or just potential)</w:t>
      </w:r>
    </w:p>
    <w:p w:rsidR="00B64A15" w:rsidRPr="00B64A15" w:rsidRDefault="00B64A15" w:rsidP="00B64A15">
      <w:pPr>
        <w:pStyle w:val="ListParagraph"/>
        <w:numPr>
          <w:ilvl w:val="0"/>
          <w:numId w:val="7"/>
        </w:numPr>
        <w:spacing w:after="0"/>
        <w:rPr>
          <w:lang w:val="en-US"/>
        </w:rPr>
      </w:pPr>
      <w:r w:rsidRPr="00B64A15">
        <w:rPr>
          <w:lang w:val="en-US"/>
        </w:rPr>
        <w:t xml:space="preserve">Measured in </w:t>
      </w:r>
      <w:r w:rsidRPr="00B64A15">
        <w:rPr>
          <w:b/>
          <w:bCs/>
          <w:lang w:val="en-US"/>
        </w:rPr>
        <w:t>volts (V)</w:t>
      </w:r>
      <w:r w:rsidRPr="00B64A15">
        <w:rPr>
          <w:lang w:val="en-US"/>
        </w:rPr>
        <w:t>. In biological systems the charge separation is small and is measured in mV.</w:t>
      </w:r>
    </w:p>
    <w:p w:rsidR="00B64A15" w:rsidRPr="00B64A15" w:rsidRDefault="00B64A15" w:rsidP="00B64A15">
      <w:pPr>
        <w:pStyle w:val="ListParagraph"/>
        <w:numPr>
          <w:ilvl w:val="0"/>
          <w:numId w:val="7"/>
        </w:numPr>
        <w:spacing w:after="0"/>
        <w:rPr>
          <w:lang w:val="en-US"/>
        </w:rPr>
      </w:pPr>
      <w:r w:rsidRPr="00B64A15">
        <w:rPr>
          <w:lang w:val="en-US"/>
        </w:rPr>
        <w:t>The movement of electrical charge is called a current. Current is proportional to the potential difference and inversely proportional to the resistance.</w:t>
      </w:r>
    </w:p>
    <w:p w:rsidR="00B64A15" w:rsidRDefault="00B64A15" w:rsidP="00B64A15">
      <w:pPr>
        <w:spacing w:after="0"/>
        <w:rPr>
          <w:lang w:val="en-US"/>
        </w:rPr>
      </w:pPr>
      <w:r w:rsidRPr="00B64A15">
        <w:rPr>
          <w:lang w:val="en-US"/>
        </w:rPr>
        <w:tab/>
        <w:t>Ohm’s Law: I = V/R</w:t>
      </w:r>
    </w:p>
    <w:p w:rsidR="007A150F" w:rsidRPr="007A150F" w:rsidRDefault="007A150F" w:rsidP="007A150F">
      <w:pPr>
        <w:pStyle w:val="ListParagraph"/>
        <w:numPr>
          <w:ilvl w:val="0"/>
          <w:numId w:val="7"/>
        </w:numPr>
        <w:spacing w:after="0"/>
        <w:rPr>
          <w:lang w:val="en-US"/>
        </w:rPr>
      </w:pPr>
      <w:r>
        <w:rPr>
          <w:lang w:val="en-US"/>
        </w:rPr>
        <w:t xml:space="preserve">If you don’t have voltage </w:t>
      </w:r>
      <w:r w:rsidR="00076EA4">
        <w:rPr>
          <w:lang w:val="en-US"/>
        </w:rPr>
        <w:t>you don’t have current, and no current means no voltage</w:t>
      </w:r>
    </w:p>
    <w:p w:rsidR="00B64A15" w:rsidRDefault="00B64A15" w:rsidP="00B64A15">
      <w:pPr>
        <w:spacing w:after="0"/>
        <w:rPr>
          <w:lang w:val="en-US"/>
        </w:rPr>
      </w:pPr>
    </w:p>
    <w:p w:rsidR="007A150F" w:rsidRPr="00B64A15" w:rsidRDefault="007A150F" w:rsidP="007A150F">
      <w:pPr>
        <w:spacing w:after="0"/>
        <w:jc w:val="center"/>
        <w:rPr>
          <w:lang w:val="en-US"/>
        </w:rPr>
      </w:pPr>
      <w:r w:rsidRPr="007A150F">
        <w:rPr>
          <w:noProof/>
          <w:lang w:eastAsia="en-CA"/>
        </w:rPr>
        <w:drawing>
          <wp:inline distT="0" distB="0" distL="0" distR="0">
            <wp:extent cx="2800350" cy="1689100"/>
            <wp:effectExtent l="19050" t="0" r="0" b="0"/>
            <wp:docPr id="8" name="Picture 8" descr="06_05"/>
            <wp:cNvGraphicFramePr/>
            <a:graphic xmlns:a="http://schemas.openxmlformats.org/drawingml/2006/main">
              <a:graphicData uri="http://schemas.openxmlformats.org/drawingml/2006/picture">
                <pic:pic xmlns:pic="http://schemas.openxmlformats.org/drawingml/2006/picture">
                  <pic:nvPicPr>
                    <pic:cNvPr id="17411" name="Picture 3" descr="06_05"/>
                    <pic:cNvPicPr>
                      <a:picLocks noChangeAspect="1" noChangeArrowheads="1"/>
                    </pic:cNvPicPr>
                  </pic:nvPicPr>
                  <pic:blipFill>
                    <a:blip r:embed="rId11" cstate="print"/>
                    <a:srcRect t="2306"/>
                    <a:stretch>
                      <a:fillRect/>
                    </a:stretch>
                  </pic:blipFill>
                  <pic:spPr bwMode="auto">
                    <a:xfrm>
                      <a:off x="0" y="0"/>
                      <a:ext cx="2800350" cy="1689100"/>
                    </a:xfrm>
                    <a:prstGeom prst="rect">
                      <a:avLst/>
                    </a:prstGeom>
                    <a:noFill/>
                    <a:ln w="9525">
                      <a:noFill/>
                      <a:miter lim="800000"/>
                      <a:headEnd/>
                      <a:tailEnd/>
                    </a:ln>
                  </pic:spPr>
                </pic:pic>
              </a:graphicData>
            </a:graphic>
          </wp:inline>
        </w:drawing>
      </w:r>
    </w:p>
    <w:p w:rsidR="00B64A15" w:rsidRPr="00B64A15" w:rsidRDefault="002F67E6" w:rsidP="00B64A15">
      <w:pPr>
        <w:spacing w:after="0"/>
        <w:rPr>
          <w:b/>
          <w:bCs/>
          <w:lang w:val="en-US"/>
        </w:rPr>
      </w:pPr>
      <w:r>
        <w:rPr>
          <w:b/>
          <w:bCs/>
          <w:noProof/>
          <w:lang w:eastAsia="en-CA"/>
        </w:rPr>
        <w:drawing>
          <wp:anchor distT="0" distB="0" distL="114300" distR="114300" simplePos="0" relativeHeight="251662336" behindDoc="1" locked="0" layoutInCell="1" allowOverlap="1">
            <wp:simplePos x="0" y="0"/>
            <wp:positionH relativeFrom="column">
              <wp:posOffset>4241800</wp:posOffset>
            </wp:positionH>
            <wp:positionV relativeFrom="paragraph">
              <wp:posOffset>108585</wp:posOffset>
            </wp:positionV>
            <wp:extent cx="2362200" cy="3098800"/>
            <wp:effectExtent l="19050" t="0" r="0" b="0"/>
            <wp:wrapTight wrapText="bothSides">
              <wp:wrapPolygon edited="0">
                <wp:start x="-174" y="0"/>
                <wp:lineTo x="-174" y="21511"/>
                <wp:lineTo x="21600" y="21511"/>
                <wp:lineTo x="21600" y="0"/>
                <wp:lineTo x="-174" y="0"/>
              </wp:wrapPolygon>
            </wp:wrapTight>
            <wp:docPr id="9" name="Picture 9" descr="06_08"/>
            <wp:cNvGraphicFramePr/>
            <a:graphic xmlns:a="http://schemas.openxmlformats.org/drawingml/2006/main">
              <a:graphicData uri="http://schemas.openxmlformats.org/drawingml/2006/picture">
                <pic:pic xmlns:pic="http://schemas.openxmlformats.org/drawingml/2006/picture">
                  <pic:nvPicPr>
                    <pic:cNvPr id="18436" name="Picture 4" descr="06_08"/>
                    <pic:cNvPicPr>
                      <a:picLocks noChangeAspect="1" noChangeArrowheads="1"/>
                    </pic:cNvPicPr>
                  </pic:nvPicPr>
                  <pic:blipFill>
                    <a:blip r:embed="rId12" cstate="print"/>
                    <a:srcRect t="2101"/>
                    <a:stretch>
                      <a:fillRect/>
                    </a:stretch>
                  </pic:blipFill>
                  <pic:spPr bwMode="auto">
                    <a:xfrm>
                      <a:off x="0" y="0"/>
                      <a:ext cx="2362200" cy="3098800"/>
                    </a:xfrm>
                    <a:prstGeom prst="rect">
                      <a:avLst/>
                    </a:prstGeom>
                    <a:noFill/>
                    <a:ln w="9525">
                      <a:noFill/>
                      <a:miter lim="800000"/>
                      <a:headEnd/>
                      <a:tailEnd/>
                    </a:ln>
                  </pic:spPr>
                </pic:pic>
              </a:graphicData>
            </a:graphic>
          </wp:anchor>
        </w:drawing>
      </w:r>
      <w:r w:rsidR="00B64A15" w:rsidRPr="00B64A15">
        <w:rPr>
          <w:b/>
          <w:bCs/>
          <w:lang w:val="en-US"/>
        </w:rPr>
        <w:t>Membrane Potential</w:t>
      </w:r>
    </w:p>
    <w:p w:rsidR="00B64A15" w:rsidRPr="00B64A15" w:rsidRDefault="00B64A15" w:rsidP="00B64A15">
      <w:pPr>
        <w:pStyle w:val="ListParagraph"/>
        <w:numPr>
          <w:ilvl w:val="0"/>
          <w:numId w:val="7"/>
        </w:numPr>
        <w:spacing w:after="0"/>
        <w:rPr>
          <w:lang w:val="en-US"/>
        </w:rPr>
      </w:pPr>
      <w:r w:rsidRPr="00B64A15">
        <w:rPr>
          <w:lang w:val="en-US"/>
        </w:rPr>
        <w:t xml:space="preserve">All cells under resting conditions have a potential difference with the inside being more negative – the </w:t>
      </w:r>
      <w:r w:rsidRPr="00B64A15">
        <w:rPr>
          <w:b/>
          <w:bCs/>
          <w:lang w:val="en-US"/>
        </w:rPr>
        <w:t>resting membrane potential</w:t>
      </w:r>
      <w:r w:rsidRPr="00B64A15">
        <w:rPr>
          <w:lang w:val="en-US"/>
        </w:rPr>
        <w:t>.</w:t>
      </w:r>
    </w:p>
    <w:p w:rsidR="00B64A15" w:rsidRPr="00B64A15" w:rsidRDefault="00B64A15" w:rsidP="00B64A15">
      <w:pPr>
        <w:pStyle w:val="ListParagraph"/>
        <w:numPr>
          <w:ilvl w:val="0"/>
          <w:numId w:val="7"/>
        </w:numPr>
        <w:spacing w:after="0"/>
        <w:rPr>
          <w:lang w:val="en-US"/>
        </w:rPr>
      </w:pPr>
      <w:r w:rsidRPr="00B64A15">
        <w:rPr>
          <w:lang w:val="en-US"/>
        </w:rPr>
        <w:t>ECF assigned a voltage of zero</w:t>
      </w:r>
    </w:p>
    <w:p w:rsidR="00B64A15" w:rsidRPr="00B64A15" w:rsidRDefault="00B64A15" w:rsidP="00B64A15">
      <w:pPr>
        <w:pStyle w:val="ListParagraph"/>
        <w:numPr>
          <w:ilvl w:val="0"/>
          <w:numId w:val="7"/>
        </w:numPr>
        <w:spacing w:after="0"/>
        <w:rPr>
          <w:lang w:val="en-US"/>
        </w:rPr>
      </w:pPr>
      <w:r w:rsidRPr="00B64A15">
        <w:rPr>
          <w:lang w:val="en-US"/>
        </w:rPr>
        <w:t>If the potential across membrane is 70 mV and ICF has excess –</w:t>
      </w:r>
      <w:proofErr w:type="spellStart"/>
      <w:r w:rsidRPr="00B64A15">
        <w:rPr>
          <w:lang w:val="en-US"/>
        </w:rPr>
        <w:t>ve</w:t>
      </w:r>
      <w:proofErr w:type="spellEnd"/>
      <w:r w:rsidRPr="00B64A15">
        <w:rPr>
          <w:lang w:val="en-US"/>
        </w:rPr>
        <w:t xml:space="preserve"> charge, then the membrane potential is -70 mV.</w:t>
      </w:r>
    </w:p>
    <w:p w:rsidR="00B64A15" w:rsidRPr="00B64A15" w:rsidRDefault="00B64A15" w:rsidP="00B64A15">
      <w:pPr>
        <w:spacing w:after="0"/>
        <w:rPr>
          <w:lang w:val="en-US"/>
        </w:rPr>
      </w:pPr>
    </w:p>
    <w:p w:rsidR="00B64A15" w:rsidRPr="00B64A15" w:rsidRDefault="00B64A15" w:rsidP="00B64A15">
      <w:pPr>
        <w:spacing w:after="0"/>
        <w:rPr>
          <w:b/>
          <w:bCs/>
          <w:lang w:val="en-US"/>
        </w:rPr>
      </w:pPr>
      <w:r w:rsidRPr="00B64A15">
        <w:rPr>
          <w:b/>
          <w:bCs/>
          <w:lang w:val="en-US"/>
        </w:rPr>
        <w:t xml:space="preserve">Charge Separation </w:t>
      </w:r>
      <w:proofErr w:type="gramStart"/>
      <w:r w:rsidRPr="00B64A15">
        <w:rPr>
          <w:b/>
          <w:bCs/>
          <w:lang w:val="en-US"/>
        </w:rPr>
        <w:t>Across</w:t>
      </w:r>
      <w:proofErr w:type="gramEnd"/>
      <w:r w:rsidRPr="00B64A15">
        <w:rPr>
          <w:b/>
          <w:bCs/>
          <w:lang w:val="en-US"/>
        </w:rPr>
        <w:t xml:space="preserve"> the Plasma Membrane</w:t>
      </w:r>
    </w:p>
    <w:p w:rsidR="00B64A15" w:rsidRPr="00B64A15" w:rsidRDefault="00B64A15" w:rsidP="00B64A15">
      <w:pPr>
        <w:pStyle w:val="ListParagraph"/>
        <w:numPr>
          <w:ilvl w:val="0"/>
          <w:numId w:val="7"/>
        </w:numPr>
        <w:spacing w:after="0"/>
        <w:rPr>
          <w:lang w:val="en-US"/>
        </w:rPr>
      </w:pPr>
      <w:r w:rsidRPr="00B64A15">
        <w:rPr>
          <w:lang w:val="en-US"/>
        </w:rPr>
        <w:t>There is a tiny excess of –</w:t>
      </w:r>
      <w:proofErr w:type="spellStart"/>
      <w:r w:rsidRPr="00B64A15">
        <w:rPr>
          <w:lang w:val="en-US"/>
        </w:rPr>
        <w:t>ve</w:t>
      </w:r>
      <w:proofErr w:type="spellEnd"/>
      <w:r w:rsidRPr="00B64A15">
        <w:rPr>
          <w:lang w:val="en-US"/>
        </w:rPr>
        <w:t xml:space="preserve"> ions inside the cell and a tiny excess of +</w:t>
      </w:r>
      <w:proofErr w:type="spellStart"/>
      <w:r w:rsidRPr="00B64A15">
        <w:rPr>
          <w:lang w:val="en-US"/>
        </w:rPr>
        <w:t>ve</w:t>
      </w:r>
      <w:proofErr w:type="spellEnd"/>
      <w:r w:rsidRPr="00B64A15">
        <w:rPr>
          <w:lang w:val="en-US"/>
        </w:rPr>
        <w:t xml:space="preserve"> ions outside. Excess charges collect at plasma membrane. The bulk of the ECF and ICF </w:t>
      </w:r>
      <w:proofErr w:type="gramStart"/>
      <w:r w:rsidRPr="00B64A15">
        <w:rPr>
          <w:lang w:val="en-US"/>
        </w:rPr>
        <w:t>remains</w:t>
      </w:r>
      <w:proofErr w:type="gramEnd"/>
      <w:r w:rsidRPr="00B64A15">
        <w:rPr>
          <w:lang w:val="en-US"/>
        </w:rPr>
        <w:t xml:space="preserve"> neutral.</w:t>
      </w:r>
    </w:p>
    <w:p w:rsidR="00B64A15" w:rsidRPr="00B64A15" w:rsidRDefault="00B64A15" w:rsidP="00B64A15">
      <w:pPr>
        <w:pStyle w:val="ListParagraph"/>
        <w:numPr>
          <w:ilvl w:val="0"/>
          <w:numId w:val="7"/>
        </w:numPr>
        <w:spacing w:after="0"/>
        <w:rPr>
          <w:lang w:val="en-US"/>
        </w:rPr>
      </w:pPr>
      <w:r w:rsidRPr="00B64A15">
        <w:rPr>
          <w:lang w:val="en-US"/>
        </w:rPr>
        <w:t xml:space="preserve">The actual number of charges that are separated is infinitesimally small compared to total number of charges in the cell. </w:t>
      </w:r>
    </w:p>
    <w:p w:rsidR="00B64A15" w:rsidRPr="00B64A15" w:rsidRDefault="00B64A15" w:rsidP="00B64A15">
      <w:pPr>
        <w:pStyle w:val="ListParagraph"/>
        <w:numPr>
          <w:ilvl w:val="0"/>
          <w:numId w:val="7"/>
        </w:numPr>
        <w:spacing w:after="0"/>
        <w:rPr>
          <w:b/>
          <w:bCs/>
          <w:lang w:val="en-US"/>
        </w:rPr>
      </w:pPr>
      <w:r w:rsidRPr="00B64A15">
        <w:rPr>
          <w:b/>
          <w:bCs/>
          <w:lang w:val="en-US"/>
        </w:rPr>
        <w:t>Only a very thin shell of charge difference is needed to establish a membrane potential.</w:t>
      </w:r>
    </w:p>
    <w:p w:rsidR="00B64A15" w:rsidRPr="00B64A15" w:rsidRDefault="00B64A15" w:rsidP="00B64A15">
      <w:pPr>
        <w:spacing w:after="0"/>
        <w:rPr>
          <w:lang w:val="en-US"/>
        </w:rPr>
      </w:pPr>
    </w:p>
    <w:p w:rsidR="00B64A15" w:rsidRPr="00B64A15" w:rsidRDefault="00B64A15" w:rsidP="00B64A15">
      <w:pPr>
        <w:spacing w:after="0"/>
        <w:rPr>
          <w:b/>
          <w:bCs/>
          <w:lang w:val="en-US"/>
        </w:rPr>
      </w:pPr>
      <w:r w:rsidRPr="00B64A15">
        <w:rPr>
          <w:b/>
          <w:bCs/>
          <w:lang w:val="en-US"/>
        </w:rPr>
        <w:t>Distribution of Ions in a Nerve Cell</w:t>
      </w:r>
    </w:p>
    <w:p w:rsidR="00B64A15" w:rsidRPr="00B64A15" w:rsidRDefault="002F67E6" w:rsidP="00B64A15">
      <w:pPr>
        <w:pStyle w:val="ListParagraph"/>
        <w:numPr>
          <w:ilvl w:val="0"/>
          <w:numId w:val="7"/>
        </w:numPr>
        <w:spacing w:after="0"/>
        <w:rPr>
          <w:lang w:val="en-US"/>
        </w:rPr>
      </w:pPr>
      <w:r>
        <w:rPr>
          <w:noProof/>
          <w:lang w:eastAsia="en-CA"/>
        </w:rPr>
        <w:drawing>
          <wp:anchor distT="0" distB="0" distL="114300" distR="114300" simplePos="0" relativeHeight="251663360" behindDoc="1" locked="0" layoutInCell="1" allowOverlap="1">
            <wp:simplePos x="0" y="0"/>
            <wp:positionH relativeFrom="column">
              <wp:posOffset>4540250</wp:posOffset>
            </wp:positionH>
            <wp:positionV relativeFrom="paragraph">
              <wp:posOffset>6350</wp:posOffset>
            </wp:positionV>
            <wp:extent cx="2076450" cy="1727200"/>
            <wp:effectExtent l="19050" t="0" r="0" b="0"/>
            <wp:wrapTight wrapText="bothSides">
              <wp:wrapPolygon edited="0">
                <wp:start x="-198" y="0"/>
                <wp:lineTo x="-198" y="21441"/>
                <wp:lineTo x="21600" y="21441"/>
                <wp:lineTo x="21600" y="0"/>
                <wp:lineTo x="-198" y="0"/>
              </wp:wrapPolygon>
            </wp:wrapTight>
            <wp:docPr id="10" name="Picture 10" descr="wid4962X_t0602"/>
            <wp:cNvGraphicFramePr/>
            <a:graphic xmlns:a="http://schemas.openxmlformats.org/drawingml/2006/main">
              <a:graphicData uri="http://schemas.openxmlformats.org/drawingml/2006/picture">
                <pic:pic xmlns:pic="http://schemas.openxmlformats.org/drawingml/2006/picture">
                  <pic:nvPicPr>
                    <pic:cNvPr id="20483" name="Picture 3" descr="wid4962X_t0602"/>
                    <pic:cNvPicPr>
                      <a:picLocks noChangeAspect="1" noChangeArrowheads="1"/>
                    </pic:cNvPicPr>
                  </pic:nvPicPr>
                  <pic:blipFill>
                    <a:blip r:embed="rId13" cstate="print"/>
                    <a:srcRect t="3093"/>
                    <a:stretch>
                      <a:fillRect/>
                    </a:stretch>
                  </pic:blipFill>
                  <pic:spPr bwMode="auto">
                    <a:xfrm>
                      <a:off x="0" y="0"/>
                      <a:ext cx="2076450" cy="1727200"/>
                    </a:xfrm>
                    <a:prstGeom prst="rect">
                      <a:avLst/>
                    </a:prstGeom>
                    <a:noFill/>
                    <a:ln w="9525">
                      <a:noFill/>
                      <a:miter lim="800000"/>
                      <a:headEnd/>
                      <a:tailEnd/>
                    </a:ln>
                  </pic:spPr>
                </pic:pic>
              </a:graphicData>
            </a:graphic>
          </wp:anchor>
        </w:drawing>
      </w:r>
      <w:r w:rsidR="00B64A15" w:rsidRPr="00B64A15">
        <w:rPr>
          <w:lang w:val="en-US"/>
        </w:rPr>
        <w:t>There are many other ions, including Mg</w:t>
      </w:r>
      <w:r w:rsidR="00B64A15" w:rsidRPr="00B64A15">
        <w:rPr>
          <w:vertAlign w:val="superscript"/>
          <w:lang w:val="en-US"/>
        </w:rPr>
        <w:t>2+</w:t>
      </w:r>
      <w:r w:rsidR="00B64A15" w:rsidRPr="00B64A15">
        <w:rPr>
          <w:lang w:val="en-US"/>
        </w:rPr>
        <w:t>, Ca</w:t>
      </w:r>
      <w:r w:rsidR="00B64A15" w:rsidRPr="00B64A15">
        <w:rPr>
          <w:vertAlign w:val="superscript"/>
          <w:lang w:val="en-US"/>
        </w:rPr>
        <w:t>2+</w:t>
      </w:r>
      <w:r w:rsidR="00B64A15" w:rsidRPr="00B64A15">
        <w:rPr>
          <w:lang w:val="en-US"/>
        </w:rPr>
        <w:t>, H</w:t>
      </w:r>
      <w:r w:rsidR="00B64A15" w:rsidRPr="00B64A15">
        <w:rPr>
          <w:vertAlign w:val="superscript"/>
          <w:lang w:val="en-US"/>
        </w:rPr>
        <w:t>+</w:t>
      </w:r>
      <w:r w:rsidR="00B64A15" w:rsidRPr="00B64A15">
        <w:rPr>
          <w:lang w:val="en-US"/>
        </w:rPr>
        <w:t>, HCO</w:t>
      </w:r>
      <w:r w:rsidR="00B64A15" w:rsidRPr="00B64A15">
        <w:rPr>
          <w:vertAlign w:val="subscript"/>
          <w:lang w:val="en-US"/>
        </w:rPr>
        <w:t>3</w:t>
      </w:r>
      <w:r w:rsidR="00B64A15" w:rsidRPr="00B64A15">
        <w:rPr>
          <w:vertAlign w:val="superscript"/>
          <w:lang w:val="en-US"/>
        </w:rPr>
        <w:t>-</w:t>
      </w:r>
      <w:r w:rsidR="00B64A15" w:rsidRPr="00B64A15">
        <w:rPr>
          <w:lang w:val="en-US"/>
        </w:rPr>
        <w:t>, HPO</w:t>
      </w:r>
      <w:r w:rsidR="00B64A15" w:rsidRPr="00B64A15">
        <w:rPr>
          <w:vertAlign w:val="subscript"/>
          <w:lang w:val="en-US"/>
        </w:rPr>
        <w:t>4</w:t>
      </w:r>
      <w:r w:rsidR="00B64A15" w:rsidRPr="00B64A15">
        <w:rPr>
          <w:vertAlign w:val="superscript"/>
          <w:lang w:val="en-US"/>
        </w:rPr>
        <w:t>2-</w:t>
      </w:r>
      <w:r w:rsidR="00B64A15" w:rsidRPr="00B64A15">
        <w:rPr>
          <w:lang w:val="en-US"/>
        </w:rPr>
        <w:t>, SO</w:t>
      </w:r>
      <w:r w:rsidR="00B64A15" w:rsidRPr="00B64A15">
        <w:rPr>
          <w:vertAlign w:val="subscript"/>
          <w:lang w:val="en-US"/>
        </w:rPr>
        <w:t>4</w:t>
      </w:r>
      <w:r w:rsidR="00B64A15" w:rsidRPr="00B64A15">
        <w:rPr>
          <w:vertAlign w:val="superscript"/>
          <w:lang w:val="en-US"/>
        </w:rPr>
        <w:t>2-</w:t>
      </w:r>
      <w:r w:rsidR="00B64A15" w:rsidRPr="00B64A15">
        <w:rPr>
          <w:lang w:val="en-US"/>
        </w:rPr>
        <w:t>, amino acids, and protein in both fluid compartments so that the bulk of the ICF and ECF are electrically neutral.</w:t>
      </w:r>
    </w:p>
    <w:p w:rsidR="00B64A15" w:rsidRPr="00B64A15" w:rsidRDefault="00B64A15" w:rsidP="00B64A15">
      <w:pPr>
        <w:pStyle w:val="ListParagraph"/>
        <w:numPr>
          <w:ilvl w:val="0"/>
          <w:numId w:val="7"/>
        </w:numPr>
        <w:spacing w:after="0"/>
        <w:rPr>
          <w:lang w:val="en-US"/>
        </w:rPr>
      </w:pPr>
      <w:r w:rsidRPr="00B64A15">
        <w:rPr>
          <w:lang w:val="en-US"/>
        </w:rPr>
        <w:t xml:space="preserve">Na+, K+ and </w:t>
      </w:r>
      <w:proofErr w:type="spellStart"/>
      <w:r w:rsidRPr="00B64A15">
        <w:rPr>
          <w:lang w:val="en-US"/>
        </w:rPr>
        <w:t>Cl</w:t>
      </w:r>
      <w:proofErr w:type="spellEnd"/>
      <w:r w:rsidRPr="00B64A15">
        <w:rPr>
          <w:lang w:val="en-US"/>
        </w:rPr>
        <w:t>- are present in the highest concentration and membrane permeability to each is independently determined.</w:t>
      </w:r>
    </w:p>
    <w:p w:rsidR="00B64A15" w:rsidRPr="00B64A15" w:rsidRDefault="00B64A15" w:rsidP="00B64A15">
      <w:pPr>
        <w:pStyle w:val="ListParagraph"/>
        <w:numPr>
          <w:ilvl w:val="0"/>
          <w:numId w:val="7"/>
        </w:numPr>
        <w:spacing w:after="0"/>
        <w:rPr>
          <w:lang w:val="en-US"/>
        </w:rPr>
      </w:pPr>
      <w:r w:rsidRPr="00B64A15">
        <w:rPr>
          <w:lang w:val="en-US"/>
        </w:rPr>
        <w:t xml:space="preserve">Na+ and K+ play the most important role in generating the resting membrane potential but </w:t>
      </w:r>
      <w:proofErr w:type="spellStart"/>
      <w:r w:rsidRPr="00B64A15">
        <w:rPr>
          <w:lang w:val="en-US"/>
        </w:rPr>
        <w:t>Cl</w:t>
      </w:r>
      <w:proofErr w:type="spellEnd"/>
      <w:r w:rsidRPr="00B64A15">
        <w:rPr>
          <w:lang w:val="en-US"/>
        </w:rPr>
        <w:t>- is a factor in some neurons.</w:t>
      </w:r>
    </w:p>
    <w:p w:rsidR="00B64A15" w:rsidRPr="00B64A15" w:rsidRDefault="00B64A15" w:rsidP="00B64A15">
      <w:pPr>
        <w:pStyle w:val="ListParagraph"/>
        <w:numPr>
          <w:ilvl w:val="0"/>
          <w:numId w:val="7"/>
        </w:numPr>
        <w:spacing w:after="0"/>
        <w:rPr>
          <w:lang w:val="en-US"/>
        </w:rPr>
      </w:pPr>
      <w:r w:rsidRPr="00B64A15">
        <w:rPr>
          <w:lang w:val="en-US"/>
        </w:rPr>
        <w:t xml:space="preserve">Na+ </w:t>
      </w:r>
      <w:proofErr w:type="spellStart"/>
      <w:r w:rsidRPr="00B64A15">
        <w:rPr>
          <w:lang w:val="en-US"/>
        </w:rPr>
        <w:t>Cl</w:t>
      </w:r>
      <w:proofErr w:type="spellEnd"/>
      <w:r w:rsidRPr="00B64A15">
        <w:rPr>
          <w:lang w:val="en-US"/>
        </w:rPr>
        <w:t>- out, K+ in</w:t>
      </w:r>
    </w:p>
    <w:p w:rsidR="00B64A15" w:rsidRPr="00B64A15" w:rsidRDefault="00B64A15" w:rsidP="00B64A15">
      <w:pPr>
        <w:pStyle w:val="ListParagraph"/>
        <w:numPr>
          <w:ilvl w:val="0"/>
          <w:numId w:val="7"/>
        </w:numPr>
        <w:spacing w:after="0"/>
        <w:rPr>
          <w:lang w:val="en-US"/>
        </w:rPr>
      </w:pPr>
      <w:r w:rsidRPr="00B64A15">
        <w:rPr>
          <w:lang w:val="en-US"/>
        </w:rPr>
        <w:t>The resting membrane potential established and maintained mainly by Na</w:t>
      </w:r>
      <w:r w:rsidRPr="00B64A15">
        <w:rPr>
          <w:vertAlign w:val="superscript"/>
          <w:lang w:val="en-US"/>
        </w:rPr>
        <w:t>+</w:t>
      </w:r>
      <w:r w:rsidRPr="00B64A15">
        <w:rPr>
          <w:lang w:val="en-US"/>
        </w:rPr>
        <w:t>/K</w:t>
      </w:r>
      <w:r w:rsidRPr="00B64A15">
        <w:rPr>
          <w:vertAlign w:val="superscript"/>
          <w:lang w:val="en-US"/>
        </w:rPr>
        <w:t>+</w:t>
      </w:r>
      <w:r w:rsidRPr="00B64A15">
        <w:rPr>
          <w:lang w:val="en-US"/>
        </w:rPr>
        <w:t>-</w:t>
      </w:r>
      <w:proofErr w:type="spellStart"/>
      <w:r w:rsidRPr="00B64A15">
        <w:rPr>
          <w:lang w:val="en-US"/>
        </w:rPr>
        <w:t>ATPase</w:t>
      </w:r>
      <w:proofErr w:type="spellEnd"/>
      <w:r w:rsidRPr="00B64A15">
        <w:rPr>
          <w:lang w:val="en-US"/>
        </w:rPr>
        <w:t xml:space="preserve"> activity.</w:t>
      </w:r>
    </w:p>
    <w:p w:rsidR="00B64A15" w:rsidRDefault="00B64A15" w:rsidP="00B64A15">
      <w:pPr>
        <w:spacing w:after="0"/>
        <w:rPr>
          <w:b/>
          <w:bCs/>
          <w:lang w:val="en-US"/>
        </w:rPr>
      </w:pPr>
    </w:p>
    <w:p w:rsidR="002F67E6" w:rsidRDefault="002F67E6" w:rsidP="00B64A15">
      <w:pPr>
        <w:spacing w:after="0"/>
        <w:rPr>
          <w:b/>
          <w:bCs/>
          <w:lang w:val="en-US"/>
        </w:rPr>
      </w:pPr>
    </w:p>
    <w:p w:rsidR="002F67E6" w:rsidRDefault="002F67E6" w:rsidP="00B64A15">
      <w:pPr>
        <w:spacing w:after="0"/>
        <w:rPr>
          <w:b/>
          <w:bCs/>
          <w:lang w:val="en-US"/>
        </w:rPr>
      </w:pPr>
    </w:p>
    <w:p w:rsidR="002F67E6" w:rsidRDefault="002F67E6" w:rsidP="00B64A15">
      <w:pPr>
        <w:spacing w:after="0"/>
        <w:rPr>
          <w:b/>
          <w:bCs/>
          <w:lang w:val="en-US"/>
        </w:rPr>
      </w:pPr>
    </w:p>
    <w:p w:rsidR="00B64A15" w:rsidRPr="00B64A15" w:rsidRDefault="002F67E6" w:rsidP="00B64A15">
      <w:pPr>
        <w:spacing w:after="0"/>
        <w:rPr>
          <w:b/>
          <w:bCs/>
          <w:lang w:val="en-US"/>
        </w:rPr>
      </w:pPr>
      <w:r>
        <w:rPr>
          <w:b/>
          <w:bCs/>
          <w:noProof/>
          <w:lang w:eastAsia="en-CA"/>
        </w:rPr>
        <w:lastRenderedPageBreak/>
        <w:drawing>
          <wp:anchor distT="0" distB="0" distL="114300" distR="114300" simplePos="0" relativeHeight="251664384" behindDoc="1" locked="0" layoutInCell="1" allowOverlap="1">
            <wp:simplePos x="0" y="0"/>
            <wp:positionH relativeFrom="column">
              <wp:posOffset>4679950</wp:posOffset>
            </wp:positionH>
            <wp:positionV relativeFrom="paragraph">
              <wp:posOffset>-419100</wp:posOffset>
            </wp:positionV>
            <wp:extent cx="1758950" cy="3746500"/>
            <wp:effectExtent l="19050" t="0" r="0" b="0"/>
            <wp:wrapTight wrapText="bothSides">
              <wp:wrapPolygon edited="0">
                <wp:start x="-234" y="0"/>
                <wp:lineTo x="-234" y="21527"/>
                <wp:lineTo x="21522" y="21527"/>
                <wp:lineTo x="21522" y="0"/>
                <wp:lineTo x="-234" y="0"/>
              </wp:wrapPolygon>
            </wp:wrapTight>
            <wp:docPr id="11" name="Picture 11" descr="wid4962X_0610"/>
            <wp:cNvGraphicFramePr/>
            <a:graphic xmlns:a="http://schemas.openxmlformats.org/drawingml/2006/main">
              <a:graphicData uri="http://schemas.openxmlformats.org/drawingml/2006/picture">
                <pic:pic xmlns:pic="http://schemas.openxmlformats.org/drawingml/2006/picture">
                  <pic:nvPicPr>
                    <pic:cNvPr id="21509" name="Picture 3" descr="wid4962X_0610"/>
                    <pic:cNvPicPr>
                      <a:picLocks noChangeAspect="1" noChangeArrowheads="1"/>
                    </pic:cNvPicPr>
                  </pic:nvPicPr>
                  <pic:blipFill>
                    <a:blip r:embed="rId14" cstate="print"/>
                    <a:srcRect t="2258"/>
                    <a:stretch>
                      <a:fillRect/>
                    </a:stretch>
                  </pic:blipFill>
                  <pic:spPr bwMode="auto">
                    <a:xfrm>
                      <a:off x="0" y="0"/>
                      <a:ext cx="1758950" cy="3746500"/>
                    </a:xfrm>
                    <a:prstGeom prst="rect">
                      <a:avLst/>
                    </a:prstGeom>
                    <a:noFill/>
                    <a:ln w="9525">
                      <a:noFill/>
                      <a:miter lim="800000"/>
                      <a:headEnd/>
                      <a:tailEnd/>
                    </a:ln>
                  </pic:spPr>
                </pic:pic>
              </a:graphicData>
            </a:graphic>
          </wp:anchor>
        </w:drawing>
      </w:r>
      <w:r w:rsidR="00B64A15" w:rsidRPr="00B64A15">
        <w:rPr>
          <w:b/>
          <w:bCs/>
          <w:lang w:val="en-US"/>
        </w:rPr>
        <w:t>Membrane Potential</w:t>
      </w:r>
    </w:p>
    <w:p w:rsidR="002F67E6" w:rsidRDefault="00B64A15" w:rsidP="002F67E6">
      <w:pPr>
        <w:pStyle w:val="ListParagraph"/>
        <w:numPr>
          <w:ilvl w:val="0"/>
          <w:numId w:val="7"/>
        </w:numPr>
        <w:spacing w:after="0"/>
        <w:rPr>
          <w:lang w:val="en-US"/>
        </w:rPr>
      </w:pPr>
      <w:r w:rsidRPr="00B64A15">
        <w:rPr>
          <w:lang w:val="en-US"/>
        </w:rPr>
        <w:t>The magnitude of the membrane potential depends mainly on two factors:</w:t>
      </w:r>
    </w:p>
    <w:p w:rsidR="002F67E6" w:rsidRDefault="002F67E6" w:rsidP="002F67E6">
      <w:pPr>
        <w:pStyle w:val="ListParagraph"/>
        <w:numPr>
          <w:ilvl w:val="1"/>
          <w:numId w:val="7"/>
        </w:numPr>
        <w:spacing w:after="0"/>
        <w:rPr>
          <w:lang w:val="en-US"/>
        </w:rPr>
      </w:pPr>
      <w:r>
        <w:rPr>
          <w:lang w:val="en-US"/>
        </w:rPr>
        <w:t xml:space="preserve">(1) </w:t>
      </w:r>
      <w:r w:rsidR="00B64A15" w:rsidRPr="002F67E6">
        <w:rPr>
          <w:lang w:val="en-US"/>
        </w:rPr>
        <w:t xml:space="preserve">[Ion] differences out </w:t>
      </w:r>
      <w:proofErr w:type="spellStart"/>
      <w:r w:rsidR="00B64A15" w:rsidRPr="002F67E6">
        <w:rPr>
          <w:lang w:val="en-US"/>
        </w:rPr>
        <w:t>vs</w:t>
      </w:r>
      <w:proofErr w:type="spellEnd"/>
      <w:r w:rsidR="00B64A15" w:rsidRPr="002F67E6">
        <w:rPr>
          <w:lang w:val="en-US"/>
        </w:rPr>
        <w:t xml:space="preserve"> in.</w:t>
      </w:r>
    </w:p>
    <w:p w:rsidR="00B64A15" w:rsidRPr="002F67E6" w:rsidRDefault="002F67E6" w:rsidP="002F67E6">
      <w:pPr>
        <w:pStyle w:val="ListParagraph"/>
        <w:numPr>
          <w:ilvl w:val="1"/>
          <w:numId w:val="7"/>
        </w:numPr>
        <w:spacing w:after="0"/>
        <w:rPr>
          <w:lang w:val="en-US"/>
        </w:rPr>
      </w:pPr>
      <w:r>
        <w:rPr>
          <w:lang w:val="en-US"/>
        </w:rPr>
        <w:t xml:space="preserve">(2) </w:t>
      </w:r>
      <w:r w:rsidR="00B64A15" w:rsidRPr="002F67E6">
        <w:rPr>
          <w:lang w:val="en-US"/>
        </w:rPr>
        <w:t>Membrane permeability to the different ions (number channels open for each ion)</w:t>
      </w:r>
    </w:p>
    <w:p w:rsidR="00B64A15" w:rsidRPr="00B64A15" w:rsidRDefault="00B64A15" w:rsidP="00B64A15">
      <w:pPr>
        <w:spacing w:after="0"/>
        <w:rPr>
          <w:vertAlign w:val="superscript"/>
          <w:lang w:val="en-US"/>
        </w:rPr>
      </w:pPr>
      <w:r w:rsidRPr="00B64A15">
        <w:rPr>
          <w:lang w:val="en-US"/>
        </w:rPr>
        <w:t>Consider a membrane that is permeable only to K</w:t>
      </w:r>
      <w:r w:rsidRPr="00B64A15">
        <w:rPr>
          <w:vertAlign w:val="superscript"/>
          <w:lang w:val="en-US"/>
        </w:rPr>
        <w:t>+</w:t>
      </w:r>
    </w:p>
    <w:p w:rsidR="00B64A15" w:rsidRPr="00B64A15" w:rsidRDefault="00B64A15" w:rsidP="00B64A15">
      <w:pPr>
        <w:pStyle w:val="ListParagraph"/>
        <w:numPr>
          <w:ilvl w:val="0"/>
          <w:numId w:val="7"/>
        </w:numPr>
        <w:spacing w:after="0"/>
        <w:rPr>
          <w:lang w:val="en-US"/>
        </w:rPr>
      </w:pPr>
      <w:r w:rsidRPr="00B64A15">
        <w:rPr>
          <w:lang w:val="en-US"/>
        </w:rPr>
        <w:t xml:space="preserve">(a) </w:t>
      </w:r>
      <w:proofErr w:type="gramStart"/>
      <w:r w:rsidRPr="00B64A15">
        <w:rPr>
          <w:lang w:val="en-US"/>
        </w:rPr>
        <w:t>no</w:t>
      </w:r>
      <w:proofErr w:type="gramEnd"/>
      <w:r w:rsidRPr="00B64A15">
        <w:rPr>
          <w:lang w:val="en-US"/>
        </w:rPr>
        <w:t xml:space="preserve"> potential difference because +</w:t>
      </w:r>
      <w:proofErr w:type="spellStart"/>
      <w:r w:rsidRPr="00B64A15">
        <w:rPr>
          <w:lang w:val="en-US"/>
        </w:rPr>
        <w:t>ve</w:t>
      </w:r>
      <w:proofErr w:type="spellEnd"/>
      <w:r w:rsidRPr="00B64A15">
        <w:rPr>
          <w:lang w:val="en-US"/>
        </w:rPr>
        <w:t xml:space="preserve"> ions are equal and channels are closed.</w:t>
      </w:r>
    </w:p>
    <w:p w:rsidR="00B64A15" w:rsidRPr="00B64A15" w:rsidRDefault="00B64A15" w:rsidP="00B64A15">
      <w:pPr>
        <w:pStyle w:val="ListParagraph"/>
        <w:numPr>
          <w:ilvl w:val="0"/>
          <w:numId w:val="7"/>
        </w:numPr>
        <w:spacing w:after="0"/>
        <w:rPr>
          <w:lang w:val="en-US"/>
        </w:rPr>
      </w:pPr>
      <w:r w:rsidRPr="00B64A15">
        <w:rPr>
          <w:lang w:val="en-US"/>
        </w:rPr>
        <w:t>(b) If K</w:t>
      </w:r>
      <w:r w:rsidRPr="00B64A15">
        <w:rPr>
          <w:vertAlign w:val="superscript"/>
          <w:lang w:val="en-US"/>
        </w:rPr>
        <w:t>+</w:t>
      </w:r>
      <w:r w:rsidRPr="00B64A15">
        <w:rPr>
          <w:lang w:val="en-US"/>
        </w:rPr>
        <w:t xml:space="preserve"> channels open, K</w:t>
      </w:r>
      <w:r w:rsidRPr="00B64A15">
        <w:rPr>
          <w:vertAlign w:val="superscript"/>
          <w:lang w:val="en-US"/>
        </w:rPr>
        <w:t>+</w:t>
      </w:r>
      <w:r w:rsidRPr="00B64A15">
        <w:rPr>
          <w:lang w:val="en-US"/>
        </w:rPr>
        <w:t xml:space="preserve"> will diffuse from 2 </w:t>
      </w:r>
      <w:r w:rsidRPr="00B64A15">
        <w:rPr>
          <w:lang w:val="en-US"/>
        </w:rPr>
        <w:sym w:font="Wingdings" w:char="F0E0"/>
      </w:r>
      <w:r w:rsidRPr="00B64A15">
        <w:rPr>
          <w:lang w:val="en-US"/>
        </w:rPr>
        <w:t xml:space="preserve"> 1</w:t>
      </w:r>
    </w:p>
    <w:p w:rsidR="00B64A15" w:rsidRPr="00B64A15" w:rsidRDefault="00B64A15" w:rsidP="00B64A15">
      <w:pPr>
        <w:pStyle w:val="ListParagraph"/>
        <w:numPr>
          <w:ilvl w:val="0"/>
          <w:numId w:val="7"/>
        </w:numPr>
        <w:spacing w:after="0"/>
        <w:rPr>
          <w:lang w:val="en-US"/>
        </w:rPr>
      </w:pPr>
      <w:r w:rsidRPr="00B64A15">
        <w:rPr>
          <w:lang w:val="en-US"/>
        </w:rPr>
        <w:t>(</w:t>
      </w:r>
      <w:proofErr w:type="spellStart"/>
      <w:r w:rsidRPr="00B64A15">
        <w:rPr>
          <w:lang w:val="en-US"/>
        </w:rPr>
        <w:t>c,d</w:t>
      </w:r>
      <w:proofErr w:type="spellEnd"/>
      <w:r w:rsidRPr="00B64A15">
        <w:rPr>
          <w:lang w:val="en-US"/>
        </w:rPr>
        <w:t>) Compartment 1 will have an excess of +</w:t>
      </w:r>
      <w:proofErr w:type="spellStart"/>
      <w:r w:rsidRPr="00B64A15">
        <w:rPr>
          <w:lang w:val="en-US"/>
        </w:rPr>
        <w:t>ve</w:t>
      </w:r>
      <w:proofErr w:type="spellEnd"/>
      <w:r w:rsidRPr="00B64A15">
        <w:rPr>
          <w:lang w:val="en-US"/>
        </w:rPr>
        <w:t xml:space="preserve"> charges and compartment 2, an excess of –</w:t>
      </w:r>
      <w:proofErr w:type="spellStart"/>
      <w:r w:rsidRPr="00B64A15">
        <w:rPr>
          <w:lang w:val="en-US"/>
        </w:rPr>
        <w:t>ve</w:t>
      </w:r>
      <w:proofErr w:type="spellEnd"/>
      <w:r w:rsidRPr="00B64A15">
        <w:rPr>
          <w:lang w:val="en-US"/>
        </w:rPr>
        <w:t xml:space="preserve"> charges.</w:t>
      </w:r>
    </w:p>
    <w:p w:rsidR="00B64A15" w:rsidRPr="00B64A15" w:rsidRDefault="00B64A15" w:rsidP="00B64A15">
      <w:pPr>
        <w:pStyle w:val="ListParagraph"/>
        <w:numPr>
          <w:ilvl w:val="0"/>
          <w:numId w:val="7"/>
        </w:numPr>
        <w:spacing w:after="0"/>
        <w:rPr>
          <w:lang w:val="en-US"/>
        </w:rPr>
      </w:pPr>
      <w:r w:rsidRPr="00B64A15">
        <w:rPr>
          <w:lang w:val="en-US"/>
        </w:rPr>
        <w:t>(e) The buildup of +</w:t>
      </w:r>
      <w:proofErr w:type="spellStart"/>
      <w:r w:rsidRPr="00B64A15">
        <w:rPr>
          <w:lang w:val="en-US"/>
        </w:rPr>
        <w:t>ve</w:t>
      </w:r>
      <w:proofErr w:type="spellEnd"/>
      <w:r w:rsidRPr="00B64A15">
        <w:rPr>
          <w:lang w:val="en-US"/>
        </w:rPr>
        <w:t xml:space="preserve"> charges in Compartment 1 (and –</w:t>
      </w:r>
      <w:proofErr w:type="spellStart"/>
      <w:r w:rsidRPr="00B64A15">
        <w:rPr>
          <w:lang w:val="en-US"/>
        </w:rPr>
        <w:t>ve</w:t>
      </w:r>
      <w:proofErr w:type="spellEnd"/>
      <w:r w:rsidRPr="00B64A15">
        <w:rPr>
          <w:lang w:val="en-US"/>
        </w:rPr>
        <w:t xml:space="preserve"> charges in Compartment 2) produces an electrical potential that exactly offsets the [K</w:t>
      </w:r>
      <w:r w:rsidRPr="00B64A15">
        <w:rPr>
          <w:vertAlign w:val="superscript"/>
          <w:lang w:val="en-US"/>
        </w:rPr>
        <w:t>+</w:t>
      </w:r>
      <w:r w:rsidRPr="00B64A15">
        <w:rPr>
          <w:lang w:val="en-US"/>
        </w:rPr>
        <w:t>] gradient.</w:t>
      </w:r>
    </w:p>
    <w:p w:rsidR="00B64A15" w:rsidRPr="00B64A15" w:rsidRDefault="00B64A15" w:rsidP="00B64A15">
      <w:pPr>
        <w:spacing w:after="0"/>
        <w:rPr>
          <w:lang w:val="en-US"/>
        </w:rPr>
      </w:pPr>
      <w:r w:rsidRPr="00B64A15">
        <w:rPr>
          <w:lang w:val="en-US"/>
        </w:rPr>
        <w:t xml:space="preserve">The membrane potential at which the flux due to concentration difference becomes equal in magnitude but opposite in direction is called the </w:t>
      </w:r>
      <w:r w:rsidRPr="00B64A15">
        <w:rPr>
          <w:b/>
          <w:bCs/>
          <w:lang w:val="en-US"/>
        </w:rPr>
        <w:t>equilibrium potential</w:t>
      </w:r>
      <w:r w:rsidRPr="00B64A15">
        <w:rPr>
          <w:lang w:val="en-US"/>
        </w:rPr>
        <w:t xml:space="preserve"> for that type of ion.</w:t>
      </w:r>
    </w:p>
    <w:p w:rsidR="00B64A15" w:rsidRPr="00B64A15" w:rsidRDefault="00B64A15" w:rsidP="00B64A15">
      <w:pPr>
        <w:spacing w:after="0"/>
        <w:rPr>
          <w:lang w:val="en-US"/>
        </w:rPr>
      </w:pPr>
    </w:p>
    <w:p w:rsidR="00B64A15" w:rsidRDefault="00A67A71" w:rsidP="00B64A15">
      <w:pPr>
        <w:spacing w:after="0"/>
        <w:rPr>
          <w:b/>
          <w:bCs/>
          <w:lang w:val="en-US"/>
        </w:rPr>
      </w:pPr>
      <w:r>
        <w:rPr>
          <w:b/>
          <w:bCs/>
          <w:noProof/>
          <w:lang w:eastAsia="en-CA"/>
        </w:rPr>
        <w:drawing>
          <wp:anchor distT="0" distB="0" distL="114300" distR="114300" simplePos="0" relativeHeight="251665408" behindDoc="1" locked="0" layoutInCell="1" allowOverlap="1">
            <wp:simplePos x="0" y="0"/>
            <wp:positionH relativeFrom="column">
              <wp:posOffset>4565650</wp:posOffset>
            </wp:positionH>
            <wp:positionV relativeFrom="paragraph">
              <wp:posOffset>128270</wp:posOffset>
            </wp:positionV>
            <wp:extent cx="1873250" cy="3162300"/>
            <wp:effectExtent l="19050" t="0" r="0" b="0"/>
            <wp:wrapTight wrapText="bothSides">
              <wp:wrapPolygon edited="0">
                <wp:start x="-220" y="0"/>
                <wp:lineTo x="-220" y="21470"/>
                <wp:lineTo x="21527" y="21470"/>
                <wp:lineTo x="21527" y="0"/>
                <wp:lineTo x="-220" y="0"/>
              </wp:wrapPolygon>
            </wp:wrapTight>
            <wp:docPr id="12" name="Picture 12" descr="wid4962X_0611"/>
            <wp:cNvGraphicFramePr/>
            <a:graphic xmlns:a="http://schemas.openxmlformats.org/drawingml/2006/main">
              <a:graphicData uri="http://schemas.openxmlformats.org/drawingml/2006/picture">
                <pic:pic xmlns:pic="http://schemas.openxmlformats.org/drawingml/2006/picture">
                  <pic:nvPicPr>
                    <pic:cNvPr id="22532" name="Picture 3" descr="wid4962X_0611"/>
                    <pic:cNvPicPr>
                      <a:picLocks noChangeAspect="1" noChangeArrowheads="1"/>
                    </pic:cNvPicPr>
                  </pic:nvPicPr>
                  <pic:blipFill>
                    <a:blip r:embed="rId15" cstate="print"/>
                    <a:srcRect t="2682"/>
                    <a:stretch>
                      <a:fillRect/>
                    </a:stretch>
                  </pic:blipFill>
                  <pic:spPr bwMode="auto">
                    <a:xfrm>
                      <a:off x="0" y="0"/>
                      <a:ext cx="1873250" cy="3162300"/>
                    </a:xfrm>
                    <a:prstGeom prst="rect">
                      <a:avLst/>
                    </a:prstGeom>
                    <a:noFill/>
                    <a:ln w="9525">
                      <a:noFill/>
                      <a:miter lim="800000"/>
                      <a:headEnd/>
                      <a:tailEnd/>
                    </a:ln>
                  </pic:spPr>
                </pic:pic>
              </a:graphicData>
            </a:graphic>
          </wp:anchor>
        </w:drawing>
      </w:r>
    </w:p>
    <w:p w:rsidR="00B64A15" w:rsidRDefault="00B64A15" w:rsidP="00B64A15">
      <w:pPr>
        <w:spacing w:after="0"/>
        <w:rPr>
          <w:b/>
          <w:bCs/>
          <w:lang w:val="en-US"/>
        </w:rPr>
      </w:pPr>
    </w:p>
    <w:p w:rsidR="00B64A15" w:rsidRDefault="00B64A15" w:rsidP="00B64A15">
      <w:pPr>
        <w:spacing w:after="0"/>
        <w:rPr>
          <w:b/>
          <w:bCs/>
          <w:lang w:val="en-US"/>
        </w:rPr>
      </w:pPr>
    </w:p>
    <w:p w:rsidR="00B64A15" w:rsidRPr="00B64A15" w:rsidRDefault="00B64A15" w:rsidP="00B64A15">
      <w:pPr>
        <w:spacing w:after="0"/>
        <w:rPr>
          <w:b/>
          <w:bCs/>
          <w:lang w:val="en-US"/>
        </w:rPr>
      </w:pPr>
      <w:r w:rsidRPr="00B64A15">
        <w:rPr>
          <w:b/>
          <w:bCs/>
          <w:lang w:val="en-US"/>
        </w:rPr>
        <w:t>Membrane Potential</w:t>
      </w:r>
      <w:proofErr w:type="gramStart"/>
      <w:r w:rsidRPr="00B64A15">
        <w:rPr>
          <w:b/>
          <w:bCs/>
          <w:lang w:val="en-US"/>
        </w:rPr>
        <w:t>…(</w:t>
      </w:r>
      <w:proofErr w:type="gramEnd"/>
      <w:r w:rsidRPr="00B64A15">
        <w:rPr>
          <w:b/>
          <w:bCs/>
          <w:lang w:val="en-US"/>
        </w:rPr>
        <w:t>cont’d)</w:t>
      </w:r>
    </w:p>
    <w:p w:rsidR="00B64A15" w:rsidRPr="00B64A15" w:rsidRDefault="00B64A15" w:rsidP="00B64A15">
      <w:pPr>
        <w:spacing w:after="0"/>
        <w:rPr>
          <w:vertAlign w:val="superscript"/>
          <w:lang w:val="en-US"/>
        </w:rPr>
      </w:pPr>
      <w:r w:rsidRPr="00B64A15">
        <w:rPr>
          <w:lang w:val="en-US"/>
        </w:rPr>
        <w:t>Consider a membrane that is permeable only to Na</w:t>
      </w:r>
      <w:r w:rsidRPr="00B64A15">
        <w:rPr>
          <w:vertAlign w:val="superscript"/>
          <w:lang w:val="en-US"/>
        </w:rPr>
        <w:t>+</w:t>
      </w:r>
      <w:r w:rsidRPr="00B64A15">
        <w:rPr>
          <w:lang w:val="en-US"/>
        </w:rPr>
        <w:t>:</w:t>
      </w:r>
    </w:p>
    <w:p w:rsidR="00B64A15" w:rsidRPr="00B64A15" w:rsidRDefault="00B64A15" w:rsidP="00B64A15">
      <w:pPr>
        <w:pStyle w:val="ListParagraph"/>
        <w:numPr>
          <w:ilvl w:val="0"/>
          <w:numId w:val="7"/>
        </w:numPr>
        <w:spacing w:after="0"/>
        <w:rPr>
          <w:lang w:val="en-US"/>
        </w:rPr>
      </w:pPr>
      <w:r w:rsidRPr="00B64A15">
        <w:rPr>
          <w:lang w:val="en-US"/>
        </w:rPr>
        <w:t xml:space="preserve">(a) </w:t>
      </w:r>
      <w:proofErr w:type="gramStart"/>
      <w:r w:rsidRPr="00B64A15">
        <w:rPr>
          <w:lang w:val="en-US"/>
        </w:rPr>
        <w:t>no</w:t>
      </w:r>
      <w:proofErr w:type="gramEnd"/>
      <w:r w:rsidRPr="00B64A15">
        <w:rPr>
          <w:lang w:val="en-US"/>
        </w:rPr>
        <w:t xml:space="preserve"> potential difference because +</w:t>
      </w:r>
      <w:proofErr w:type="spellStart"/>
      <w:r w:rsidRPr="00B64A15">
        <w:rPr>
          <w:lang w:val="en-US"/>
        </w:rPr>
        <w:t>ve</w:t>
      </w:r>
      <w:proofErr w:type="spellEnd"/>
      <w:r w:rsidRPr="00B64A15">
        <w:rPr>
          <w:lang w:val="en-US"/>
        </w:rPr>
        <w:t xml:space="preserve"> ions are equal and channels are closed.</w:t>
      </w:r>
    </w:p>
    <w:p w:rsidR="00B64A15" w:rsidRPr="00B64A15" w:rsidRDefault="00B64A15" w:rsidP="00B64A15">
      <w:pPr>
        <w:pStyle w:val="ListParagraph"/>
        <w:numPr>
          <w:ilvl w:val="0"/>
          <w:numId w:val="7"/>
        </w:numPr>
        <w:spacing w:after="0"/>
        <w:rPr>
          <w:lang w:val="en-US"/>
        </w:rPr>
      </w:pPr>
      <w:r w:rsidRPr="00B64A15">
        <w:rPr>
          <w:lang w:val="en-US"/>
        </w:rPr>
        <w:t>(b) if Na</w:t>
      </w:r>
      <w:r w:rsidRPr="00B64A15">
        <w:rPr>
          <w:vertAlign w:val="superscript"/>
          <w:lang w:val="en-US"/>
        </w:rPr>
        <w:t>+</w:t>
      </w:r>
      <w:r w:rsidRPr="00B64A15">
        <w:rPr>
          <w:lang w:val="en-US"/>
        </w:rPr>
        <w:t xml:space="preserve"> channels are opened, Na</w:t>
      </w:r>
      <w:r w:rsidRPr="00B64A15">
        <w:rPr>
          <w:vertAlign w:val="superscript"/>
          <w:lang w:val="en-US"/>
        </w:rPr>
        <w:t>+</w:t>
      </w:r>
      <w:r w:rsidRPr="00B64A15">
        <w:rPr>
          <w:lang w:val="en-US"/>
        </w:rPr>
        <w:t xml:space="preserve"> will diffuse from 1 </w:t>
      </w:r>
      <w:r w:rsidRPr="00B64A15">
        <w:rPr>
          <w:lang w:val="en-US"/>
        </w:rPr>
        <w:sym w:font="Wingdings" w:char="F0E0"/>
      </w:r>
      <w:r w:rsidRPr="00B64A15">
        <w:rPr>
          <w:lang w:val="en-US"/>
        </w:rPr>
        <w:t xml:space="preserve"> 2</w:t>
      </w:r>
    </w:p>
    <w:p w:rsidR="00B64A15" w:rsidRPr="00B64A15" w:rsidRDefault="00B64A15" w:rsidP="00B64A15">
      <w:pPr>
        <w:pStyle w:val="ListParagraph"/>
        <w:numPr>
          <w:ilvl w:val="0"/>
          <w:numId w:val="7"/>
        </w:numPr>
        <w:spacing w:after="0"/>
        <w:rPr>
          <w:lang w:val="en-US"/>
        </w:rPr>
      </w:pPr>
      <w:r w:rsidRPr="00B64A15">
        <w:rPr>
          <w:lang w:val="en-US"/>
        </w:rPr>
        <w:t>(</w:t>
      </w:r>
      <w:proofErr w:type="spellStart"/>
      <w:r w:rsidRPr="00B64A15">
        <w:rPr>
          <w:lang w:val="en-US"/>
        </w:rPr>
        <w:t>c,d</w:t>
      </w:r>
      <w:proofErr w:type="spellEnd"/>
      <w:r w:rsidRPr="00B64A15">
        <w:rPr>
          <w:lang w:val="en-US"/>
        </w:rPr>
        <w:t>) Compartment 2 will have an excess of positive charges and compartment 1, an excess of negative charges.</w:t>
      </w:r>
    </w:p>
    <w:p w:rsidR="00B64A15" w:rsidRPr="00B64A15" w:rsidRDefault="00B64A15" w:rsidP="00B64A15">
      <w:pPr>
        <w:pStyle w:val="ListParagraph"/>
        <w:numPr>
          <w:ilvl w:val="0"/>
          <w:numId w:val="7"/>
        </w:numPr>
        <w:spacing w:after="0"/>
        <w:rPr>
          <w:lang w:val="en-US"/>
        </w:rPr>
      </w:pPr>
      <w:r w:rsidRPr="00B64A15">
        <w:rPr>
          <w:lang w:val="en-US"/>
        </w:rPr>
        <w:t>(e) At the Na</w:t>
      </w:r>
      <w:r w:rsidRPr="00B64A15">
        <w:rPr>
          <w:vertAlign w:val="superscript"/>
          <w:lang w:val="en-US"/>
        </w:rPr>
        <w:t>+</w:t>
      </w:r>
      <w:r w:rsidRPr="00B64A15">
        <w:rPr>
          <w:lang w:val="en-US"/>
        </w:rPr>
        <w:t xml:space="preserve"> equilibrium potential: buildup of positive charge in Compartment 2 produces an electrical potential that exactly offsets the Na</w:t>
      </w:r>
      <w:r w:rsidRPr="00B64A15">
        <w:rPr>
          <w:vertAlign w:val="superscript"/>
          <w:lang w:val="en-US"/>
        </w:rPr>
        <w:t>+</w:t>
      </w:r>
      <w:r w:rsidRPr="00B64A15">
        <w:rPr>
          <w:lang w:val="en-US"/>
        </w:rPr>
        <w:t xml:space="preserve"> chemical concentration gradient.</w:t>
      </w:r>
    </w:p>
    <w:p w:rsidR="00B64A15" w:rsidRPr="00B64A15" w:rsidRDefault="00B64A15" w:rsidP="00B64A15">
      <w:pPr>
        <w:spacing w:after="0"/>
        <w:rPr>
          <w:lang w:val="en-US"/>
        </w:rPr>
      </w:pPr>
    </w:p>
    <w:p w:rsidR="00A67A71" w:rsidRDefault="00A67A71" w:rsidP="00B64A15">
      <w:pPr>
        <w:spacing w:after="0"/>
        <w:rPr>
          <w:b/>
          <w:bCs/>
          <w:lang w:val="en-US"/>
        </w:rPr>
      </w:pPr>
    </w:p>
    <w:p w:rsidR="00A67A71" w:rsidRDefault="00A67A71" w:rsidP="00B64A15">
      <w:pPr>
        <w:spacing w:after="0"/>
        <w:rPr>
          <w:b/>
          <w:bCs/>
          <w:lang w:val="en-US"/>
        </w:rPr>
      </w:pPr>
    </w:p>
    <w:p w:rsidR="00A67A71" w:rsidRDefault="00A67A71" w:rsidP="00B64A15">
      <w:pPr>
        <w:spacing w:after="0"/>
        <w:rPr>
          <w:b/>
          <w:bCs/>
          <w:lang w:val="en-US"/>
        </w:rPr>
      </w:pPr>
    </w:p>
    <w:p w:rsidR="00A67A71" w:rsidRDefault="00A67A71" w:rsidP="00B64A15">
      <w:pPr>
        <w:spacing w:after="0"/>
        <w:rPr>
          <w:b/>
          <w:bCs/>
          <w:lang w:val="en-US"/>
        </w:rPr>
      </w:pPr>
    </w:p>
    <w:p w:rsidR="00A67A71" w:rsidRDefault="00A67A71" w:rsidP="00B64A15">
      <w:pPr>
        <w:spacing w:after="0"/>
        <w:rPr>
          <w:b/>
          <w:bCs/>
          <w:lang w:val="en-US"/>
        </w:rPr>
      </w:pPr>
    </w:p>
    <w:p w:rsidR="00A67A71" w:rsidRDefault="00A67A71" w:rsidP="00B64A15">
      <w:pPr>
        <w:spacing w:after="0"/>
        <w:rPr>
          <w:b/>
          <w:bCs/>
          <w:lang w:val="en-US"/>
        </w:rPr>
      </w:pPr>
    </w:p>
    <w:p w:rsidR="00A67A71" w:rsidRDefault="00A67A71" w:rsidP="00B64A15">
      <w:pPr>
        <w:spacing w:after="0"/>
        <w:rPr>
          <w:b/>
          <w:bCs/>
          <w:lang w:val="en-US"/>
        </w:rPr>
      </w:pPr>
    </w:p>
    <w:p w:rsidR="00A67A71" w:rsidRDefault="00A67A71" w:rsidP="00B64A15">
      <w:pPr>
        <w:spacing w:after="0"/>
        <w:rPr>
          <w:b/>
          <w:bCs/>
          <w:lang w:val="en-US"/>
        </w:rPr>
      </w:pPr>
    </w:p>
    <w:p w:rsidR="00A67A71" w:rsidRDefault="00A67A71" w:rsidP="00B64A15">
      <w:pPr>
        <w:spacing w:after="0"/>
        <w:rPr>
          <w:b/>
          <w:bCs/>
          <w:lang w:val="en-US"/>
        </w:rPr>
      </w:pPr>
    </w:p>
    <w:p w:rsidR="00B64A15" w:rsidRPr="00B64A15" w:rsidRDefault="00B64A15" w:rsidP="00B64A15">
      <w:pPr>
        <w:spacing w:after="0"/>
        <w:rPr>
          <w:b/>
          <w:bCs/>
          <w:lang w:val="en-US"/>
        </w:rPr>
      </w:pPr>
      <w:r w:rsidRPr="00B64A15">
        <w:rPr>
          <w:b/>
          <w:bCs/>
          <w:lang w:val="en-US"/>
        </w:rPr>
        <w:lastRenderedPageBreak/>
        <w:t>The Nernst Equation: Equilibrium Potential</w:t>
      </w:r>
    </w:p>
    <w:p w:rsidR="00B64A15" w:rsidRDefault="00B64A15" w:rsidP="00B64A15">
      <w:pPr>
        <w:pStyle w:val="ListParagraph"/>
        <w:numPr>
          <w:ilvl w:val="0"/>
          <w:numId w:val="7"/>
        </w:numPr>
        <w:spacing w:after="0"/>
        <w:rPr>
          <w:lang w:val="en-US"/>
        </w:rPr>
      </w:pPr>
      <w:r w:rsidRPr="00B64A15">
        <w:rPr>
          <w:lang w:val="en-US"/>
        </w:rPr>
        <w:t xml:space="preserve">The </w:t>
      </w:r>
      <w:r w:rsidRPr="00B64A15">
        <w:rPr>
          <w:b/>
          <w:bCs/>
          <w:lang w:val="en-US"/>
        </w:rPr>
        <w:t>Nernst equation</w:t>
      </w:r>
      <w:r w:rsidRPr="00B64A15">
        <w:rPr>
          <w:lang w:val="en-US"/>
        </w:rPr>
        <w:t xml:space="preserve"> describes the equilibrium potential for any ion species – that is, the electrical potential necessary to balance a given ionic concentration gradient across a membrane so that the net flux on that ion is zero.</w:t>
      </w:r>
    </w:p>
    <w:p w:rsidR="00A67A71" w:rsidRPr="00B64A15" w:rsidRDefault="00A67A71" w:rsidP="00B64A15">
      <w:pPr>
        <w:pStyle w:val="ListParagraph"/>
        <w:numPr>
          <w:ilvl w:val="0"/>
          <w:numId w:val="7"/>
        </w:numPr>
        <w:spacing w:after="0"/>
        <w:rPr>
          <w:lang w:val="en-US"/>
        </w:rPr>
      </w:pPr>
      <w:r>
        <w:rPr>
          <w:lang w:val="en-US"/>
        </w:rPr>
        <w:t>Equation is used to find out what happens to membrane potential when concentration of an ion changes (ex. Na</w:t>
      </w:r>
      <w:r>
        <w:rPr>
          <w:vertAlign w:val="superscript"/>
          <w:lang w:val="en-US"/>
        </w:rPr>
        <w:t>+</w:t>
      </w:r>
      <w:r w:rsidR="00127221">
        <w:rPr>
          <w:lang w:val="en-US"/>
        </w:rPr>
        <w:t>)</w:t>
      </w:r>
    </w:p>
    <w:p w:rsidR="00B64A15" w:rsidRPr="00B64A15" w:rsidRDefault="00B64A15" w:rsidP="00B64A15">
      <w:pPr>
        <w:pStyle w:val="ListParagraph"/>
        <w:numPr>
          <w:ilvl w:val="0"/>
          <w:numId w:val="7"/>
        </w:numPr>
        <w:spacing w:after="0"/>
        <w:rPr>
          <w:lang w:val="en-US"/>
        </w:rPr>
      </w:pPr>
      <w:proofErr w:type="spellStart"/>
      <w:r w:rsidRPr="00B64A15">
        <w:rPr>
          <w:lang w:val="en-US"/>
        </w:rPr>
        <w:t>E</w:t>
      </w:r>
      <w:r w:rsidRPr="00B64A15">
        <w:rPr>
          <w:vertAlign w:val="subscript"/>
          <w:lang w:val="en-US"/>
        </w:rPr>
        <w:t>ion</w:t>
      </w:r>
      <w:proofErr w:type="spellEnd"/>
      <w:r w:rsidRPr="00B64A15">
        <w:rPr>
          <w:lang w:val="en-US"/>
        </w:rPr>
        <w:t xml:space="preserve"> = 61/Z log (Co/</w:t>
      </w:r>
      <w:proofErr w:type="spellStart"/>
      <w:r w:rsidRPr="00B64A15">
        <w:rPr>
          <w:lang w:val="en-US"/>
        </w:rPr>
        <w:t>Ci</w:t>
      </w:r>
      <w:proofErr w:type="spellEnd"/>
      <w:r w:rsidRPr="00B64A15">
        <w:rPr>
          <w:lang w:val="en-US"/>
        </w:rPr>
        <w:t>)</w:t>
      </w:r>
    </w:p>
    <w:p w:rsidR="00B64A15" w:rsidRPr="00B64A15" w:rsidRDefault="00B64A15" w:rsidP="00B64A15">
      <w:pPr>
        <w:spacing w:after="0"/>
        <w:rPr>
          <w:lang w:val="en-US"/>
        </w:rPr>
      </w:pPr>
    </w:p>
    <w:p w:rsidR="00B64A15" w:rsidRPr="00B64A15" w:rsidRDefault="00B64A15" w:rsidP="00B64A15">
      <w:pPr>
        <w:spacing w:after="0"/>
        <w:rPr>
          <w:lang w:val="en-US"/>
        </w:rPr>
      </w:pPr>
      <w:r w:rsidRPr="00B64A15">
        <w:rPr>
          <w:lang w:val="en-US"/>
        </w:rPr>
        <w:t>Where,</w:t>
      </w:r>
    </w:p>
    <w:p w:rsidR="00B64A15" w:rsidRPr="00B64A15" w:rsidRDefault="00B64A15" w:rsidP="00B64A15">
      <w:pPr>
        <w:spacing w:after="0"/>
        <w:rPr>
          <w:lang w:val="en-US"/>
        </w:rPr>
      </w:pPr>
      <w:proofErr w:type="spellStart"/>
      <w:r w:rsidRPr="00B64A15">
        <w:rPr>
          <w:lang w:val="en-US"/>
        </w:rPr>
        <w:t>E</w:t>
      </w:r>
      <w:r w:rsidRPr="00B64A15">
        <w:rPr>
          <w:vertAlign w:val="subscript"/>
          <w:lang w:val="en-US"/>
        </w:rPr>
        <w:t>ion</w:t>
      </w:r>
      <w:proofErr w:type="spellEnd"/>
      <w:r w:rsidRPr="00B64A15">
        <w:rPr>
          <w:lang w:val="en-US"/>
        </w:rPr>
        <w:t xml:space="preserve"> = equilibrium potential in mV</w:t>
      </w:r>
    </w:p>
    <w:p w:rsidR="00B64A15" w:rsidRPr="00B64A15" w:rsidRDefault="00B64A15" w:rsidP="00B64A15">
      <w:pPr>
        <w:spacing w:after="0"/>
        <w:rPr>
          <w:lang w:val="en-US"/>
        </w:rPr>
      </w:pPr>
      <w:proofErr w:type="spellStart"/>
      <w:r w:rsidRPr="00B64A15">
        <w:rPr>
          <w:lang w:val="en-US"/>
        </w:rPr>
        <w:t>C</w:t>
      </w:r>
      <w:r w:rsidRPr="00B64A15">
        <w:rPr>
          <w:vertAlign w:val="subscript"/>
          <w:lang w:val="en-US"/>
        </w:rPr>
        <w:t>i</w:t>
      </w:r>
      <w:proofErr w:type="spellEnd"/>
      <w:r w:rsidRPr="00B64A15">
        <w:rPr>
          <w:lang w:val="en-US"/>
        </w:rPr>
        <w:t xml:space="preserve"> = intracellular ion concentration</w:t>
      </w:r>
    </w:p>
    <w:p w:rsidR="00B64A15" w:rsidRPr="00B64A15" w:rsidRDefault="00B64A15" w:rsidP="00B64A15">
      <w:pPr>
        <w:spacing w:after="0"/>
        <w:rPr>
          <w:lang w:val="en-US"/>
        </w:rPr>
      </w:pPr>
      <w:r w:rsidRPr="00B64A15">
        <w:rPr>
          <w:lang w:val="en-US"/>
        </w:rPr>
        <w:t>C</w:t>
      </w:r>
      <w:r w:rsidRPr="00B64A15">
        <w:rPr>
          <w:vertAlign w:val="subscript"/>
          <w:lang w:val="en-US"/>
        </w:rPr>
        <w:t>o</w:t>
      </w:r>
      <w:r w:rsidRPr="00B64A15">
        <w:rPr>
          <w:lang w:val="en-US"/>
        </w:rPr>
        <w:t xml:space="preserve"> = extracellular ion concentration</w:t>
      </w:r>
    </w:p>
    <w:p w:rsidR="00B64A15" w:rsidRPr="00B64A15" w:rsidRDefault="00B64A15" w:rsidP="00B64A15">
      <w:pPr>
        <w:spacing w:after="0"/>
        <w:rPr>
          <w:lang w:val="en-US"/>
        </w:rPr>
      </w:pPr>
      <w:r w:rsidRPr="00B64A15">
        <w:rPr>
          <w:lang w:val="en-US"/>
        </w:rPr>
        <w:t>Z = valence of the ion</w:t>
      </w:r>
    </w:p>
    <w:p w:rsidR="00B64A15" w:rsidRDefault="00B64A15" w:rsidP="00B64A15">
      <w:pPr>
        <w:spacing w:after="0"/>
        <w:rPr>
          <w:lang w:val="en-US"/>
        </w:rPr>
      </w:pPr>
      <w:r w:rsidRPr="00B64A15">
        <w:rPr>
          <w:lang w:val="en-US"/>
        </w:rPr>
        <w:t>61 is a constant that takes into account the universal gas constant, the temperature, and the Faraday electrical constant.</w:t>
      </w:r>
    </w:p>
    <w:p w:rsidR="00B64A15" w:rsidRPr="00B64A15" w:rsidRDefault="00B64A15" w:rsidP="00B64A15">
      <w:pPr>
        <w:spacing w:after="0"/>
        <w:rPr>
          <w:lang w:val="en-US"/>
        </w:rPr>
      </w:pPr>
    </w:p>
    <w:p w:rsidR="00B64A15" w:rsidRPr="00B64A15" w:rsidRDefault="00B64A15" w:rsidP="00B64A15">
      <w:pPr>
        <w:pStyle w:val="ListParagraph"/>
        <w:numPr>
          <w:ilvl w:val="0"/>
          <w:numId w:val="7"/>
        </w:numPr>
        <w:spacing w:after="0"/>
        <w:rPr>
          <w:lang w:val="en-US"/>
        </w:rPr>
      </w:pPr>
      <w:proofErr w:type="spellStart"/>
      <w:r w:rsidRPr="00B64A15">
        <w:rPr>
          <w:lang w:val="en-US"/>
        </w:rPr>
        <w:t>E</w:t>
      </w:r>
      <w:r w:rsidRPr="00B64A15">
        <w:rPr>
          <w:vertAlign w:val="subscript"/>
          <w:lang w:val="en-US"/>
        </w:rPr>
        <w:t>Na</w:t>
      </w:r>
      <w:proofErr w:type="spellEnd"/>
      <w:r w:rsidRPr="00B64A15">
        <w:rPr>
          <w:lang w:val="en-US"/>
        </w:rPr>
        <w:t xml:space="preserve"> = 61/1 log (145/15) = +60 mV</w:t>
      </w:r>
    </w:p>
    <w:p w:rsidR="00B64A15" w:rsidRPr="00B64A15" w:rsidRDefault="00B64A15" w:rsidP="00B64A15">
      <w:pPr>
        <w:pStyle w:val="ListParagraph"/>
        <w:numPr>
          <w:ilvl w:val="0"/>
          <w:numId w:val="7"/>
        </w:numPr>
        <w:spacing w:after="0"/>
        <w:rPr>
          <w:lang w:val="en-US"/>
        </w:rPr>
      </w:pPr>
      <w:r w:rsidRPr="00B64A15">
        <w:rPr>
          <w:lang w:val="en-US"/>
        </w:rPr>
        <w:t>E</w:t>
      </w:r>
      <w:r w:rsidRPr="00B64A15">
        <w:rPr>
          <w:vertAlign w:val="subscript"/>
          <w:lang w:val="en-US"/>
        </w:rPr>
        <w:t>K</w:t>
      </w:r>
      <w:r w:rsidRPr="00B64A15">
        <w:rPr>
          <w:lang w:val="en-US"/>
        </w:rPr>
        <w:t xml:space="preserve"> = 61/1 log (5/15) = -90 mV</w:t>
      </w:r>
    </w:p>
    <w:p w:rsidR="00B64A15" w:rsidRPr="00B64A15" w:rsidRDefault="00B64A15" w:rsidP="00B64A15">
      <w:pPr>
        <w:pStyle w:val="ListParagraph"/>
        <w:numPr>
          <w:ilvl w:val="0"/>
          <w:numId w:val="7"/>
        </w:numPr>
        <w:spacing w:after="0"/>
        <w:rPr>
          <w:lang w:val="en-US"/>
        </w:rPr>
      </w:pPr>
      <w:r w:rsidRPr="00B64A15">
        <w:rPr>
          <w:lang w:val="en-US"/>
        </w:rPr>
        <w:t>What does this mean?</w:t>
      </w:r>
    </w:p>
    <w:p w:rsidR="00B64A15" w:rsidRPr="00B64A15" w:rsidRDefault="00B64A15" w:rsidP="00B64A15">
      <w:pPr>
        <w:pStyle w:val="ListParagraph"/>
        <w:numPr>
          <w:ilvl w:val="0"/>
          <w:numId w:val="7"/>
        </w:numPr>
        <w:spacing w:after="0"/>
        <w:rPr>
          <w:lang w:val="en-US"/>
        </w:rPr>
      </w:pPr>
      <w:r w:rsidRPr="00B64A15">
        <w:rPr>
          <w:lang w:val="en-US"/>
        </w:rPr>
        <w:t>At typical concentrations (see Table 6.2), Na</w:t>
      </w:r>
      <w:r w:rsidRPr="00B64A15">
        <w:rPr>
          <w:vertAlign w:val="superscript"/>
          <w:lang w:val="en-US"/>
        </w:rPr>
        <w:t>+</w:t>
      </w:r>
      <w:r w:rsidRPr="00B64A15">
        <w:rPr>
          <w:lang w:val="en-US"/>
        </w:rPr>
        <w:t xml:space="preserve"> flux through open channels will drive the membrane potential towards +60 mV while K</w:t>
      </w:r>
      <w:r w:rsidRPr="00B64A15">
        <w:rPr>
          <w:vertAlign w:val="superscript"/>
          <w:lang w:val="en-US"/>
        </w:rPr>
        <w:t>+</w:t>
      </w:r>
      <w:r w:rsidRPr="00B64A15">
        <w:rPr>
          <w:lang w:val="en-US"/>
        </w:rPr>
        <w:t xml:space="preserve"> flux will bring it towards -90 mV.</w:t>
      </w:r>
    </w:p>
    <w:p w:rsidR="00B64A15" w:rsidRPr="00B64A15" w:rsidRDefault="00B64A15" w:rsidP="00B64A15">
      <w:pPr>
        <w:pStyle w:val="ListParagraph"/>
        <w:numPr>
          <w:ilvl w:val="0"/>
          <w:numId w:val="7"/>
        </w:numPr>
        <w:spacing w:after="0"/>
        <w:rPr>
          <w:lang w:val="en-US"/>
        </w:rPr>
      </w:pPr>
      <w:r w:rsidRPr="00B64A15">
        <w:rPr>
          <w:lang w:val="en-US"/>
        </w:rPr>
        <w:t xml:space="preserve">In an actual nerve </w:t>
      </w:r>
      <w:r w:rsidRPr="00B64A15">
        <w:rPr>
          <w:i/>
          <w:iCs/>
          <w:lang w:val="en-US"/>
        </w:rPr>
        <w:t>at rest</w:t>
      </w:r>
      <w:r w:rsidRPr="00B64A15">
        <w:rPr>
          <w:lang w:val="en-US"/>
        </w:rPr>
        <w:t>, there are many more open K+ channels than Na+ channels; chloride permeability generally falls in between.</w:t>
      </w:r>
    </w:p>
    <w:p w:rsidR="00B64A15" w:rsidRPr="00B64A15" w:rsidRDefault="00B64A15" w:rsidP="00B64A15">
      <w:pPr>
        <w:pStyle w:val="ListParagraph"/>
        <w:numPr>
          <w:ilvl w:val="0"/>
          <w:numId w:val="7"/>
        </w:numPr>
        <w:spacing w:after="0"/>
        <w:rPr>
          <w:lang w:val="en-US"/>
        </w:rPr>
      </w:pPr>
      <w:r w:rsidRPr="00B64A15">
        <w:rPr>
          <w:lang w:val="en-US"/>
        </w:rPr>
        <w:t>P</w:t>
      </w:r>
      <w:r w:rsidRPr="00B64A15">
        <w:rPr>
          <w:vertAlign w:val="subscript"/>
          <w:lang w:val="en-US"/>
        </w:rPr>
        <w:t>K</w:t>
      </w:r>
      <w:r w:rsidRPr="00B64A15">
        <w:rPr>
          <w:lang w:val="en-US"/>
        </w:rPr>
        <w:t xml:space="preserve"> = 1, </w:t>
      </w:r>
      <w:proofErr w:type="spellStart"/>
      <w:r w:rsidRPr="00B64A15">
        <w:rPr>
          <w:lang w:val="en-US"/>
        </w:rPr>
        <w:t>P</w:t>
      </w:r>
      <w:r w:rsidRPr="00B64A15">
        <w:rPr>
          <w:vertAlign w:val="subscript"/>
          <w:lang w:val="en-US"/>
        </w:rPr>
        <w:t>Na</w:t>
      </w:r>
      <w:proofErr w:type="spellEnd"/>
      <w:r w:rsidRPr="00B64A15">
        <w:rPr>
          <w:lang w:val="en-US"/>
        </w:rPr>
        <w:t xml:space="preserve"> = 0.04, </w:t>
      </w:r>
      <w:proofErr w:type="spellStart"/>
      <w:r w:rsidRPr="00B64A15">
        <w:rPr>
          <w:lang w:val="en-US"/>
        </w:rPr>
        <w:t>P</w:t>
      </w:r>
      <w:r w:rsidRPr="00B64A15">
        <w:rPr>
          <w:vertAlign w:val="subscript"/>
          <w:lang w:val="en-US"/>
        </w:rPr>
        <w:t>Cl</w:t>
      </w:r>
      <w:proofErr w:type="spellEnd"/>
      <w:r w:rsidRPr="00B64A15">
        <w:rPr>
          <w:lang w:val="en-US"/>
        </w:rPr>
        <w:t xml:space="preserve"> = 0.45.</w:t>
      </w:r>
    </w:p>
    <w:p w:rsidR="00B64A15" w:rsidRPr="00B64A15" w:rsidRDefault="00B64A15" w:rsidP="00B64A15">
      <w:pPr>
        <w:spacing w:after="0"/>
        <w:rPr>
          <w:lang w:val="en-US"/>
        </w:rPr>
      </w:pPr>
    </w:p>
    <w:p w:rsidR="00B64A15" w:rsidRPr="00B64A15" w:rsidRDefault="00B64A15" w:rsidP="00B64A15">
      <w:pPr>
        <w:spacing w:after="0"/>
        <w:rPr>
          <w:b/>
          <w:bCs/>
          <w:lang w:val="en-US"/>
        </w:rPr>
      </w:pPr>
      <w:r w:rsidRPr="00B64A15">
        <w:rPr>
          <w:b/>
          <w:bCs/>
          <w:lang w:val="en-US"/>
        </w:rPr>
        <w:t>The Goldman-Hodgkin-Katz Equation</w:t>
      </w:r>
    </w:p>
    <w:p w:rsidR="00B64A15" w:rsidRPr="00B64A15" w:rsidRDefault="00B64A15" w:rsidP="00B64A15">
      <w:pPr>
        <w:pStyle w:val="ListParagraph"/>
        <w:numPr>
          <w:ilvl w:val="0"/>
          <w:numId w:val="7"/>
        </w:numPr>
        <w:spacing w:after="0"/>
        <w:rPr>
          <w:lang w:val="en-US"/>
        </w:rPr>
      </w:pPr>
      <w:r w:rsidRPr="00B64A15">
        <w:rPr>
          <w:lang w:val="en-US"/>
        </w:rPr>
        <w:t>How do we calculate the membrane potential if more than one type of channel is open?</w:t>
      </w:r>
    </w:p>
    <w:p w:rsidR="00B64A15" w:rsidRPr="00B64A15" w:rsidRDefault="00127221" w:rsidP="00B64A15">
      <w:pPr>
        <w:pStyle w:val="ListParagraph"/>
        <w:numPr>
          <w:ilvl w:val="0"/>
          <w:numId w:val="7"/>
        </w:numPr>
        <w:spacing w:after="0"/>
        <w:rPr>
          <w:lang w:val="en-US"/>
        </w:rPr>
      </w:pPr>
      <w:r>
        <w:rPr>
          <w:noProof/>
          <w:lang w:eastAsia="en-CA"/>
        </w:rPr>
        <w:drawing>
          <wp:anchor distT="0" distB="0" distL="114300" distR="114300" simplePos="0" relativeHeight="251666432" behindDoc="1" locked="0" layoutInCell="1" allowOverlap="1">
            <wp:simplePos x="0" y="0"/>
            <wp:positionH relativeFrom="column">
              <wp:posOffset>4019550</wp:posOffset>
            </wp:positionH>
            <wp:positionV relativeFrom="paragraph">
              <wp:posOffset>320040</wp:posOffset>
            </wp:positionV>
            <wp:extent cx="2495550" cy="2870200"/>
            <wp:effectExtent l="19050" t="0" r="0" b="0"/>
            <wp:wrapTight wrapText="bothSides">
              <wp:wrapPolygon edited="0">
                <wp:start x="-165" y="0"/>
                <wp:lineTo x="-165" y="21504"/>
                <wp:lineTo x="21600" y="21504"/>
                <wp:lineTo x="21600" y="0"/>
                <wp:lineTo x="-165" y="0"/>
              </wp:wrapPolygon>
            </wp:wrapTight>
            <wp:docPr id="13" name="Picture 13" descr="wid4962X_0612"/>
            <wp:cNvGraphicFramePr/>
            <a:graphic xmlns:a="http://schemas.openxmlformats.org/drawingml/2006/main">
              <a:graphicData uri="http://schemas.openxmlformats.org/drawingml/2006/picture">
                <pic:pic xmlns:pic="http://schemas.openxmlformats.org/drawingml/2006/picture">
                  <pic:nvPicPr>
                    <pic:cNvPr id="25606" name="Picture 3" descr="wid4962X_0612"/>
                    <pic:cNvPicPr>
                      <a:picLocks noChangeAspect="1" noChangeArrowheads="1"/>
                    </pic:cNvPicPr>
                  </pic:nvPicPr>
                  <pic:blipFill>
                    <a:blip r:embed="rId16" cstate="print"/>
                    <a:srcRect t="2074"/>
                    <a:stretch>
                      <a:fillRect/>
                    </a:stretch>
                  </pic:blipFill>
                  <pic:spPr bwMode="auto">
                    <a:xfrm>
                      <a:off x="0" y="0"/>
                      <a:ext cx="2495550" cy="2870200"/>
                    </a:xfrm>
                    <a:prstGeom prst="rect">
                      <a:avLst/>
                    </a:prstGeom>
                    <a:noFill/>
                    <a:ln w="9525">
                      <a:noFill/>
                      <a:miter lim="800000"/>
                      <a:headEnd/>
                      <a:tailEnd/>
                    </a:ln>
                  </pic:spPr>
                </pic:pic>
              </a:graphicData>
            </a:graphic>
          </wp:anchor>
        </w:drawing>
      </w:r>
      <w:r w:rsidR="00B64A15" w:rsidRPr="00B64A15">
        <w:rPr>
          <w:lang w:val="en-US"/>
        </w:rPr>
        <w:t>We need to consider the permeability (P) for each ion species (how many channels are open) and the concentration difference.</w:t>
      </w:r>
    </w:p>
    <w:p w:rsidR="00B64A15" w:rsidRPr="00B64A15" w:rsidRDefault="00B64A15" w:rsidP="00B64A15">
      <w:pPr>
        <w:pStyle w:val="ListParagraph"/>
        <w:numPr>
          <w:ilvl w:val="0"/>
          <w:numId w:val="7"/>
        </w:numPr>
        <w:spacing w:after="0"/>
        <w:rPr>
          <w:lang w:val="en-US"/>
        </w:rPr>
      </w:pPr>
      <w:r w:rsidRPr="00B64A15">
        <w:rPr>
          <w:lang w:val="en-US"/>
        </w:rPr>
        <w:t xml:space="preserve">The GHK equations takes into account the individual ion </w:t>
      </w:r>
      <w:proofErr w:type="spellStart"/>
      <w:r w:rsidRPr="00B64A15">
        <w:rPr>
          <w:lang w:val="en-US"/>
        </w:rPr>
        <w:t>permeabilities</w:t>
      </w:r>
      <w:proofErr w:type="spellEnd"/>
    </w:p>
    <w:p w:rsidR="00B64A15" w:rsidRPr="00B64A15" w:rsidRDefault="00B64A15" w:rsidP="00B64A15">
      <w:pPr>
        <w:pStyle w:val="ListParagraph"/>
        <w:numPr>
          <w:ilvl w:val="0"/>
          <w:numId w:val="7"/>
        </w:numPr>
        <w:spacing w:after="0"/>
        <w:rPr>
          <w:lang w:val="en-US"/>
        </w:rPr>
      </w:pPr>
      <w:proofErr w:type="spellStart"/>
      <w:r w:rsidRPr="00B64A15">
        <w:rPr>
          <w:lang w:val="en-US"/>
        </w:rPr>
        <w:t>V</w:t>
      </w:r>
      <w:r w:rsidRPr="00B64A15">
        <w:rPr>
          <w:vertAlign w:val="subscript"/>
          <w:lang w:val="en-US"/>
        </w:rPr>
        <w:t>m</w:t>
      </w:r>
      <w:proofErr w:type="spellEnd"/>
      <w:r w:rsidRPr="00B64A15">
        <w:rPr>
          <w:lang w:val="en-US"/>
        </w:rPr>
        <w:t xml:space="preserve"> = 61 log </w:t>
      </w:r>
      <w:r w:rsidRPr="00127221">
        <w:rPr>
          <w:u w:val="single"/>
          <w:lang w:val="en-US"/>
        </w:rPr>
        <w:t>P</w:t>
      </w:r>
      <w:r w:rsidRPr="00127221">
        <w:rPr>
          <w:u w:val="single"/>
          <w:vertAlign w:val="subscript"/>
          <w:lang w:val="en-US"/>
        </w:rPr>
        <w:t>K</w:t>
      </w:r>
      <w:r w:rsidRPr="00127221">
        <w:rPr>
          <w:u w:val="single"/>
          <w:lang w:val="en-US"/>
        </w:rPr>
        <w:t>[</w:t>
      </w:r>
      <w:proofErr w:type="spellStart"/>
      <w:r w:rsidRPr="00127221">
        <w:rPr>
          <w:u w:val="single"/>
          <w:lang w:val="en-US"/>
        </w:rPr>
        <w:t>K</w:t>
      </w:r>
      <w:r w:rsidRPr="00127221">
        <w:rPr>
          <w:u w:val="single"/>
          <w:vertAlign w:val="subscript"/>
          <w:lang w:val="en-US"/>
        </w:rPr>
        <w:t>o</w:t>
      </w:r>
      <w:proofErr w:type="spellEnd"/>
      <w:r w:rsidRPr="00127221">
        <w:rPr>
          <w:u w:val="single"/>
          <w:lang w:val="en-US"/>
        </w:rPr>
        <w:t xml:space="preserve">] + </w:t>
      </w:r>
      <w:proofErr w:type="spellStart"/>
      <w:r w:rsidRPr="00127221">
        <w:rPr>
          <w:u w:val="single"/>
          <w:lang w:val="en-US"/>
        </w:rPr>
        <w:t>P</w:t>
      </w:r>
      <w:r w:rsidRPr="00127221">
        <w:rPr>
          <w:u w:val="single"/>
          <w:vertAlign w:val="subscript"/>
          <w:lang w:val="en-US"/>
        </w:rPr>
        <w:t>Na</w:t>
      </w:r>
      <w:proofErr w:type="spellEnd"/>
      <w:r w:rsidRPr="00127221">
        <w:rPr>
          <w:u w:val="single"/>
          <w:lang w:val="en-US"/>
        </w:rPr>
        <w:t>[</w:t>
      </w:r>
      <w:proofErr w:type="spellStart"/>
      <w:r w:rsidRPr="00127221">
        <w:rPr>
          <w:u w:val="single"/>
          <w:lang w:val="en-US"/>
        </w:rPr>
        <w:t>Na</w:t>
      </w:r>
      <w:r w:rsidRPr="00127221">
        <w:rPr>
          <w:u w:val="single"/>
          <w:vertAlign w:val="subscript"/>
          <w:lang w:val="en-US"/>
        </w:rPr>
        <w:t>o</w:t>
      </w:r>
      <w:proofErr w:type="spellEnd"/>
      <w:r w:rsidRPr="00127221">
        <w:rPr>
          <w:u w:val="single"/>
          <w:lang w:val="en-US"/>
        </w:rPr>
        <w:t xml:space="preserve">] + </w:t>
      </w:r>
      <w:proofErr w:type="spellStart"/>
      <w:r w:rsidRPr="00127221">
        <w:rPr>
          <w:u w:val="single"/>
          <w:lang w:val="en-US"/>
        </w:rPr>
        <w:t>P</w:t>
      </w:r>
      <w:r w:rsidRPr="00127221">
        <w:rPr>
          <w:u w:val="single"/>
          <w:vertAlign w:val="subscript"/>
          <w:lang w:val="en-US"/>
        </w:rPr>
        <w:t>Cl</w:t>
      </w:r>
      <w:proofErr w:type="spellEnd"/>
      <w:r w:rsidRPr="00127221">
        <w:rPr>
          <w:u w:val="single"/>
          <w:lang w:val="en-US"/>
        </w:rPr>
        <w:t>[</w:t>
      </w:r>
      <w:proofErr w:type="spellStart"/>
      <w:r w:rsidRPr="00127221">
        <w:rPr>
          <w:u w:val="single"/>
          <w:lang w:val="en-US"/>
        </w:rPr>
        <w:t>Cl</w:t>
      </w:r>
      <w:r w:rsidRPr="00127221">
        <w:rPr>
          <w:u w:val="single"/>
          <w:vertAlign w:val="subscript"/>
          <w:lang w:val="en-US"/>
        </w:rPr>
        <w:t>i</w:t>
      </w:r>
      <w:proofErr w:type="spellEnd"/>
      <w:r w:rsidRPr="00127221">
        <w:rPr>
          <w:u w:val="single"/>
          <w:lang w:val="en-US"/>
        </w:rPr>
        <w:t>]</w:t>
      </w:r>
    </w:p>
    <w:p w:rsidR="00B64A15" w:rsidRPr="00B64A15" w:rsidRDefault="00127221" w:rsidP="00B64A15">
      <w:pPr>
        <w:spacing w:after="0"/>
        <w:rPr>
          <w:lang w:val="en-US"/>
        </w:rPr>
      </w:pPr>
      <w:r>
        <w:rPr>
          <w:lang w:val="en-US"/>
        </w:rPr>
        <w:tab/>
        <w:t xml:space="preserve">             </w:t>
      </w:r>
      <w:proofErr w:type="gramStart"/>
      <w:r w:rsidR="00B64A15" w:rsidRPr="00B64A15">
        <w:rPr>
          <w:lang w:val="en-US"/>
        </w:rPr>
        <w:t>P</w:t>
      </w:r>
      <w:r w:rsidR="00B64A15" w:rsidRPr="00B64A15">
        <w:rPr>
          <w:vertAlign w:val="subscript"/>
          <w:lang w:val="en-US"/>
        </w:rPr>
        <w:t>K</w:t>
      </w:r>
      <w:r w:rsidR="00B64A15" w:rsidRPr="00B64A15">
        <w:rPr>
          <w:lang w:val="en-US"/>
        </w:rPr>
        <w:t>[</w:t>
      </w:r>
      <w:proofErr w:type="spellStart"/>
      <w:proofErr w:type="gramEnd"/>
      <w:r w:rsidR="00B64A15" w:rsidRPr="00B64A15">
        <w:rPr>
          <w:lang w:val="en-US"/>
        </w:rPr>
        <w:t>K</w:t>
      </w:r>
      <w:r w:rsidR="00B64A15" w:rsidRPr="00B64A15">
        <w:rPr>
          <w:vertAlign w:val="subscript"/>
          <w:lang w:val="en-US"/>
        </w:rPr>
        <w:t>i</w:t>
      </w:r>
      <w:proofErr w:type="spellEnd"/>
      <w:r w:rsidR="00B64A15" w:rsidRPr="00B64A15">
        <w:rPr>
          <w:lang w:val="en-US"/>
        </w:rPr>
        <w:t xml:space="preserve">] + </w:t>
      </w:r>
      <w:proofErr w:type="spellStart"/>
      <w:r w:rsidR="00B64A15" w:rsidRPr="00B64A15">
        <w:rPr>
          <w:lang w:val="en-US"/>
        </w:rPr>
        <w:t>P</w:t>
      </w:r>
      <w:r w:rsidR="00B64A15" w:rsidRPr="00B64A15">
        <w:rPr>
          <w:vertAlign w:val="subscript"/>
          <w:lang w:val="en-US"/>
        </w:rPr>
        <w:t>Na</w:t>
      </w:r>
      <w:proofErr w:type="spellEnd"/>
      <w:r w:rsidR="00B64A15" w:rsidRPr="00B64A15">
        <w:rPr>
          <w:lang w:val="en-US"/>
        </w:rPr>
        <w:t>[</w:t>
      </w:r>
      <w:proofErr w:type="spellStart"/>
      <w:r w:rsidR="00B64A15" w:rsidRPr="00B64A15">
        <w:rPr>
          <w:lang w:val="en-US"/>
        </w:rPr>
        <w:t>Na</w:t>
      </w:r>
      <w:r w:rsidR="00B64A15" w:rsidRPr="00B64A15">
        <w:rPr>
          <w:vertAlign w:val="subscript"/>
          <w:lang w:val="en-US"/>
        </w:rPr>
        <w:t>i</w:t>
      </w:r>
      <w:proofErr w:type="spellEnd"/>
      <w:r w:rsidR="00B64A15" w:rsidRPr="00B64A15">
        <w:rPr>
          <w:lang w:val="en-US"/>
        </w:rPr>
        <w:t xml:space="preserve">] + </w:t>
      </w:r>
      <w:proofErr w:type="spellStart"/>
      <w:r w:rsidR="00B64A15" w:rsidRPr="00B64A15">
        <w:rPr>
          <w:lang w:val="en-US"/>
        </w:rPr>
        <w:t>P</w:t>
      </w:r>
      <w:r w:rsidR="00B64A15" w:rsidRPr="00B64A15">
        <w:rPr>
          <w:vertAlign w:val="subscript"/>
          <w:lang w:val="en-US"/>
        </w:rPr>
        <w:t>Cl</w:t>
      </w:r>
      <w:proofErr w:type="spellEnd"/>
      <w:r w:rsidR="00B64A15" w:rsidRPr="00B64A15">
        <w:rPr>
          <w:lang w:val="en-US"/>
        </w:rPr>
        <w:t>[</w:t>
      </w:r>
      <w:proofErr w:type="spellStart"/>
      <w:r w:rsidR="00B64A15" w:rsidRPr="00B64A15">
        <w:rPr>
          <w:lang w:val="en-US"/>
        </w:rPr>
        <w:t>Cl</w:t>
      </w:r>
      <w:r w:rsidR="00B64A15" w:rsidRPr="00B64A15">
        <w:rPr>
          <w:vertAlign w:val="subscript"/>
          <w:lang w:val="en-US"/>
        </w:rPr>
        <w:t>o</w:t>
      </w:r>
      <w:proofErr w:type="spellEnd"/>
      <w:r w:rsidR="00B64A15" w:rsidRPr="00B64A15">
        <w:rPr>
          <w:lang w:val="en-US"/>
        </w:rPr>
        <w:t>]</w:t>
      </w:r>
    </w:p>
    <w:p w:rsidR="00B64A15" w:rsidRPr="00127221" w:rsidRDefault="00127221" w:rsidP="00127221">
      <w:pPr>
        <w:pStyle w:val="ListParagraph"/>
        <w:numPr>
          <w:ilvl w:val="0"/>
          <w:numId w:val="7"/>
        </w:numPr>
        <w:spacing w:after="0"/>
        <w:rPr>
          <w:lang w:val="en-US"/>
        </w:rPr>
      </w:pPr>
      <w:r>
        <w:rPr>
          <w:lang w:val="en-US"/>
        </w:rPr>
        <w:t>Notice the terms for chloride is switched</w:t>
      </w:r>
      <w:r w:rsidRPr="00127221">
        <w:rPr>
          <w:lang w:val="en-US"/>
        </w:rPr>
        <w:sym w:font="Wingdings" w:char="F0E0"/>
      </w:r>
      <w:r>
        <w:rPr>
          <w:lang w:val="en-US"/>
        </w:rPr>
        <w:t xml:space="preserve"> [</w:t>
      </w:r>
      <w:proofErr w:type="spellStart"/>
      <w:r>
        <w:rPr>
          <w:lang w:val="en-US"/>
        </w:rPr>
        <w:t>Cl</w:t>
      </w:r>
      <w:r>
        <w:rPr>
          <w:vertAlign w:val="subscript"/>
          <w:lang w:val="en-US"/>
        </w:rPr>
        <w:t>in</w:t>
      </w:r>
      <w:proofErr w:type="spellEnd"/>
      <w:r>
        <w:rPr>
          <w:lang w:val="en-US"/>
        </w:rPr>
        <w:t>]/[Cl</w:t>
      </w:r>
      <w:r>
        <w:rPr>
          <w:vertAlign w:val="subscript"/>
          <w:lang w:val="en-US"/>
        </w:rPr>
        <w:t>out</w:t>
      </w:r>
      <w:r>
        <w:rPr>
          <w:lang w:val="en-US"/>
        </w:rPr>
        <w:t>]</w:t>
      </w:r>
    </w:p>
    <w:p w:rsidR="00B64A15" w:rsidRPr="00B64A15" w:rsidRDefault="00B64A15" w:rsidP="00B64A15">
      <w:pPr>
        <w:spacing w:after="0"/>
        <w:rPr>
          <w:lang w:val="en-US"/>
        </w:rPr>
      </w:pPr>
    </w:p>
    <w:p w:rsidR="00B64A15" w:rsidRPr="00B64A15" w:rsidRDefault="00B64A15" w:rsidP="00B64A15">
      <w:pPr>
        <w:spacing w:after="0"/>
        <w:rPr>
          <w:b/>
          <w:bCs/>
          <w:lang w:val="en-US"/>
        </w:rPr>
      </w:pPr>
      <w:r w:rsidRPr="00B64A15">
        <w:rPr>
          <w:b/>
          <w:bCs/>
          <w:lang w:val="en-US"/>
        </w:rPr>
        <w:t>Forces Influencing Na</w:t>
      </w:r>
      <w:r w:rsidRPr="00B64A15">
        <w:rPr>
          <w:b/>
          <w:bCs/>
          <w:vertAlign w:val="superscript"/>
          <w:lang w:val="en-US"/>
        </w:rPr>
        <w:t>+</w:t>
      </w:r>
      <w:r w:rsidRPr="00B64A15">
        <w:rPr>
          <w:b/>
          <w:bCs/>
          <w:lang w:val="en-US"/>
        </w:rPr>
        <w:t xml:space="preserve"> and K</w:t>
      </w:r>
      <w:r w:rsidRPr="00B64A15">
        <w:rPr>
          <w:b/>
          <w:bCs/>
          <w:vertAlign w:val="superscript"/>
          <w:lang w:val="en-US"/>
        </w:rPr>
        <w:t>+</w:t>
      </w:r>
      <w:r w:rsidRPr="00B64A15">
        <w:rPr>
          <w:b/>
          <w:bCs/>
          <w:lang w:val="en-US"/>
        </w:rPr>
        <w:t xml:space="preserve"> at Resting Membrane Potential</w:t>
      </w:r>
    </w:p>
    <w:p w:rsidR="00B64A15" w:rsidRPr="00B64A15" w:rsidRDefault="00B64A15" w:rsidP="00B64A15">
      <w:pPr>
        <w:pStyle w:val="ListParagraph"/>
        <w:numPr>
          <w:ilvl w:val="0"/>
          <w:numId w:val="7"/>
        </w:numPr>
        <w:spacing w:after="0"/>
        <w:rPr>
          <w:lang w:val="en-US"/>
        </w:rPr>
      </w:pPr>
      <w:r w:rsidRPr="00B64A15">
        <w:rPr>
          <w:lang w:val="en-US"/>
        </w:rPr>
        <w:t xml:space="preserve">At a resting membrane potential of </w:t>
      </w:r>
      <w:r>
        <w:rPr>
          <w:lang w:val="en-US"/>
        </w:rPr>
        <w:t xml:space="preserve"> </w:t>
      </w:r>
      <w:r w:rsidRPr="00B64A15">
        <w:rPr>
          <w:lang w:val="en-US"/>
        </w:rPr>
        <w:t>-70 mV both the concentration gradient and electrical potential favor inward movement of Na</w:t>
      </w:r>
      <w:r w:rsidRPr="00B64A15">
        <w:rPr>
          <w:vertAlign w:val="superscript"/>
          <w:lang w:val="en-US"/>
        </w:rPr>
        <w:t>+</w:t>
      </w:r>
      <w:r w:rsidRPr="00B64A15">
        <w:rPr>
          <w:lang w:val="en-US"/>
        </w:rPr>
        <w:t>, while the K</w:t>
      </w:r>
      <w:r w:rsidRPr="00B64A15">
        <w:rPr>
          <w:vertAlign w:val="superscript"/>
          <w:lang w:val="en-US"/>
        </w:rPr>
        <w:t>+</w:t>
      </w:r>
      <w:r w:rsidRPr="00B64A15">
        <w:rPr>
          <w:lang w:val="en-US"/>
        </w:rPr>
        <w:t xml:space="preserve"> concentration gradient opposes the electrical potential.</w:t>
      </w:r>
    </w:p>
    <w:p w:rsidR="00B64A15" w:rsidRPr="00B64A15" w:rsidRDefault="00B64A15" w:rsidP="00B64A15">
      <w:pPr>
        <w:pStyle w:val="ListParagraph"/>
        <w:numPr>
          <w:ilvl w:val="0"/>
          <w:numId w:val="7"/>
        </w:numPr>
        <w:spacing w:after="0"/>
        <w:rPr>
          <w:lang w:val="en-US"/>
        </w:rPr>
      </w:pPr>
      <w:r w:rsidRPr="00B64A15">
        <w:rPr>
          <w:lang w:val="en-US"/>
        </w:rPr>
        <w:lastRenderedPageBreak/>
        <w:t>The greater permeability and movement of K</w:t>
      </w:r>
      <w:r w:rsidRPr="00B64A15">
        <w:rPr>
          <w:vertAlign w:val="superscript"/>
          <w:lang w:val="en-US"/>
        </w:rPr>
        <w:t>+</w:t>
      </w:r>
      <w:r w:rsidRPr="00B64A15">
        <w:rPr>
          <w:lang w:val="en-US"/>
        </w:rPr>
        <w:t xml:space="preserve"> maintains the resting membrane potential at a value near </w:t>
      </w:r>
      <w:proofErr w:type="spellStart"/>
      <w:r w:rsidRPr="00B64A15">
        <w:rPr>
          <w:lang w:val="en-US"/>
        </w:rPr>
        <w:t>E</w:t>
      </w:r>
      <w:r w:rsidRPr="00B64A15">
        <w:rPr>
          <w:vertAlign w:val="subscript"/>
          <w:lang w:val="en-US"/>
        </w:rPr>
        <w:t>k</w:t>
      </w:r>
      <w:proofErr w:type="spellEnd"/>
      <w:r w:rsidRPr="00B64A15">
        <w:rPr>
          <w:lang w:val="en-US"/>
        </w:rPr>
        <w:t>.</w:t>
      </w:r>
    </w:p>
    <w:p w:rsidR="00B64A15" w:rsidRPr="00B64A15" w:rsidRDefault="00B64A15" w:rsidP="00B64A15">
      <w:pPr>
        <w:spacing w:after="0"/>
        <w:rPr>
          <w:lang w:val="en-US"/>
        </w:rPr>
      </w:pPr>
    </w:p>
    <w:p w:rsidR="00B64A15" w:rsidRDefault="00945EC1" w:rsidP="00127221">
      <w:pPr>
        <w:tabs>
          <w:tab w:val="left" w:pos="5640"/>
        </w:tabs>
        <w:spacing w:after="0"/>
        <w:rPr>
          <w:b/>
          <w:bCs/>
          <w:lang w:val="en-US"/>
        </w:rPr>
      </w:pPr>
      <w:r>
        <w:rPr>
          <w:b/>
          <w:bCs/>
          <w:noProof/>
          <w:lang w:eastAsia="en-CA"/>
        </w:rPr>
        <w:drawing>
          <wp:anchor distT="0" distB="0" distL="114300" distR="114300" simplePos="0" relativeHeight="251667456" behindDoc="1" locked="0" layoutInCell="1" allowOverlap="1">
            <wp:simplePos x="0" y="0"/>
            <wp:positionH relativeFrom="column">
              <wp:posOffset>-259715</wp:posOffset>
            </wp:positionH>
            <wp:positionV relativeFrom="paragraph">
              <wp:posOffset>338455</wp:posOffset>
            </wp:positionV>
            <wp:extent cx="6560185" cy="2007235"/>
            <wp:effectExtent l="19050" t="0" r="0" b="0"/>
            <wp:wrapTight wrapText="bothSides">
              <wp:wrapPolygon edited="0">
                <wp:start x="-63" y="0"/>
                <wp:lineTo x="-63" y="21320"/>
                <wp:lineTo x="7151" y="21320"/>
                <wp:lineTo x="14489" y="21320"/>
                <wp:lineTo x="21577" y="21320"/>
                <wp:lineTo x="21577" y="0"/>
                <wp:lineTo x="-63" y="0"/>
              </wp:wrapPolygon>
            </wp:wrapTight>
            <wp:docPr id="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srcRect/>
                    <a:stretch>
                      <a:fillRect/>
                    </a:stretch>
                  </pic:blipFill>
                  <pic:spPr bwMode="auto">
                    <a:xfrm>
                      <a:off x="0" y="0"/>
                      <a:ext cx="6560185" cy="2007235"/>
                    </a:xfrm>
                    <a:prstGeom prst="rect">
                      <a:avLst/>
                    </a:prstGeom>
                    <a:noFill/>
                  </pic:spPr>
                </pic:pic>
              </a:graphicData>
            </a:graphic>
          </wp:anchor>
        </w:drawing>
      </w:r>
      <w:r w:rsidR="00B64A15" w:rsidRPr="00B64A15">
        <w:rPr>
          <w:b/>
          <w:bCs/>
          <w:lang w:val="en-US"/>
        </w:rPr>
        <w:t>Summary: Establishing the Resting Membrane Potential</w:t>
      </w:r>
      <w:r w:rsidR="00127221">
        <w:rPr>
          <w:b/>
          <w:bCs/>
          <w:lang w:val="en-US"/>
        </w:rPr>
        <w:tab/>
      </w:r>
    </w:p>
    <w:p w:rsidR="00127221" w:rsidRPr="00B64A15" w:rsidRDefault="00127221" w:rsidP="00127221">
      <w:pPr>
        <w:tabs>
          <w:tab w:val="left" w:pos="5640"/>
        </w:tabs>
        <w:spacing w:after="0"/>
        <w:rPr>
          <w:b/>
          <w:bCs/>
          <w:lang w:val="en-US"/>
        </w:rPr>
      </w:pPr>
    </w:p>
    <w:p w:rsidR="00945EC1" w:rsidRDefault="00B64A15" w:rsidP="00945EC1">
      <w:pPr>
        <w:pStyle w:val="ListParagraph"/>
        <w:numPr>
          <w:ilvl w:val="0"/>
          <w:numId w:val="11"/>
        </w:numPr>
        <w:spacing w:after="0"/>
        <w:rPr>
          <w:lang w:val="en-US"/>
        </w:rPr>
      </w:pPr>
      <w:r w:rsidRPr="00945EC1">
        <w:rPr>
          <w:lang w:val="en-US"/>
        </w:rPr>
        <w:t xml:space="preserve">The Na+/K+ </w:t>
      </w:r>
      <w:proofErr w:type="spellStart"/>
      <w:r w:rsidRPr="00945EC1">
        <w:rPr>
          <w:lang w:val="en-US"/>
        </w:rPr>
        <w:t>ATPase</w:t>
      </w:r>
      <w:proofErr w:type="spellEnd"/>
      <w:r w:rsidRPr="00945EC1">
        <w:rPr>
          <w:lang w:val="en-US"/>
        </w:rPr>
        <w:t xml:space="preserve"> establishes concentration gradient and generates a small negative potential; pump uses up to 40% of the ATP produced by the cell.</w:t>
      </w:r>
    </w:p>
    <w:p w:rsidR="00945EC1" w:rsidRDefault="00B64A15" w:rsidP="00B64A15">
      <w:pPr>
        <w:pStyle w:val="ListParagraph"/>
        <w:numPr>
          <w:ilvl w:val="0"/>
          <w:numId w:val="11"/>
        </w:numPr>
        <w:spacing w:after="0"/>
        <w:rPr>
          <w:lang w:val="en-US"/>
        </w:rPr>
      </w:pPr>
      <w:r w:rsidRPr="00945EC1">
        <w:rPr>
          <w:lang w:val="en-US"/>
        </w:rPr>
        <w:t>Greater net movement of K</w:t>
      </w:r>
      <w:r w:rsidRPr="00945EC1">
        <w:rPr>
          <w:vertAlign w:val="superscript"/>
          <w:lang w:val="en-US"/>
        </w:rPr>
        <w:t>+</w:t>
      </w:r>
      <w:r w:rsidRPr="00945EC1">
        <w:rPr>
          <w:lang w:val="en-US"/>
        </w:rPr>
        <w:t xml:space="preserve"> than Na</w:t>
      </w:r>
      <w:r w:rsidRPr="00945EC1">
        <w:rPr>
          <w:vertAlign w:val="superscript"/>
          <w:lang w:val="en-US"/>
        </w:rPr>
        <w:t>+</w:t>
      </w:r>
      <w:r w:rsidRPr="00945EC1">
        <w:rPr>
          <w:lang w:val="en-US"/>
        </w:rPr>
        <w:t xml:space="preserve"> makes the membrane potential more –</w:t>
      </w:r>
      <w:proofErr w:type="spellStart"/>
      <w:r w:rsidRPr="00945EC1">
        <w:rPr>
          <w:lang w:val="en-US"/>
        </w:rPr>
        <w:t>ve</w:t>
      </w:r>
      <w:proofErr w:type="spellEnd"/>
      <w:r w:rsidRPr="00945EC1">
        <w:rPr>
          <w:lang w:val="en-US"/>
        </w:rPr>
        <w:t xml:space="preserve"> on the inside.</w:t>
      </w:r>
    </w:p>
    <w:p w:rsidR="00B64A15" w:rsidRPr="00945EC1" w:rsidRDefault="00B64A15" w:rsidP="00B64A15">
      <w:pPr>
        <w:pStyle w:val="ListParagraph"/>
        <w:numPr>
          <w:ilvl w:val="0"/>
          <w:numId w:val="11"/>
        </w:numPr>
        <w:spacing w:after="0"/>
        <w:rPr>
          <w:lang w:val="en-US"/>
        </w:rPr>
      </w:pPr>
      <w:r w:rsidRPr="00945EC1">
        <w:rPr>
          <w:lang w:val="en-US"/>
        </w:rPr>
        <w:t>At a steady state negative resting membrane potential, ion fluxes through the channels and activity of the pump balance each other.</w:t>
      </w:r>
    </w:p>
    <w:p w:rsidR="00B64A15" w:rsidRPr="00B64A15" w:rsidRDefault="00B64A15" w:rsidP="00B64A15">
      <w:pPr>
        <w:spacing w:after="0"/>
        <w:rPr>
          <w:lang w:val="en-US"/>
        </w:rPr>
      </w:pPr>
    </w:p>
    <w:p w:rsidR="00F277A7" w:rsidRDefault="00F277A7" w:rsidP="00B64A15">
      <w:pPr>
        <w:spacing w:after="0"/>
      </w:pPr>
    </w:p>
    <w:sectPr w:rsidR="00F277A7" w:rsidSect="007A40F2">
      <w:pgSz w:w="12240" w:h="15840"/>
      <w:pgMar w:top="1440" w:right="1440" w:bottom="1440" w:left="144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38B8393A"/>
    <w:lvl w:ilvl="0">
      <w:numFmt w:val="bullet"/>
      <w:lvlText w:val="*"/>
      <w:lvlJc w:val="left"/>
    </w:lvl>
  </w:abstractNum>
  <w:abstractNum w:abstractNumId="1">
    <w:nsid w:val="210C751B"/>
    <w:multiLevelType w:val="hybridMultilevel"/>
    <w:tmpl w:val="AD1A5C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45BB6BE3"/>
    <w:multiLevelType w:val="hybridMultilevel"/>
    <w:tmpl w:val="475AB8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6542705C"/>
    <w:multiLevelType w:val="hybridMultilevel"/>
    <w:tmpl w:val="80C209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697872AE"/>
    <w:multiLevelType w:val="hybridMultilevel"/>
    <w:tmpl w:val="6524AD2E"/>
    <w:lvl w:ilvl="0" w:tplc="0428E90E">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6AD41B02"/>
    <w:multiLevelType w:val="hybridMultilevel"/>
    <w:tmpl w:val="AC1EA3D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0"/>
    <w:lvlOverride w:ilvl="0">
      <w:lvl w:ilvl="0">
        <w:numFmt w:val="bullet"/>
        <w:lvlText w:val=""/>
        <w:legacy w:legacy="1" w:legacySpace="0" w:legacyIndent="0"/>
        <w:lvlJc w:val="left"/>
        <w:rPr>
          <w:rFonts w:ascii="Wingdings" w:hAnsi="Wingdings" w:hint="default"/>
          <w:sz w:val="27"/>
        </w:rPr>
      </w:lvl>
    </w:lvlOverride>
  </w:num>
  <w:num w:numId="2">
    <w:abstractNumId w:val="0"/>
    <w:lvlOverride w:ilvl="0">
      <w:lvl w:ilvl="0">
        <w:numFmt w:val="bullet"/>
        <w:lvlText w:val=""/>
        <w:legacy w:legacy="1" w:legacySpace="0" w:legacyIndent="0"/>
        <w:lvlJc w:val="left"/>
        <w:rPr>
          <w:rFonts w:ascii="Wingdings" w:hAnsi="Wingdings" w:hint="default"/>
          <w:sz w:val="24"/>
        </w:rPr>
      </w:lvl>
    </w:lvlOverride>
  </w:num>
  <w:num w:numId="3">
    <w:abstractNumId w:val="0"/>
    <w:lvlOverride w:ilvl="0">
      <w:lvl w:ilvl="0">
        <w:numFmt w:val="bullet"/>
        <w:lvlText w:val="•"/>
        <w:legacy w:legacy="1" w:legacySpace="0" w:legacyIndent="0"/>
        <w:lvlJc w:val="left"/>
        <w:rPr>
          <w:rFonts w:ascii="Arial" w:hAnsi="Arial" w:cs="Arial" w:hint="default"/>
          <w:sz w:val="32"/>
        </w:rPr>
      </w:lvl>
    </w:lvlOverride>
  </w:num>
  <w:num w:numId="4">
    <w:abstractNumId w:val="0"/>
    <w:lvlOverride w:ilvl="0">
      <w:lvl w:ilvl="0">
        <w:numFmt w:val="bullet"/>
        <w:lvlText w:val="•"/>
        <w:legacy w:legacy="1" w:legacySpace="0" w:legacyIndent="0"/>
        <w:lvlJc w:val="left"/>
        <w:rPr>
          <w:rFonts w:ascii="Arial" w:hAnsi="Arial" w:cs="Arial" w:hint="default"/>
          <w:sz w:val="36"/>
        </w:rPr>
      </w:lvl>
    </w:lvlOverride>
  </w:num>
  <w:num w:numId="5">
    <w:abstractNumId w:val="0"/>
    <w:lvlOverride w:ilvl="0">
      <w:lvl w:ilvl="0">
        <w:numFmt w:val="bullet"/>
        <w:lvlText w:val="–"/>
        <w:legacy w:legacy="1" w:legacySpace="0" w:legacyIndent="0"/>
        <w:lvlJc w:val="left"/>
        <w:rPr>
          <w:rFonts w:ascii="Arial" w:hAnsi="Arial" w:cs="Arial" w:hint="default"/>
          <w:sz w:val="32"/>
        </w:rPr>
      </w:lvl>
    </w:lvlOverride>
  </w:num>
  <w:num w:numId="6">
    <w:abstractNumId w:val="0"/>
    <w:lvlOverride w:ilvl="0">
      <w:lvl w:ilvl="0">
        <w:numFmt w:val="bullet"/>
        <w:lvlText w:val="•"/>
        <w:legacy w:legacy="1" w:legacySpace="0" w:legacyIndent="0"/>
        <w:lvlJc w:val="left"/>
        <w:rPr>
          <w:rFonts w:ascii="Arial" w:hAnsi="Arial" w:cs="Arial" w:hint="default"/>
          <w:sz w:val="28"/>
        </w:rPr>
      </w:lvl>
    </w:lvlOverride>
  </w:num>
  <w:num w:numId="7">
    <w:abstractNumId w:val="5"/>
  </w:num>
  <w:num w:numId="8">
    <w:abstractNumId w:val="2"/>
  </w:num>
  <w:num w:numId="9">
    <w:abstractNumId w:val="3"/>
  </w:num>
  <w:num w:numId="10">
    <w:abstractNumId w:val="1"/>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20"/>
  <w:characterSpacingControl w:val="doNotCompress"/>
  <w:compat/>
  <w:rsids>
    <w:rsidRoot w:val="00B64A15"/>
    <w:rsid w:val="0004460F"/>
    <w:rsid w:val="00076EA4"/>
    <w:rsid w:val="00127221"/>
    <w:rsid w:val="002F67E6"/>
    <w:rsid w:val="007A150F"/>
    <w:rsid w:val="007A40F2"/>
    <w:rsid w:val="00932171"/>
    <w:rsid w:val="00945EC1"/>
    <w:rsid w:val="00A67A71"/>
    <w:rsid w:val="00AE122A"/>
    <w:rsid w:val="00B64A15"/>
    <w:rsid w:val="00F277A7"/>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77A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4A15"/>
    <w:pPr>
      <w:ind w:left="720"/>
      <w:contextualSpacing/>
    </w:pPr>
  </w:style>
  <w:style w:type="paragraph" w:styleId="BalloonText">
    <w:name w:val="Balloon Text"/>
    <w:basedOn w:val="Normal"/>
    <w:link w:val="BalloonTextChar"/>
    <w:uiPriority w:val="99"/>
    <w:semiHidden/>
    <w:unhideWhenUsed/>
    <w:rsid w:val="000446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460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755</TotalTime>
  <Pages>1</Pages>
  <Words>1498</Words>
  <Characters>8542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Roshni</dc:creator>
  <cp:lastModifiedBy>Roshni</cp:lastModifiedBy>
  <cp:revision>3</cp:revision>
  <dcterms:created xsi:type="dcterms:W3CDTF">2013-10-02T02:53:00Z</dcterms:created>
  <dcterms:modified xsi:type="dcterms:W3CDTF">2013-10-02T15:30:00Z</dcterms:modified>
</cp:coreProperties>
</file>