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0AF" w:rsidRPr="0093485D" w:rsidRDefault="00FC5DE6" w:rsidP="0093485D">
      <w:pPr>
        <w:autoSpaceDE w:val="0"/>
        <w:autoSpaceDN w:val="0"/>
        <w:adjustRightInd w:val="0"/>
        <w:spacing w:after="0"/>
        <w:ind w:left="0" w:firstLine="0"/>
        <w:rPr>
          <w:rFonts w:ascii="Times-Bold" w:hAnsi="Times-Bold" w:cs="Times-Bold"/>
          <w:b/>
          <w:bCs/>
          <w:sz w:val="22"/>
          <w:szCs w:val="22"/>
        </w:rPr>
      </w:pPr>
      <w:r w:rsidRPr="0093485D">
        <w:rPr>
          <w:rFonts w:ascii="Times-Bold" w:hAnsi="Times-Bold" w:cs="Times-Bold"/>
          <w:b/>
          <w:bCs/>
          <w:sz w:val="22"/>
          <w:szCs w:val="22"/>
        </w:rPr>
        <w:t>Answer Key</w:t>
      </w:r>
    </w:p>
    <w:p w:rsidR="00FC5DE6" w:rsidRDefault="00FC5DE6" w:rsidP="00FC5DE6">
      <w:pPr>
        <w:pStyle w:val="ListParagraph"/>
        <w:spacing w:after="0"/>
        <w:ind w:left="0" w:firstLine="0"/>
      </w:pPr>
    </w:p>
    <w:p w:rsidR="000A0DB5" w:rsidRDefault="000A0DB5" w:rsidP="000A0DB5">
      <w:pPr>
        <w:pStyle w:val="ListParagraph"/>
        <w:spacing w:after="0"/>
        <w:ind w:left="360" w:firstLine="0"/>
      </w:pPr>
      <w:r>
        <w:t>[2 points each]</w:t>
      </w:r>
    </w:p>
    <w:tbl>
      <w:tblPr>
        <w:tblStyle w:val="TableGrid"/>
        <w:tblW w:w="0" w:type="auto"/>
        <w:tblInd w:w="360" w:type="dxa"/>
        <w:tblLook w:val="04A0"/>
      </w:tblPr>
      <w:tblGrid>
        <w:gridCol w:w="2304"/>
        <w:gridCol w:w="2304"/>
        <w:gridCol w:w="2304"/>
        <w:gridCol w:w="2304"/>
      </w:tblGrid>
      <w:tr w:rsidR="00FC5DE6" w:rsidTr="00FC5DE6">
        <w:tc>
          <w:tcPr>
            <w:tcW w:w="2394" w:type="dxa"/>
          </w:tcPr>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B</w:t>
            </w:r>
          </w:p>
          <w:p w:rsidR="00FC5DE6" w:rsidRDefault="00AC76DA" w:rsidP="00AC76DA">
            <w:pPr>
              <w:pStyle w:val="ListParagraph"/>
              <w:numPr>
                <w:ilvl w:val="0"/>
                <w:numId w:val="46"/>
              </w:numPr>
            </w:pPr>
            <w:r>
              <w:t>D</w:t>
            </w:r>
          </w:p>
        </w:tc>
        <w:tc>
          <w:tcPr>
            <w:tcW w:w="2394" w:type="dxa"/>
          </w:tcPr>
          <w:p w:rsidR="00AC76DA" w:rsidRDefault="00AC76DA" w:rsidP="006A2D43">
            <w:pPr>
              <w:pStyle w:val="ListParagraph"/>
              <w:numPr>
                <w:ilvl w:val="0"/>
                <w:numId w:val="46"/>
              </w:numPr>
            </w:pPr>
            <w:r>
              <w:t>A</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A</w:t>
            </w:r>
          </w:p>
          <w:p w:rsidR="00AC76DA" w:rsidRDefault="00AC76DA" w:rsidP="006A2D43">
            <w:pPr>
              <w:pStyle w:val="ListParagraph"/>
              <w:numPr>
                <w:ilvl w:val="0"/>
                <w:numId w:val="46"/>
              </w:numPr>
            </w:pPr>
            <w:r>
              <w:t>B</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C</w:t>
            </w:r>
          </w:p>
          <w:p w:rsidR="00FC5DE6" w:rsidRDefault="00FC5DE6" w:rsidP="006A2D43">
            <w:pPr>
              <w:pStyle w:val="ListParagraph"/>
              <w:numPr>
                <w:ilvl w:val="0"/>
                <w:numId w:val="46"/>
              </w:numPr>
            </w:pPr>
            <w:r>
              <w:t>C</w:t>
            </w:r>
          </w:p>
          <w:p w:rsidR="000C6B11" w:rsidRDefault="00FC5DE6" w:rsidP="00AC76DA">
            <w:pPr>
              <w:pStyle w:val="ListParagraph"/>
              <w:numPr>
                <w:ilvl w:val="0"/>
                <w:numId w:val="46"/>
              </w:numPr>
            </w:pPr>
            <w:r>
              <w:t>C</w:t>
            </w:r>
          </w:p>
        </w:tc>
        <w:tc>
          <w:tcPr>
            <w:tcW w:w="2394" w:type="dxa"/>
          </w:tcPr>
          <w:p w:rsidR="00AC76DA" w:rsidRDefault="00AC76DA" w:rsidP="006A2D43">
            <w:pPr>
              <w:pStyle w:val="ListParagraph"/>
              <w:numPr>
                <w:ilvl w:val="0"/>
                <w:numId w:val="46"/>
              </w:numPr>
            </w:pPr>
            <w:r>
              <w:t>D</w:t>
            </w:r>
          </w:p>
          <w:p w:rsidR="00AC76DA" w:rsidRDefault="00AC76DA" w:rsidP="006A2D43">
            <w:pPr>
              <w:pStyle w:val="ListParagraph"/>
              <w:numPr>
                <w:ilvl w:val="0"/>
                <w:numId w:val="46"/>
              </w:numPr>
            </w:pPr>
            <w:r>
              <w:t>D</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B</w:t>
            </w:r>
          </w:p>
          <w:p w:rsidR="000C6B11" w:rsidRDefault="00FC5DE6" w:rsidP="00AC76DA">
            <w:pPr>
              <w:pStyle w:val="ListParagraph"/>
              <w:numPr>
                <w:ilvl w:val="0"/>
                <w:numId w:val="46"/>
              </w:numPr>
            </w:pPr>
            <w:r>
              <w:t>A</w:t>
            </w:r>
          </w:p>
        </w:tc>
        <w:tc>
          <w:tcPr>
            <w:tcW w:w="2394" w:type="dxa"/>
          </w:tcPr>
          <w:p w:rsidR="00AC76DA" w:rsidRDefault="00AC76DA" w:rsidP="006A2D43">
            <w:pPr>
              <w:pStyle w:val="ListParagraph"/>
              <w:numPr>
                <w:ilvl w:val="0"/>
                <w:numId w:val="46"/>
              </w:numPr>
            </w:pPr>
            <w:r>
              <w:t>A</w:t>
            </w:r>
          </w:p>
          <w:p w:rsidR="00AC76DA" w:rsidRDefault="00AC76DA" w:rsidP="006A2D43">
            <w:pPr>
              <w:pStyle w:val="ListParagraph"/>
              <w:numPr>
                <w:ilvl w:val="0"/>
                <w:numId w:val="46"/>
              </w:numPr>
            </w:pPr>
            <w:r>
              <w:t>D</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B</w:t>
            </w:r>
          </w:p>
          <w:p w:rsidR="00FC5DE6" w:rsidRDefault="00FC5DE6" w:rsidP="006A2D43">
            <w:pPr>
              <w:pStyle w:val="ListParagraph"/>
              <w:numPr>
                <w:ilvl w:val="0"/>
                <w:numId w:val="46"/>
              </w:numPr>
            </w:pPr>
            <w:r>
              <w:t>D</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A</w:t>
            </w:r>
          </w:p>
          <w:p w:rsidR="00FC5DE6" w:rsidRDefault="00FC5DE6" w:rsidP="006A2D43">
            <w:pPr>
              <w:pStyle w:val="ListParagraph"/>
              <w:numPr>
                <w:ilvl w:val="0"/>
                <w:numId w:val="46"/>
              </w:numPr>
            </w:pPr>
            <w:r>
              <w:t>B</w:t>
            </w:r>
          </w:p>
        </w:tc>
      </w:tr>
    </w:tbl>
    <w:p w:rsidR="00FC5DE6" w:rsidRDefault="00FC5DE6" w:rsidP="00FC5DE6">
      <w:pPr>
        <w:spacing w:after="0"/>
      </w:pPr>
    </w:p>
    <w:p w:rsidR="001373DE" w:rsidRDefault="00EB1FBC" w:rsidP="00EB1FBC">
      <w:pPr>
        <w:pStyle w:val="ListParagraph"/>
        <w:numPr>
          <w:ilvl w:val="0"/>
          <w:numId w:val="46"/>
        </w:numPr>
        <w:tabs>
          <w:tab w:val="left" w:pos="360"/>
          <w:tab w:val="left" w:pos="720"/>
        </w:tabs>
        <w:ind w:left="720" w:hanging="720"/>
      </w:pPr>
      <w:r>
        <w:t>a.</w:t>
      </w:r>
      <w:r>
        <w:tab/>
        <w:t>Very slow productivity growth in Canada.  Canada-US productivity gap is about 20% larger than it was in 2000.</w:t>
      </w:r>
    </w:p>
    <w:p w:rsidR="00EB1FBC" w:rsidRDefault="00EB1FBC" w:rsidP="00EB1FBC">
      <w:pPr>
        <w:pStyle w:val="ListParagraph"/>
        <w:numPr>
          <w:ilvl w:val="1"/>
          <w:numId w:val="46"/>
        </w:numPr>
        <w:tabs>
          <w:tab w:val="left" w:pos="720"/>
        </w:tabs>
        <w:ind w:left="720"/>
      </w:pPr>
      <w:r>
        <w:t>Canada is doing well in the human capital area.  The major problem is in the innovation/R&amp;D area.  In particular, Canadian businesses do not invest as much in R&amp;D as their US counterparts.  Also, capital investment in Canada is not as large as it should be.</w:t>
      </w:r>
    </w:p>
    <w:p w:rsidR="001373DE" w:rsidRDefault="001373DE" w:rsidP="001373DE">
      <w:pPr>
        <w:pStyle w:val="ListParagraph"/>
        <w:tabs>
          <w:tab w:val="left" w:pos="720"/>
        </w:tabs>
        <w:ind w:left="360" w:firstLine="0"/>
      </w:pPr>
    </w:p>
    <w:p w:rsidR="00FC5DE6" w:rsidRDefault="008136E2" w:rsidP="006A2D43">
      <w:pPr>
        <w:pStyle w:val="ListParagraph"/>
        <w:numPr>
          <w:ilvl w:val="0"/>
          <w:numId w:val="46"/>
        </w:numPr>
        <w:tabs>
          <w:tab w:val="left" w:pos="720"/>
        </w:tabs>
      </w:pPr>
      <w:r>
        <w:t>a.</w:t>
      </w:r>
      <w:r>
        <w:tab/>
        <w:t>[4 points]</w:t>
      </w:r>
    </w:p>
    <w:p w:rsidR="001118DE" w:rsidRDefault="001804AF" w:rsidP="001804AF">
      <w:pPr>
        <w:pStyle w:val="ListParagraph"/>
        <w:ind w:firstLine="0"/>
        <w:jc w:val="center"/>
      </w:pPr>
      <w:r w:rsidRPr="001804AF">
        <w:rPr>
          <w:noProof/>
          <w:lang w:eastAsia="en-CA"/>
        </w:rPr>
        <w:drawing>
          <wp:inline distT="0" distB="0" distL="0" distR="0">
            <wp:extent cx="2171700" cy="1609725"/>
            <wp:effectExtent l="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118DE" w:rsidRDefault="001118DE" w:rsidP="006A2D43">
      <w:pPr>
        <w:pStyle w:val="ListParagraph"/>
        <w:numPr>
          <w:ilvl w:val="0"/>
          <w:numId w:val="47"/>
        </w:numPr>
      </w:pPr>
      <w:r>
        <w:t>An increase in GST means that consumption becomes more expensive.  This provides an incentive to save.  The savings curve shifts right.  The interest rate falls and the quantity of loanable funds increases (i.e., there is an increase in the amount saved and invested).  [4 points]</w:t>
      </w:r>
    </w:p>
    <w:p w:rsidR="001118DE" w:rsidRDefault="001118DE" w:rsidP="006A2D43">
      <w:pPr>
        <w:pStyle w:val="ListParagraph"/>
        <w:numPr>
          <w:ilvl w:val="0"/>
          <w:numId w:val="47"/>
        </w:numPr>
      </w:pPr>
      <w:r>
        <w:t>Investment increases.  This leads to an increase in productivity and an increase in the standard of living in the long run.  [2 points]</w:t>
      </w:r>
    </w:p>
    <w:p w:rsidR="001118DE" w:rsidRDefault="001118DE" w:rsidP="001118DE">
      <w:pPr>
        <w:pStyle w:val="ListParagraph"/>
        <w:ind w:left="0" w:firstLine="0"/>
      </w:pPr>
    </w:p>
    <w:p w:rsidR="005C688E" w:rsidRDefault="005C688E" w:rsidP="006A2D43">
      <w:pPr>
        <w:pStyle w:val="ListParagraph"/>
        <w:numPr>
          <w:ilvl w:val="0"/>
          <w:numId w:val="46"/>
        </w:numPr>
        <w:tabs>
          <w:tab w:val="left" w:pos="360"/>
          <w:tab w:val="left" w:pos="720"/>
        </w:tabs>
        <w:ind w:left="720" w:hanging="720"/>
      </w:pPr>
      <w:r>
        <w:t>a.</w:t>
      </w:r>
      <w:r>
        <w:tab/>
      </w:r>
      <w:r w:rsidR="00FB1EFF">
        <w:t>Expected real interest rate = nominal interest rate – expected inflation rate = 6% – 4% = 4%  [1 point]</w:t>
      </w:r>
    </w:p>
    <w:p w:rsidR="00FB1EFF" w:rsidRDefault="00B45B05" w:rsidP="006A2D43">
      <w:pPr>
        <w:pStyle w:val="ListParagraph"/>
        <w:numPr>
          <w:ilvl w:val="0"/>
          <w:numId w:val="49"/>
        </w:numPr>
      </w:pPr>
      <w:r>
        <w:t>Actual real interest rate = 6% –</w:t>
      </w:r>
      <w:r w:rsidR="00FB1EFF">
        <w:t xml:space="preserve"> 5% = 1%  [1 point]</w:t>
      </w:r>
    </w:p>
    <w:p w:rsidR="005A3ABF" w:rsidRPr="00FC5DE6" w:rsidRDefault="00FB1EFF" w:rsidP="006A2D43">
      <w:pPr>
        <w:pStyle w:val="ListParagraph"/>
        <w:numPr>
          <w:ilvl w:val="0"/>
          <w:numId w:val="49"/>
        </w:numPr>
      </w:pPr>
      <w:r>
        <w:t>Jay and Joyce benefited because they make their interest payments with dollars that have less purchasing power than anticipated.  George lost because he received dollars that were worth less than expected.  [2 points]</w:t>
      </w:r>
    </w:p>
    <w:sectPr w:rsidR="005A3ABF" w:rsidRPr="00FC5DE6" w:rsidSect="00D52D96">
      <w:headerReference w:type="default" r:id="rId9"/>
      <w:footerReference w:type="default" r:id="rId10"/>
      <w:pgSz w:w="12240" w:h="15840" w:code="1"/>
      <w:pgMar w:top="1440" w:right="1440" w:bottom="1152" w:left="1440" w:header="576" w:footer="5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BBF" w:rsidRDefault="00613BBF" w:rsidP="00C67A52">
      <w:pPr>
        <w:spacing w:after="0"/>
      </w:pPr>
      <w:r>
        <w:separator/>
      </w:r>
    </w:p>
  </w:endnote>
  <w:endnote w:type="continuationSeparator" w:id="0">
    <w:p w:rsidR="00613BBF" w:rsidRDefault="00613BBF" w:rsidP="00C67A5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3593"/>
      <w:docPartObj>
        <w:docPartGallery w:val="Page Numbers (Bottom of Page)"/>
        <w:docPartUnique/>
      </w:docPartObj>
    </w:sdtPr>
    <w:sdtContent>
      <w:p w:rsidR="00202B66" w:rsidRDefault="008D359C">
        <w:pPr>
          <w:pStyle w:val="Footer"/>
          <w:jc w:val="right"/>
        </w:pPr>
        <w:fldSimple w:instr=" PAGE   \* MERGEFORMAT ">
          <w:r w:rsidR="00EB1FBC">
            <w:rPr>
              <w:noProof/>
            </w:rPr>
            <w:t>1</w:t>
          </w:r>
        </w:fldSimple>
      </w:p>
    </w:sdtContent>
  </w:sdt>
  <w:p w:rsidR="00202B66" w:rsidRDefault="00202B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BBF" w:rsidRDefault="00613BBF" w:rsidP="00C67A52">
      <w:pPr>
        <w:spacing w:after="0"/>
      </w:pPr>
      <w:r>
        <w:separator/>
      </w:r>
    </w:p>
  </w:footnote>
  <w:footnote w:type="continuationSeparator" w:id="0">
    <w:p w:rsidR="00613BBF" w:rsidRDefault="00613BBF" w:rsidP="00C67A5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3DD" w:rsidRPr="007513DD" w:rsidRDefault="007513DD" w:rsidP="007513DD">
    <w:pPr>
      <w:tabs>
        <w:tab w:val="left" w:pos="5400"/>
      </w:tabs>
      <w:autoSpaceDE w:val="0"/>
      <w:autoSpaceDN w:val="0"/>
      <w:adjustRightInd w:val="0"/>
      <w:spacing w:after="0"/>
      <w:ind w:left="0" w:firstLine="0"/>
      <w:jc w:val="center"/>
      <w:rPr>
        <w:rFonts w:ascii="Times-Roman" w:hAnsi="Times-Roman" w:cs="Times-Roman"/>
        <w:b/>
      </w:rPr>
    </w:pPr>
    <w:r w:rsidRPr="007513DD">
      <w:rPr>
        <w:rFonts w:ascii="Times-Roman" w:hAnsi="Times-Roman" w:cs="Times-Roman"/>
        <w:b/>
      </w:rPr>
      <w:t>PRACTICE MIDTERM EXAM  #1</w:t>
    </w:r>
  </w:p>
  <w:p w:rsidR="00202B66" w:rsidRDefault="00202B66" w:rsidP="00237CCB">
    <w:pPr>
      <w:tabs>
        <w:tab w:val="left" w:pos="5400"/>
      </w:tabs>
      <w:autoSpaceDE w:val="0"/>
      <w:autoSpaceDN w:val="0"/>
      <w:adjustRightInd w:val="0"/>
      <w:spacing w:after="0"/>
      <w:ind w:left="0" w:firstLine="0"/>
      <w:jc w:val="center"/>
      <w:rPr>
        <w:rFonts w:ascii="Times-Roman" w:hAnsi="Times-Roman" w:cs="Times-Roman"/>
        <w:sz w:val="23"/>
        <w:szCs w:val="23"/>
      </w:rPr>
    </w:pPr>
    <w:r>
      <w:rPr>
        <w:rFonts w:ascii="Times-Roman" w:hAnsi="Times-Roman" w:cs="Times-Roman"/>
      </w:rPr>
      <w:t>University of Ottawa</w:t>
    </w:r>
    <w:r w:rsidR="00237CCB">
      <w:rPr>
        <w:rFonts w:ascii="Times-Roman" w:hAnsi="Times-Roman" w:cs="Times-Roman"/>
      </w:rPr>
      <w:t>,</w:t>
    </w:r>
    <w:r w:rsidR="00237CCB" w:rsidRPr="00237CCB">
      <w:rPr>
        <w:rFonts w:ascii="Times-Bold" w:hAnsi="Times-Bold" w:cs="Times-Bold"/>
        <w:bCs/>
        <w:sz w:val="23"/>
        <w:szCs w:val="23"/>
      </w:rPr>
      <w:t xml:space="preserve"> </w:t>
    </w:r>
    <w:r w:rsidR="00237CCB" w:rsidRPr="009276CD">
      <w:rPr>
        <w:rFonts w:ascii="Times-Bold" w:hAnsi="Times-Bold" w:cs="Times-Bold"/>
        <w:bCs/>
        <w:sz w:val="23"/>
        <w:szCs w:val="23"/>
      </w:rPr>
      <w:t>ECO1102C</w:t>
    </w:r>
    <w:r w:rsidR="00237CCB">
      <w:rPr>
        <w:rFonts w:ascii="Times-Bold" w:hAnsi="Times-Bold" w:cs="Times-Bold"/>
        <w:bCs/>
        <w:sz w:val="23"/>
        <w:szCs w:val="23"/>
      </w:rPr>
      <w:t xml:space="preserve"> (October 21, 2011)</w:t>
    </w:r>
  </w:p>
  <w:p w:rsidR="00202B66" w:rsidRPr="00B70F00" w:rsidRDefault="00202B66" w:rsidP="00B70F00">
    <w:pPr>
      <w:tabs>
        <w:tab w:val="right" w:pos="9360"/>
      </w:tabs>
      <w:autoSpaceDE w:val="0"/>
      <w:autoSpaceDN w:val="0"/>
      <w:adjustRightInd w:val="0"/>
      <w:spacing w:after="0"/>
      <w:ind w:left="0" w:firstLine="0"/>
      <w:rPr>
        <w:rFonts w:ascii="Times-Roman" w:hAnsi="Times-Roman" w:cs="Times-Roman"/>
        <w:sz w:val="23"/>
        <w:szCs w:val="23"/>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82BFD"/>
    <w:multiLevelType w:val="hybridMultilevel"/>
    <w:tmpl w:val="32A4353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8A609B"/>
    <w:multiLevelType w:val="hybridMultilevel"/>
    <w:tmpl w:val="9614FD8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D7698A"/>
    <w:multiLevelType w:val="hybridMultilevel"/>
    <w:tmpl w:val="5CBE791C"/>
    <w:lvl w:ilvl="0" w:tplc="1009000F">
      <w:start w:val="1"/>
      <w:numFmt w:val="decimal"/>
      <w:lvlText w:val="%1."/>
      <w:lvlJc w:val="left"/>
      <w:pPr>
        <w:ind w:left="360" w:hanging="360"/>
      </w:pPr>
      <w:rPr>
        <w:rFonts w:hint="default"/>
      </w:rPr>
    </w:lvl>
    <w:lvl w:ilvl="1" w:tplc="84BA3F4A">
      <w:start w:val="2"/>
      <w:numFmt w:val="lowerLetter"/>
      <w:lvlText w:val="%2."/>
      <w:lvlJc w:val="left"/>
      <w:pPr>
        <w:ind w:left="1080" w:hanging="36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1B7D532F"/>
    <w:multiLevelType w:val="hybridMultilevel"/>
    <w:tmpl w:val="9A4A83A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F300C4"/>
    <w:multiLevelType w:val="hybridMultilevel"/>
    <w:tmpl w:val="E886DCF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CE1A42"/>
    <w:multiLevelType w:val="hybridMultilevel"/>
    <w:tmpl w:val="842ABC6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1DE78F9"/>
    <w:multiLevelType w:val="hybridMultilevel"/>
    <w:tmpl w:val="3252E0F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6001691"/>
    <w:multiLevelType w:val="hybridMultilevel"/>
    <w:tmpl w:val="C4FA2D8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B896F6C"/>
    <w:multiLevelType w:val="hybridMultilevel"/>
    <w:tmpl w:val="E4F6569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B9E0291"/>
    <w:multiLevelType w:val="hybridMultilevel"/>
    <w:tmpl w:val="8F8E9C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BA10BF8"/>
    <w:multiLevelType w:val="hybridMultilevel"/>
    <w:tmpl w:val="FB14FA7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FCB4B41"/>
    <w:multiLevelType w:val="hybridMultilevel"/>
    <w:tmpl w:val="6D68CEF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32A05903"/>
    <w:multiLevelType w:val="hybridMultilevel"/>
    <w:tmpl w:val="0AAEF8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2B20AE7"/>
    <w:multiLevelType w:val="hybridMultilevel"/>
    <w:tmpl w:val="AA88C9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7532E41"/>
    <w:multiLevelType w:val="hybridMultilevel"/>
    <w:tmpl w:val="6332C95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93F774E"/>
    <w:multiLevelType w:val="hybridMultilevel"/>
    <w:tmpl w:val="D6505EB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F1215E"/>
    <w:multiLevelType w:val="hybridMultilevel"/>
    <w:tmpl w:val="4DCE5E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A7F5D2F"/>
    <w:multiLevelType w:val="hybridMultilevel"/>
    <w:tmpl w:val="5A34D6D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AEC3C23"/>
    <w:multiLevelType w:val="hybridMultilevel"/>
    <w:tmpl w:val="594870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B47643D"/>
    <w:multiLevelType w:val="hybridMultilevel"/>
    <w:tmpl w:val="787CCF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BE75689"/>
    <w:multiLevelType w:val="hybridMultilevel"/>
    <w:tmpl w:val="3C3407B8"/>
    <w:lvl w:ilvl="0" w:tplc="5F8292A0">
      <w:start w:val="2"/>
      <w:numFmt w:val="lowerLetter"/>
      <w:lvlText w:val="%1."/>
      <w:lvlJc w:val="left"/>
      <w:pPr>
        <w:ind w:left="72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C3B7560"/>
    <w:multiLevelType w:val="hybridMultilevel"/>
    <w:tmpl w:val="76F072F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E2D0D9A"/>
    <w:multiLevelType w:val="hybridMultilevel"/>
    <w:tmpl w:val="DAB4BFC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FA31272"/>
    <w:multiLevelType w:val="hybridMultilevel"/>
    <w:tmpl w:val="4F76DA3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2CF50B3"/>
    <w:multiLevelType w:val="hybridMultilevel"/>
    <w:tmpl w:val="2B4C4AA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3AB3B45"/>
    <w:multiLevelType w:val="hybridMultilevel"/>
    <w:tmpl w:val="F4C607D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43E45AA"/>
    <w:multiLevelType w:val="hybridMultilevel"/>
    <w:tmpl w:val="DC289CD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56D3475"/>
    <w:multiLevelType w:val="hybridMultilevel"/>
    <w:tmpl w:val="C826E23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5A06054"/>
    <w:multiLevelType w:val="hybridMultilevel"/>
    <w:tmpl w:val="5DA28B58"/>
    <w:lvl w:ilvl="0" w:tplc="07FCAA2A">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5B3319C"/>
    <w:multiLevelType w:val="hybridMultilevel"/>
    <w:tmpl w:val="4A7ABAC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63823C6"/>
    <w:multiLevelType w:val="hybridMultilevel"/>
    <w:tmpl w:val="B016CA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7570BC3"/>
    <w:multiLevelType w:val="hybridMultilevel"/>
    <w:tmpl w:val="3DB6DA1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8E96175"/>
    <w:multiLevelType w:val="hybridMultilevel"/>
    <w:tmpl w:val="CA84D7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9365941"/>
    <w:multiLevelType w:val="hybridMultilevel"/>
    <w:tmpl w:val="7E8A15A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A2F3AFC"/>
    <w:multiLevelType w:val="hybridMultilevel"/>
    <w:tmpl w:val="28EE784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03E2ED0"/>
    <w:multiLevelType w:val="hybridMultilevel"/>
    <w:tmpl w:val="7C3C79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3231AE6"/>
    <w:multiLevelType w:val="hybridMultilevel"/>
    <w:tmpl w:val="6D70DAD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3DD0224"/>
    <w:multiLevelType w:val="hybridMultilevel"/>
    <w:tmpl w:val="19040D2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574114CD"/>
    <w:multiLevelType w:val="hybridMultilevel"/>
    <w:tmpl w:val="2CC8667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8365960"/>
    <w:multiLevelType w:val="hybridMultilevel"/>
    <w:tmpl w:val="9CB42A8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A1D4CC0"/>
    <w:multiLevelType w:val="hybridMultilevel"/>
    <w:tmpl w:val="E01AC63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4EA251A"/>
    <w:multiLevelType w:val="hybridMultilevel"/>
    <w:tmpl w:val="06CACDB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8D909A6"/>
    <w:multiLevelType w:val="hybridMultilevel"/>
    <w:tmpl w:val="C7FCAE96"/>
    <w:lvl w:ilvl="0" w:tplc="54E8D292">
      <w:start w:val="2"/>
      <w:numFmt w:val="lowerLetter"/>
      <w:lvlText w:val="%1."/>
      <w:lvlJc w:val="left"/>
      <w:pPr>
        <w:ind w:left="72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695A00C2"/>
    <w:multiLevelType w:val="hybridMultilevel"/>
    <w:tmpl w:val="2D70ACE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A143CC7"/>
    <w:multiLevelType w:val="hybridMultilevel"/>
    <w:tmpl w:val="775EC4C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8373A29"/>
    <w:multiLevelType w:val="hybridMultilevel"/>
    <w:tmpl w:val="373EB88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85366B0"/>
    <w:multiLevelType w:val="hybridMultilevel"/>
    <w:tmpl w:val="937C9C4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86171EA"/>
    <w:multiLevelType w:val="hybridMultilevel"/>
    <w:tmpl w:val="54E06A1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B0E23B0"/>
    <w:multiLevelType w:val="hybridMultilevel"/>
    <w:tmpl w:val="0B1819D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4"/>
  </w:num>
  <w:num w:numId="3">
    <w:abstractNumId w:val="39"/>
  </w:num>
  <w:num w:numId="4">
    <w:abstractNumId w:val="13"/>
  </w:num>
  <w:num w:numId="5">
    <w:abstractNumId w:val="0"/>
  </w:num>
  <w:num w:numId="6">
    <w:abstractNumId w:val="7"/>
  </w:num>
  <w:num w:numId="7">
    <w:abstractNumId w:val="3"/>
  </w:num>
  <w:num w:numId="8">
    <w:abstractNumId w:val="33"/>
  </w:num>
  <w:num w:numId="9">
    <w:abstractNumId w:val="36"/>
  </w:num>
  <w:num w:numId="10">
    <w:abstractNumId w:val="14"/>
  </w:num>
  <w:num w:numId="11">
    <w:abstractNumId w:val="12"/>
  </w:num>
  <w:num w:numId="12">
    <w:abstractNumId w:val="1"/>
  </w:num>
  <w:num w:numId="13">
    <w:abstractNumId w:val="30"/>
  </w:num>
  <w:num w:numId="14">
    <w:abstractNumId w:val="27"/>
  </w:num>
  <w:num w:numId="15">
    <w:abstractNumId w:val="9"/>
  </w:num>
  <w:num w:numId="16">
    <w:abstractNumId w:val="22"/>
  </w:num>
  <w:num w:numId="17">
    <w:abstractNumId w:val="35"/>
  </w:num>
  <w:num w:numId="18">
    <w:abstractNumId w:val="16"/>
  </w:num>
  <w:num w:numId="19">
    <w:abstractNumId w:val="19"/>
  </w:num>
  <w:num w:numId="20">
    <w:abstractNumId w:val="44"/>
  </w:num>
  <w:num w:numId="21">
    <w:abstractNumId w:val="45"/>
  </w:num>
  <w:num w:numId="22">
    <w:abstractNumId w:val="40"/>
  </w:num>
  <w:num w:numId="23">
    <w:abstractNumId w:val="25"/>
  </w:num>
  <w:num w:numId="24">
    <w:abstractNumId w:val="15"/>
  </w:num>
  <w:num w:numId="25">
    <w:abstractNumId w:val="47"/>
  </w:num>
  <w:num w:numId="26">
    <w:abstractNumId w:val="46"/>
  </w:num>
  <w:num w:numId="27">
    <w:abstractNumId w:val="5"/>
  </w:num>
  <w:num w:numId="28">
    <w:abstractNumId w:val="10"/>
  </w:num>
  <w:num w:numId="29">
    <w:abstractNumId w:val="37"/>
  </w:num>
  <w:num w:numId="30">
    <w:abstractNumId w:val="32"/>
  </w:num>
  <w:num w:numId="31">
    <w:abstractNumId w:val="48"/>
  </w:num>
  <w:num w:numId="32">
    <w:abstractNumId w:val="38"/>
  </w:num>
  <w:num w:numId="33">
    <w:abstractNumId w:val="21"/>
  </w:num>
  <w:num w:numId="34">
    <w:abstractNumId w:val="18"/>
  </w:num>
  <w:num w:numId="35">
    <w:abstractNumId w:val="26"/>
  </w:num>
  <w:num w:numId="36">
    <w:abstractNumId w:val="4"/>
  </w:num>
  <w:num w:numId="37">
    <w:abstractNumId w:val="17"/>
  </w:num>
  <w:num w:numId="38">
    <w:abstractNumId w:val="8"/>
  </w:num>
  <w:num w:numId="39">
    <w:abstractNumId w:val="23"/>
  </w:num>
  <w:num w:numId="40">
    <w:abstractNumId w:val="43"/>
  </w:num>
  <w:num w:numId="41">
    <w:abstractNumId w:val="41"/>
  </w:num>
  <w:num w:numId="42">
    <w:abstractNumId w:val="11"/>
  </w:num>
  <w:num w:numId="43">
    <w:abstractNumId w:val="31"/>
  </w:num>
  <w:num w:numId="44">
    <w:abstractNumId w:val="29"/>
  </w:num>
  <w:num w:numId="45">
    <w:abstractNumId w:val="24"/>
  </w:num>
  <w:num w:numId="46">
    <w:abstractNumId w:val="2"/>
  </w:num>
  <w:num w:numId="47">
    <w:abstractNumId w:val="42"/>
  </w:num>
  <w:num w:numId="48">
    <w:abstractNumId w:val="28"/>
  </w:num>
  <w:num w:numId="49">
    <w:abstractNumId w:val="2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6626"/>
  </w:hdrShapeDefaults>
  <w:footnotePr>
    <w:footnote w:id="-1"/>
    <w:footnote w:id="0"/>
  </w:footnotePr>
  <w:endnotePr>
    <w:endnote w:id="-1"/>
    <w:endnote w:id="0"/>
  </w:endnotePr>
  <w:compat/>
  <w:rsids>
    <w:rsidRoot w:val="006F29AA"/>
    <w:rsid w:val="0001493E"/>
    <w:rsid w:val="000523DA"/>
    <w:rsid w:val="00066CF6"/>
    <w:rsid w:val="000A0324"/>
    <w:rsid w:val="000A0DB5"/>
    <w:rsid w:val="000C6B11"/>
    <w:rsid w:val="000F418A"/>
    <w:rsid w:val="001118DE"/>
    <w:rsid w:val="001373DE"/>
    <w:rsid w:val="001531CA"/>
    <w:rsid w:val="001804AF"/>
    <w:rsid w:val="00185DF0"/>
    <w:rsid w:val="00192382"/>
    <w:rsid w:val="001F7F68"/>
    <w:rsid w:val="00200FEA"/>
    <w:rsid w:val="00202B66"/>
    <w:rsid w:val="002240FC"/>
    <w:rsid w:val="002260B1"/>
    <w:rsid w:val="00237CCB"/>
    <w:rsid w:val="002F1E33"/>
    <w:rsid w:val="003431B4"/>
    <w:rsid w:val="00352C52"/>
    <w:rsid w:val="0039448B"/>
    <w:rsid w:val="003D057F"/>
    <w:rsid w:val="00467699"/>
    <w:rsid w:val="004968E0"/>
    <w:rsid w:val="00497388"/>
    <w:rsid w:val="005540CD"/>
    <w:rsid w:val="005714F9"/>
    <w:rsid w:val="005731DB"/>
    <w:rsid w:val="005A3ABF"/>
    <w:rsid w:val="005B50F7"/>
    <w:rsid w:val="005C688E"/>
    <w:rsid w:val="00613BBF"/>
    <w:rsid w:val="00652C3D"/>
    <w:rsid w:val="0065357A"/>
    <w:rsid w:val="006568C8"/>
    <w:rsid w:val="006604F8"/>
    <w:rsid w:val="00661D96"/>
    <w:rsid w:val="00663DC8"/>
    <w:rsid w:val="00684E8B"/>
    <w:rsid w:val="0069700A"/>
    <w:rsid w:val="006A1845"/>
    <w:rsid w:val="006A2D43"/>
    <w:rsid w:val="006C7348"/>
    <w:rsid w:val="006F29AA"/>
    <w:rsid w:val="00737D95"/>
    <w:rsid w:val="007513DD"/>
    <w:rsid w:val="00753D47"/>
    <w:rsid w:val="00811024"/>
    <w:rsid w:val="008136E2"/>
    <w:rsid w:val="0086661E"/>
    <w:rsid w:val="008C54BE"/>
    <w:rsid w:val="008D29A3"/>
    <w:rsid w:val="008D359C"/>
    <w:rsid w:val="009228AF"/>
    <w:rsid w:val="009276CD"/>
    <w:rsid w:val="0093485D"/>
    <w:rsid w:val="00983021"/>
    <w:rsid w:val="009A3DBC"/>
    <w:rsid w:val="009C0C04"/>
    <w:rsid w:val="009D0AF9"/>
    <w:rsid w:val="009D1B4B"/>
    <w:rsid w:val="00A005C7"/>
    <w:rsid w:val="00A101A5"/>
    <w:rsid w:val="00A62098"/>
    <w:rsid w:val="00A849B7"/>
    <w:rsid w:val="00AB257A"/>
    <w:rsid w:val="00AC64D4"/>
    <w:rsid w:val="00AC76DA"/>
    <w:rsid w:val="00AD2E80"/>
    <w:rsid w:val="00AD5DD1"/>
    <w:rsid w:val="00AE5BF0"/>
    <w:rsid w:val="00AE5FAC"/>
    <w:rsid w:val="00AF25EB"/>
    <w:rsid w:val="00B45B05"/>
    <w:rsid w:val="00B70506"/>
    <w:rsid w:val="00B70F00"/>
    <w:rsid w:val="00B82281"/>
    <w:rsid w:val="00BA1C59"/>
    <w:rsid w:val="00BE5E7A"/>
    <w:rsid w:val="00BF0EAA"/>
    <w:rsid w:val="00C12447"/>
    <w:rsid w:val="00C12D72"/>
    <w:rsid w:val="00C20152"/>
    <w:rsid w:val="00C2027E"/>
    <w:rsid w:val="00C662E7"/>
    <w:rsid w:val="00C67A52"/>
    <w:rsid w:val="00D410A3"/>
    <w:rsid w:val="00D52D96"/>
    <w:rsid w:val="00D740AF"/>
    <w:rsid w:val="00DA3C56"/>
    <w:rsid w:val="00DD3798"/>
    <w:rsid w:val="00E12DE9"/>
    <w:rsid w:val="00E756C1"/>
    <w:rsid w:val="00EB1FBC"/>
    <w:rsid w:val="00ED2F04"/>
    <w:rsid w:val="00F27C0C"/>
    <w:rsid w:val="00F411C3"/>
    <w:rsid w:val="00FB1EFF"/>
    <w:rsid w:val="00FC5DE6"/>
    <w:rsid w:val="00FE0BE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40"/>
        <w:ind w:left="36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5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A52"/>
    <w:pPr>
      <w:tabs>
        <w:tab w:val="center" w:pos="4680"/>
        <w:tab w:val="right" w:pos="9360"/>
      </w:tabs>
      <w:spacing w:after="0"/>
    </w:pPr>
  </w:style>
  <w:style w:type="character" w:customStyle="1" w:styleId="HeaderChar">
    <w:name w:val="Header Char"/>
    <w:basedOn w:val="DefaultParagraphFont"/>
    <w:link w:val="Header"/>
    <w:uiPriority w:val="99"/>
    <w:rsid w:val="00C67A52"/>
  </w:style>
  <w:style w:type="paragraph" w:styleId="Footer">
    <w:name w:val="footer"/>
    <w:basedOn w:val="Normal"/>
    <w:link w:val="FooterChar"/>
    <w:uiPriority w:val="99"/>
    <w:unhideWhenUsed/>
    <w:rsid w:val="00C67A52"/>
    <w:pPr>
      <w:tabs>
        <w:tab w:val="center" w:pos="4680"/>
        <w:tab w:val="right" w:pos="9360"/>
      </w:tabs>
      <w:spacing w:after="0"/>
    </w:pPr>
  </w:style>
  <w:style w:type="character" w:customStyle="1" w:styleId="FooterChar">
    <w:name w:val="Footer Char"/>
    <w:basedOn w:val="DefaultParagraphFont"/>
    <w:link w:val="Footer"/>
    <w:uiPriority w:val="99"/>
    <w:rsid w:val="00C67A52"/>
  </w:style>
  <w:style w:type="paragraph" w:styleId="BalloonText">
    <w:name w:val="Balloon Text"/>
    <w:basedOn w:val="Normal"/>
    <w:link w:val="BalloonTextChar"/>
    <w:uiPriority w:val="99"/>
    <w:semiHidden/>
    <w:unhideWhenUsed/>
    <w:rsid w:val="00C67A5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A52"/>
    <w:rPr>
      <w:rFonts w:ascii="Tahoma" w:hAnsi="Tahoma" w:cs="Tahoma"/>
      <w:sz w:val="16"/>
      <w:szCs w:val="16"/>
    </w:rPr>
  </w:style>
  <w:style w:type="paragraph" w:styleId="ListParagraph">
    <w:name w:val="List Paragraph"/>
    <w:basedOn w:val="Normal"/>
    <w:uiPriority w:val="34"/>
    <w:qFormat/>
    <w:rsid w:val="00C67A52"/>
    <w:pPr>
      <w:ind w:left="720"/>
      <w:contextualSpacing/>
    </w:pPr>
  </w:style>
  <w:style w:type="table" w:styleId="TableGrid">
    <w:name w:val="Table Grid"/>
    <w:basedOn w:val="TableNormal"/>
    <w:uiPriority w:val="59"/>
    <w:rsid w:val="00C662E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plotArea>
      <c:layout/>
      <c:lineChart>
        <c:grouping val="standard"/>
        <c:ser>
          <c:idx val="0"/>
          <c:order val="0"/>
          <c:tx>
            <c:strRef>
              <c:f>Sheet1!$B$1</c:f>
              <c:strCache>
                <c:ptCount val="1"/>
                <c:pt idx="0">
                  <c:v>Series 1</c:v>
                </c:pt>
              </c:strCache>
            </c:strRef>
          </c:tx>
          <c:spPr>
            <a:ln w="19050">
              <a:solidFill>
                <a:prstClr val="black"/>
              </a:solidFill>
            </a:ln>
          </c:spPr>
          <c:marker>
            <c:symbol val="none"/>
          </c:marker>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10</c:v>
                </c:pt>
                <c:pt idx="1">
                  <c:v>7</c:v>
                </c:pt>
                <c:pt idx="2">
                  <c:v>4</c:v>
                </c:pt>
                <c:pt idx="3">
                  <c:v>1</c:v>
                </c:pt>
              </c:numCache>
            </c:numRef>
          </c:val>
        </c:ser>
        <c:ser>
          <c:idx val="1"/>
          <c:order val="1"/>
          <c:tx>
            <c:strRef>
              <c:f>Sheet1!$C$1</c:f>
              <c:strCache>
                <c:ptCount val="1"/>
                <c:pt idx="0">
                  <c:v>Series 2</c:v>
                </c:pt>
              </c:strCache>
            </c:strRef>
          </c:tx>
          <c:spPr>
            <a:ln w="19050">
              <a:solidFill>
                <a:schemeClr val="tx1"/>
              </a:solidFill>
            </a:ln>
          </c:spPr>
          <c:marker>
            <c:symbol val="none"/>
          </c:marker>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1</c:v>
                </c:pt>
                <c:pt idx="1">
                  <c:v>3</c:v>
                </c:pt>
                <c:pt idx="2">
                  <c:v>5</c:v>
                </c:pt>
                <c:pt idx="3">
                  <c:v>7</c:v>
                </c:pt>
              </c:numCache>
            </c:numRef>
          </c:val>
        </c:ser>
        <c:ser>
          <c:idx val="2"/>
          <c:order val="2"/>
          <c:tx>
            <c:strRef>
              <c:f>Sheet1!$D$1</c:f>
              <c:strCache>
                <c:ptCount val="1"/>
                <c:pt idx="0">
                  <c:v>Series 3</c:v>
                </c:pt>
              </c:strCache>
            </c:strRef>
          </c:tx>
          <c:spPr>
            <a:ln w="19050">
              <a:solidFill>
                <a:schemeClr val="tx1"/>
              </a:solidFill>
            </a:ln>
          </c:spPr>
          <c:marker>
            <c:symbol val="none"/>
          </c:marker>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5</c:v>
                </c:pt>
                <c:pt idx="1">
                  <c:v>7</c:v>
                </c:pt>
                <c:pt idx="2">
                  <c:v>9</c:v>
                </c:pt>
                <c:pt idx="3">
                  <c:v>11</c:v>
                </c:pt>
              </c:numCache>
            </c:numRef>
          </c:val>
        </c:ser>
        <c:marker val="1"/>
        <c:axId val="72749056"/>
        <c:axId val="72751360"/>
      </c:lineChart>
      <c:catAx>
        <c:axId val="72749056"/>
        <c:scaling>
          <c:orientation val="minMax"/>
        </c:scaling>
        <c:axPos val="b"/>
        <c:title>
          <c:tx>
            <c:rich>
              <a:bodyPr/>
              <a:lstStyle/>
              <a:p>
                <a:pPr>
                  <a:defRPr/>
                </a:pPr>
                <a:r>
                  <a:rPr lang="en-CA"/>
                  <a:t>Loan. </a:t>
                </a:r>
                <a:r>
                  <a:rPr lang="en-CA" baseline="0"/>
                  <a:t>Funds</a:t>
                </a:r>
                <a:endParaRPr lang="en-CA"/>
              </a:p>
            </c:rich>
          </c:tx>
          <c:layout>
            <c:manualLayout>
              <c:xMode val="edge"/>
              <c:yMode val="edge"/>
              <c:x val="0.63720771745637428"/>
              <c:y val="0.80114367360885075"/>
            </c:manualLayout>
          </c:layout>
        </c:title>
        <c:majorTickMark val="none"/>
        <c:tickLblPos val="none"/>
        <c:crossAx val="72751360"/>
        <c:crosses val="autoZero"/>
        <c:auto val="1"/>
        <c:lblAlgn val="ctr"/>
        <c:lblOffset val="100"/>
      </c:catAx>
      <c:valAx>
        <c:axId val="72751360"/>
        <c:scaling>
          <c:orientation val="minMax"/>
        </c:scaling>
        <c:axPos val="l"/>
        <c:title>
          <c:tx>
            <c:rich>
              <a:bodyPr rot="0" vert="horz"/>
              <a:lstStyle/>
              <a:p>
                <a:pPr>
                  <a:defRPr/>
                </a:pPr>
                <a:r>
                  <a:rPr lang="en-CA"/>
                  <a:t>r</a:t>
                </a:r>
              </a:p>
            </c:rich>
          </c:tx>
          <c:layout>
            <c:manualLayout>
              <c:xMode val="edge"/>
              <c:yMode val="edge"/>
              <c:x val="4.6783625730994163E-2"/>
              <c:y val="7.5607945456522108E-2"/>
            </c:manualLayout>
          </c:layout>
        </c:title>
        <c:numFmt formatCode="General" sourceLinked="1"/>
        <c:majorTickMark val="none"/>
        <c:tickLblPos val="none"/>
        <c:crossAx val="72749056"/>
        <c:crosses val="autoZero"/>
        <c:crossBetween val="between"/>
      </c:valAx>
    </c:plotArea>
    <c:plotVisOnly val="1"/>
  </c:chart>
  <c:spPr>
    <a:ln>
      <a:noFill/>
    </a:ln>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0.75877</cdr:x>
      <cdr:y>0.14201</cdr:y>
    </cdr:from>
    <cdr:to>
      <cdr:x>0.92105</cdr:x>
      <cdr:y>0.29586</cdr:y>
    </cdr:to>
    <cdr:sp macro="" textlink="">
      <cdr:nvSpPr>
        <cdr:cNvPr id="2" name="TextBox 1"/>
        <cdr:cNvSpPr txBox="1"/>
      </cdr:nvSpPr>
      <cdr:spPr>
        <a:xfrm xmlns:a="http://schemas.openxmlformats.org/drawingml/2006/main">
          <a:off x="1647825" y="228600"/>
          <a:ext cx="35242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S1</a:t>
          </a:r>
        </a:p>
      </cdr:txBody>
    </cdr:sp>
  </cdr:relSizeAnchor>
  <cdr:relSizeAnchor xmlns:cdr="http://schemas.openxmlformats.org/drawingml/2006/chartDrawing">
    <cdr:from>
      <cdr:x>0.78509</cdr:x>
      <cdr:y>0.29586</cdr:y>
    </cdr:from>
    <cdr:to>
      <cdr:x>0.94737</cdr:x>
      <cdr:y>0.4497</cdr:y>
    </cdr:to>
    <cdr:sp macro="" textlink="">
      <cdr:nvSpPr>
        <cdr:cNvPr id="3" name="TextBox 1"/>
        <cdr:cNvSpPr txBox="1"/>
      </cdr:nvSpPr>
      <cdr:spPr>
        <a:xfrm xmlns:a="http://schemas.openxmlformats.org/drawingml/2006/main">
          <a:off x="1704975" y="476250"/>
          <a:ext cx="352425" cy="24765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S2</a:t>
          </a:r>
        </a:p>
      </cdr:txBody>
    </cdr:sp>
  </cdr:relSizeAnchor>
  <cdr:relSizeAnchor xmlns:cdr="http://schemas.openxmlformats.org/drawingml/2006/chartDrawing">
    <cdr:from>
      <cdr:x>0.82018</cdr:x>
      <cdr:y>0.60947</cdr:y>
    </cdr:from>
    <cdr:to>
      <cdr:x>0.92982</cdr:x>
      <cdr:y>0.76331</cdr:y>
    </cdr:to>
    <cdr:sp macro="" textlink="">
      <cdr:nvSpPr>
        <cdr:cNvPr id="4" name="TextBox 3"/>
        <cdr:cNvSpPr txBox="1"/>
      </cdr:nvSpPr>
      <cdr:spPr>
        <a:xfrm xmlns:a="http://schemas.openxmlformats.org/drawingml/2006/main">
          <a:off x="1781175" y="981075"/>
          <a:ext cx="238125"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I</a:t>
          </a:r>
        </a:p>
      </cdr:txBody>
    </cdr:sp>
  </cdr:relSizeAnchor>
  <cdr:relSizeAnchor xmlns:cdr="http://schemas.openxmlformats.org/drawingml/2006/chartDrawing">
    <cdr:from>
      <cdr:x>0.42544</cdr:x>
      <cdr:y>0.46154</cdr:y>
    </cdr:from>
    <cdr:to>
      <cdr:x>0.42544</cdr:x>
      <cdr:y>0.7574</cdr:y>
    </cdr:to>
    <cdr:sp macro="" textlink="">
      <cdr:nvSpPr>
        <cdr:cNvPr id="8" name="Straight Connector 7"/>
        <cdr:cNvSpPr/>
      </cdr:nvSpPr>
      <cdr:spPr>
        <a:xfrm xmlns:a="http://schemas.openxmlformats.org/drawingml/2006/main">
          <a:off x="923925" y="742950"/>
          <a:ext cx="0" cy="4762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0.58333</cdr:x>
      <cdr:y>0.55621</cdr:y>
    </cdr:from>
    <cdr:to>
      <cdr:x>0.58333</cdr:x>
      <cdr:y>0.76331</cdr:y>
    </cdr:to>
    <cdr:sp macro="" textlink="">
      <cdr:nvSpPr>
        <cdr:cNvPr id="10" name="Straight Connector 9"/>
        <cdr:cNvSpPr/>
      </cdr:nvSpPr>
      <cdr:spPr>
        <a:xfrm xmlns:a="http://schemas.openxmlformats.org/drawingml/2006/main">
          <a:off x="1266825" y="895350"/>
          <a:ext cx="0" cy="3333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cdr:y>
    </cdr:from>
    <cdr:to>
      <cdr:x>0</cdr:x>
      <cdr:y>0</cdr:y>
    </cdr:to>
    <cdr:sp macro="" textlink="">
      <cdr:nvSpPr>
        <cdr:cNvPr id="12" name="Straight Connector 11"/>
        <cdr:cNvSpPr/>
      </cdr:nvSpPr>
      <cdr:spPr>
        <a:xfrm xmlns:a="http://schemas.openxmlformats.org/drawingml/2006/main" flipH="1">
          <a:off x="-3028950" y="-5448300"/>
          <a:ext cx="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0.11842</cdr:x>
      <cdr:y>0.55621</cdr:y>
    </cdr:from>
    <cdr:to>
      <cdr:x>0.58333</cdr:x>
      <cdr:y>0.55621</cdr:y>
    </cdr:to>
    <cdr:sp macro="" textlink="">
      <cdr:nvSpPr>
        <cdr:cNvPr id="14" name="Straight Connector 13"/>
        <cdr:cNvSpPr/>
      </cdr:nvSpPr>
      <cdr:spPr>
        <a:xfrm xmlns:a="http://schemas.openxmlformats.org/drawingml/2006/main" flipH="1">
          <a:off x="257175" y="895350"/>
          <a:ext cx="1009650"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0.11404</cdr:x>
      <cdr:y>0.45562</cdr:y>
    </cdr:from>
    <cdr:to>
      <cdr:x>0.42544</cdr:x>
      <cdr:y>0.45562</cdr:y>
    </cdr:to>
    <cdr:sp macro="" textlink="">
      <cdr:nvSpPr>
        <cdr:cNvPr id="16" name="Straight Connector 15"/>
        <cdr:cNvSpPr/>
      </cdr:nvSpPr>
      <cdr:spPr>
        <a:xfrm xmlns:a="http://schemas.openxmlformats.org/drawingml/2006/main" flipH="1">
          <a:off x="247650" y="733425"/>
          <a:ext cx="676275"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cdr:x>
      <cdr:y>0.36686</cdr:y>
    </cdr:from>
    <cdr:to>
      <cdr:x>0.15789</cdr:x>
      <cdr:y>0.48521</cdr:y>
    </cdr:to>
    <cdr:sp macro="" textlink="">
      <cdr:nvSpPr>
        <cdr:cNvPr id="17" name="TextBox 16"/>
        <cdr:cNvSpPr txBox="1"/>
      </cdr:nvSpPr>
      <cdr:spPr>
        <a:xfrm xmlns:a="http://schemas.openxmlformats.org/drawingml/2006/main">
          <a:off x="0" y="590551"/>
          <a:ext cx="34290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r1</a:t>
          </a:r>
        </a:p>
      </cdr:txBody>
    </cdr:sp>
  </cdr:relSizeAnchor>
  <cdr:relSizeAnchor xmlns:cdr="http://schemas.openxmlformats.org/drawingml/2006/chartDrawing">
    <cdr:from>
      <cdr:x>0</cdr:x>
      <cdr:y>0.48521</cdr:y>
    </cdr:from>
    <cdr:to>
      <cdr:x>0.15789</cdr:x>
      <cdr:y>0.64497</cdr:y>
    </cdr:to>
    <cdr:sp macro="" textlink="">
      <cdr:nvSpPr>
        <cdr:cNvPr id="18" name="TextBox 1"/>
        <cdr:cNvSpPr txBox="1"/>
      </cdr:nvSpPr>
      <cdr:spPr>
        <a:xfrm xmlns:a="http://schemas.openxmlformats.org/drawingml/2006/main">
          <a:off x="0" y="781049"/>
          <a:ext cx="342900" cy="2571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r2</a:t>
          </a:r>
        </a:p>
      </cdr:txBody>
    </cdr:sp>
  </cdr:relSizeAnchor>
  <cdr:relSizeAnchor xmlns:cdr="http://schemas.openxmlformats.org/drawingml/2006/chartDrawing">
    <cdr:from>
      <cdr:x>0.32895</cdr:x>
      <cdr:y>0.74556</cdr:y>
    </cdr:from>
    <cdr:to>
      <cdr:x>0.51316</cdr:x>
      <cdr:y>0.91716</cdr:y>
    </cdr:to>
    <cdr:sp macro="" textlink="">
      <cdr:nvSpPr>
        <cdr:cNvPr id="19" name="TextBox 18"/>
        <cdr:cNvSpPr txBox="1"/>
      </cdr:nvSpPr>
      <cdr:spPr>
        <a:xfrm xmlns:a="http://schemas.openxmlformats.org/drawingml/2006/main">
          <a:off x="714375" y="1200150"/>
          <a:ext cx="400050" cy="2762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1100"/>
            <a:t>LF1</a:t>
          </a:r>
        </a:p>
      </cdr:txBody>
    </cdr:sp>
  </cdr:relSizeAnchor>
  <cdr:relSizeAnchor xmlns:cdr="http://schemas.openxmlformats.org/drawingml/2006/chartDrawing">
    <cdr:from>
      <cdr:x>0.49123</cdr:x>
      <cdr:y>0.74556</cdr:y>
    </cdr:from>
    <cdr:to>
      <cdr:x>0.67544</cdr:x>
      <cdr:y>0.91716</cdr:y>
    </cdr:to>
    <cdr:sp macro="" textlink="">
      <cdr:nvSpPr>
        <cdr:cNvPr id="20" name="TextBox 1"/>
        <cdr:cNvSpPr txBox="1"/>
      </cdr:nvSpPr>
      <cdr:spPr>
        <a:xfrm xmlns:a="http://schemas.openxmlformats.org/drawingml/2006/main">
          <a:off x="1066800" y="1200150"/>
          <a:ext cx="400050" cy="2762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CA" sz="1100"/>
            <a:t>LF2</a:t>
          </a:r>
        </a:p>
      </cdr:txBody>
    </cdr:sp>
  </cdr:relSizeAnchor>
  <cdr:relSizeAnchor xmlns:cdr="http://schemas.openxmlformats.org/drawingml/2006/chartDrawing">
    <cdr:from>
      <cdr:x>0.15439</cdr:x>
      <cdr:y>0.46746</cdr:y>
    </cdr:from>
    <cdr:to>
      <cdr:x>0.17544</cdr:x>
      <cdr:y>0.53846</cdr:y>
    </cdr:to>
    <cdr:sp macro="" textlink="">
      <cdr:nvSpPr>
        <cdr:cNvPr id="21" name="Down Arrow 20"/>
        <cdr:cNvSpPr/>
      </cdr:nvSpPr>
      <cdr:spPr>
        <a:xfrm xmlns:a="http://schemas.openxmlformats.org/drawingml/2006/main">
          <a:off x="335281" y="752475"/>
          <a:ext cx="45719" cy="114300"/>
        </a:xfrm>
        <a:prstGeom xmlns:a="http://schemas.openxmlformats.org/drawingml/2006/main" prst="down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F1DAAC9-3EA4-4D47-9C05-0207FF32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Lenjosek</dc:creator>
  <cp:lastModifiedBy>Lenjosek</cp:lastModifiedBy>
  <cp:revision>7</cp:revision>
  <dcterms:created xsi:type="dcterms:W3CDTF">2013-09-23T14:29:00Z</dcterms:created>
  <dcterms:modified xsi:type="dcterms:W3CDTF">2013-09-23T14:49:00Z</dcterms:modified>
</cp:coreProperties>
</file>