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10.png" ContentType="image/png"/>
  <Override PartName="/word/media/image4.png" ContentType="image/png"/>
  <Override PartName="/word/media/image8.png" ContentType="image/png"/>
  <Override PartName="/word/media/image3.png" ContentType="image/png"/>
  <Override PartName="/word/media/image7.png" ContentType="image/png"/>
  <Override PartName="/word/media/image12.png" ContentType="image/png"/>
  <Override PartName="/word/media/image2.png" ContentType="image/png"/>
  <Override PartName="/word/media/image6.png" ContentType="image/png"/>
  <Override PartName="/word/media/image11.png" ContentType="image/png"/>
  <Override PartName="/word/media/image1.png" ContentType="image/png"/>
  <Override PartName="/word/media/image5.png" ContentType="image/png"/>
  <Override PartName="/word/media/image9.png" ContentType="image/png"/>
  <Override PartName="/word/header1.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sectPr>
          <w:headerReference r:id="rId2" w:type="first"/>
          <w:footerReference r:id="rId3" w:type="first"/>
          <w:type w:val="nextPage"/>
          <w:pgSz w:h="15840" w:w="12240"/>
          <w:pgMar w:bottom="777" w:footer="720" w:gutter="0" w:header="720" w:left="720" w:right="720" w:top="1440"/>
          <w:pgNumType w:fmt="decimal"/>
          <w:formProt w:val="false"/>
          <w:titlePg/>
          <w:textDirection w:val="lrTb"/>
          <w:docGrid w:charSpace="0" w:linePitch="240" w:type="default"/>
        </w:sectPr>
      </w:pPr>
    </w:p>
    <w:tbl>
      <w:tblPr>
        <w:jc w:val="left"/>
        <w:tblInd w:type="dxa" w:w="0"/>
        <w:tblBorders>
          <w:top w:val="none"/>
          <w:left w:val="none"/>
          <w:bottom w:val="none"/>
          <w:insideH w:val="none"/>
          <w:right w:val="none"/>
          <w:insideV w:val="none"/>
        </w:tblBorders>
        <w:tblCellMar>
          <w:top w:type="dxa" w:w="0"/>
          <w:left w:type="dxa" w:w="0"/>
          <w:bottom w:type="dxa" w:w="0"/>
          <w:right w:type="dxa" w:w="0"/>
        </w:tblCellMar>
      </w:tblPr>
      <w:tblGrid>
        <w:gridCol w:w="3600"/>
        <w:gridCol w:w="3600"/>
        <w:gridCol w:w="3600"/>
      </w:tblGrid>
      <w:tr>
        <w:trPr>
          <w:cantSplit w:val="true"/>
        </w:trPr>
        <w:tc>
          <w:tcPr>
            <w:tcW w:type="dxa" w:w="3600"/>
            <w:gridSpan w:val="3"/>
            <w:tcBorders>
              <w:top w:val="none"/>
              <w:left w:val="none"/>
              <w:bottom w:val="none"/>
              <w:right w:val="none"/>
            </w:tcBorders>
            <w:shd w:fill="auto" w:val="clear"/>
          </w:tcPr>
          <w:p>
            <w:pPr>
              <w:pStyle w:val="style0"/>
              <w:widowControl w:val="false"/>
              <w:ind w:hanging="0" w:left="0" w:right="0"/>
              <w:jc w:val="right"/>
              <w:textAlignment w:val="auto"/>
            </w:pPr>
            <w:r>
              <w:rPr>
                <w:rFonts w:ascii="Times New Roman" w:eastAsia="Times New Roman" w:hAnsi="Times New Roman"/>
                <w:color w:val="000000"/>
                <w:sz w:val="24"/>
                <w:szCs w:val="24"/>
                <w:lang w:bidi="ar-SA" w:eastAsia="en-US" w:val="en-US"/>
              </w:rPr>
              <w:t>123.</w:t>
            </w:r>
          </w:p>
        </w:tc>
        <w:tc>
          <w:tcPr>
            <w:tcW w:type="dxa" w:w="3600"/>
            <w:tcBorders>
              <w:top w:val="none"/>
              <w:left w:val="none"/>
              <w:bottom w:val="none"/>
              <w:right w:val="none"/>
            </w:tcBorders>
            <w:shd w:fill="auto" w:val="clear"/>
          </w:tcPr>
          <w:p>
            <w:pPr>
              <w:pStyle w:val="style0"/>
              <w:widowControl w:val="false"/>
              <w:ind w:hanging="0" w:left="0" w:right="0"/>
              <w:jc w:val="left"/>
              <w:textAlignment w:val="auto"/>
            </w:pPr>
            <w:r>
              <w:rPr>
                <w:rFonts w:ascii="Times New Roman" w:eastAsia="Times New Roman" w:hAnsi="Times New Roman"/>
                <w:sz w:val="24"/>
                <w:szCs w:val="24"/>
                <w:lang w:bidi="ar-SA" w:eastAsia="en-US" w:val="en-US"/>
              </w:rPr>
              <w:t>Foster Company makes 20,000 units per year of a part that it uses in the products it manufactures. The unit product cost of this part is computed as follows:</w:t>
            </w:r>
          </w:p>
          <w:p>
            <w:pPr>
              <w:pStyle w:val="style0"/>
              <w:widowControl w:val="false"/>
              <w:ind w:hanging="0" w:left="0" w:right="0"/>
              <w:jc w:val="left"/>
              <w:textAlignment w:val="auto"/>
            </w:pPr>
            <w:r>
              <w:rPr>
                <w:rFonts w:ascii="Times New Roman" w:eastAsia="Times New Roman" w:hAnsi="Times New Roman"/>
                <w:sz w:val="24"/>
                <w:szCs w:val="24"/>
                <w:lang w:bidi="ar-SA" w:eastAsia="en-US" w:val="en-US"/>
              </w:rPr>
            </w:r>
          </w:p>
          <w:tbl>
            <w:tblPr>
              <w:jc w:val="left"/>
              <w:tblInd w:type="dxa" w:w="0"/>
              <w:tblBorders>
                <w:top w:val="none"/>
                <w:left w:val="none"/>
                <w:bottom w:val="none"/>
                <w:insideH w:val="none"/>
                <w:right w:val="none"/>
                <w:insideV w:val="none"/>
              </w:tblBorders>
              <w:tblCellMar>
                <w:top w:type="dxa" w:w="0"/>
                <w:left w:type="dxa" w:w="0"/>
                <w:bottom w:type="dxa" w:w="0"/>
                <w:right w:type="dxa" w:w="0"/>
              </w:tblCellMar>
            </w:tblPr>
            <w:tblGrid>
              <w:gridCol w:w="1079"/>
              <w:gridCol w:w="1080"/>
              <w:gridCol w:w="1080"/>
              <w:gridCol w:w="1080"/>
              <w:gridCol w:w="6480"/>
            </w:tblGrid>
            <w:tr>
              <w:trPr>
                <w:cantSplit w:val="true"/>
              </w:trPr>
              <w:tc>
                <w:tcPr>
                  <w:tcW w:type="dxa" w:w="1079"/>
                  <w:gridSpan w:val="2"/>
                  <w:tcBorders>
                    <w:top w:val="none"/>
                    <w:left w:val="none"/>
                    <w:bottom w:val="none"/>
                    <w:right w:val="none"/>
                  </w:tcBorders>
                  <w:shd w:fill="auto" w:val="clear"/>
                </w:tcPr>
                <w:p>
                  <w:pPr>
                    <w:pStyle w:val="style0"/>
                    <w:widowControl w:val="false"/>
                    <w:ind w:hanging="0" w:left="0" w:right="0"/>
                    <w:jc w:val="left"/>
                    <w:textAlignment w:val="auto"/>
                  </w:pPr>
                  <w:r>
                    <w:rPr>
                      <w:rFonts w:ascii="Times New Roman" w:eastAsia="Times New Roman" w:hAnsi="Times New Roman"/>
                      <w:sz w:val="24"/>
                      <w:szCs w:val="24"/>
                      <w:lang w:bidi="ar-SA" w:eastAsia="en-US" w:val="en-US"/>
                    </w:rPr>
                    <w:t>Direct Materials</w:t>
                  </w:r>
                </w:p>
              </w:tc>
              <w:tc>
                <w:tcPr>
                  <w:tcW w:type="dxa" w:w="1080"/>
                  <w:tcBorders>
                    <w:top w:val="none"/>
                    <w:left w:val="none"/>
                    <w:bottom w:val="none"/>
                    <w:right w:val="none"/>
                  </w:tcBorders>
                  <w:shd w:fill="auto" w:val="clear"/>
                </w:tcPr>
                <w:p>
                  <w:pPr>
                    <w:pStyle w:val="style0"/>
                    <w:widowControl w:val="false"/>
                    <w:ind w:hanging="0" w:left="0" w:right="0"/>
                    <w:jc w:val="right"/>
                    <w:textAlignment w:val="auto"/>
                  </w:pPr>
                  <w:r>
                    <w:rPr>
                      <w:rFonts w:ascii="Times New Roman" w:eastAsia="Times New Roman" w:hAnsi="Times New Roman"/>
                      <w:sz w:val="24"/>
                      <w:szCs w:val="24"/>
                      <w:lang w:bidi="ar-SA" w:eastAsia="en-US" w:val="en-US"/>
                    </w:rPr>
                    <w:t>$24.70</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Direct Labour</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eastAsia="Times New Roman" w:hAnsi="Times New Roman"/>
                      <w:sz w:val="24"/>
                      <w:szCs w:val="24"/>
                      <w:lang w:bidi="ar-SA" w:eastAsia="en-US" w:val="en-US"/>
                    </w:rPr>
                    <w:t>$16.30</w:t>
                  </w:r>
                </w:p>
              </w:tc>
              <w:tc>
                <w:tcPr>
                  <w:tcW w:type="dxa" w:w="6480"/>
                  <w:gridSpan w:val="6"/>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Variable Manufacturing Overhead</w:t>
                  </w:r>
                </w:p>
              </w:tc>
            </w:tr>
            <w:tr>
              <w:trPr>
                <w:cantSplit w:val="true"/>
              </w:trPr>
              <w:tc>
                <w:tcPr>
                  <w:tcW w:type="dxa" w:w="1079"/>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Ans:</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a) Relevant cost per unit:</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Direct Materials</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eastAsia="Times New Roman" w:hAnsi="Times New Roman"/>
                      <w:sz w:val="24"/>
                      <w:szCs w:val="24"/>
                      <w:lang w:bidi="ar-SA" w:eastAsia="en-US" w:val="en-US"/>
                    </w:rPr>
                    <w:t>$24.70</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Direct Labour</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eastAsia="Times New Roman" w:hAnsi="Times New Roman"/>
                      <w:sz w:val="24"/>
                      <w:szCs w:val="24"/>
                      <w:lang w:bidi="ar-SA" w:eastAsia="en-US" w:val="en-US"/>
                    </w:rPr>
                    <w:t>$16.30</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Variable Manufacturing Overhead</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eastAsia="Times New Roman" w:hAnsi="Times New Roman"/>
                      <w:sz w:val="24"/>
                      <w:szCs w:val="24"/>
                      <w:lang w:bidi="ar-SA" w:eastAsia="en-US" w:val="en-US"/>
                    </w:rPr>
                    <w:t>$  2.30</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Fixed Manufacturing Overhead ($13.40 - $5.10)</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eastAsia="Times New Roman" w:hAnsi="Times New Roman"/>
                      <w:sz w:val="24"/>
                      <w:szCs w:val="24"/>
                      <w:u w:val="single"/>
                      <w:lang w:bidi="ar-SA" w:eastAsia="en-US" w:val="en-US"/>
                    </w:rPr>
                    <w:t>$  8.30</w:t>
                  </w:r>
                </w:p>
              </w:tc>
              <w:tc>
                <w:tcPr>
                  <w:tcW w:type="dxa" w:w="108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Relevant Manufacturing Cost</w:t>
                  </w:r>
                </w:p>
              </w:tc>
            </w:tr>
            <w:tr>
              <w:trPr>
                <w:cantSplit w:val="true"/>
              </w:trPr>
              <w:tc>
                <w:tcPr>
                  <w:tcW w:type="dxa" w:w="72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cs="Times New Roman" w:eastAsia="Times New Roman" w:hAnsi="Times New Roman"/>
                      <w:sz w:val="24"/>
                      <w:szCs w:val="24"/>
                      <w:lang w:bidi="ar-SA" w:eastAsia="en-US" w:val="en-US"/>
                    </w:rPr>
                  </w:r>
                </w:p>
              </w:tc>
              <w:tc>
                <w:tcPr>
                  <w:tcW w:type="dxa" w:w="10079"/>
                  <w:gridSpan w:val="1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Difficulty:  Hard</w:t>
                  </w:r>
                </w:p>
              </w:tc>
            </w:tr>
          </w:tbl>
          <w:p>
            <w:pPr>
              <w:pStyle w:val="style0"/>
              <w:keepNext/>
              <w:keepLines/>
              <w:widowControl w:val="false"/>
              <w:ind w:hanging="0" w:left="0" w:right="0"/>
              <w:jc w:val="right"/>
              <w:textAlignment w:val="auto"/>
            </w:pPr>
            <w:r>
              <w:rPr>
                <w:rFonts w:ascii="Times New Roman" w:eastAsia="Times New Roman" w:hAnsi="Times New Roman"/>
                <w:color w:val="000000"/>
                <w:sz w:val="24"/>
                <w:szCs w:val="24"/>
                <w:lang w:bidi="ar-SA" w:eastAsia="en-US" w:val="en-US"/>
              </w:rPr>
              <w:t>125.</w:t>
            </w:r>
          </w:p>
        </w:tc>
        <w:tc>
          <w:tcPr>
            <w:tcW w:type="dxa" w:w="3600"/>
            <w:tcBorders>
              <w:top w:val="none"/>
              <w:left w:val="none"/>
              <w:bottom w:val="none"/>
              <w:right w:val="none"/>
            </w:tcBorders>
            <w:shd w:fill="auto" w:val="clear"/>
          </w:tcPr>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Benjamin Signal Company produces products R, J, and C from a joint production process. Each product may be sold at the split-off point or be processed further. Joint production costs of $92,000 per year are allocated to the products based on the relative number of units produced. Data for Benjamin's operations for the current year are as follows:</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drawing>
                <wp:inline distB="0" distL="0" distR="0" distT="0">
                  <wp:extent cx="3971925" cy="885825"/>
                  <wp:effectExtent b="0" l="0" r="0" t="0"/>
                  <wp:docPr descr="" id="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0" name="Picture"/>
                          <pic:cNvPicPr>
                            <a:picLocks noChangeArrowheads="1" noChangeAspect="1"/>
                          </pic:cNvPicPr>
                        </pic:nvPicPr>
                        <pic:blipFill>
                          <a:blip r:embed="rId4"/>
                          <a:srcRect/>
                          <a:stretch>
                            <a:fillRect/>
                          </a:stretch>
                        </pic:blipFill>
                        <pic:spPr bwMode="auto">
                          <a:xfrm>
                            <a:off x="0" y="0"/>
                            <a:ext cx="3971925" cy="885825"/>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Product R can be processed beyond the split-off point for an additional cost of $26,000 and can then be sold for $105,000. Product J can be processed beyond the split-off point for an additional cost of $38,000 and can then be sold for $117,000. Product C can be processed beyond the split-off point for an additional cost of $12,000 and can then be sold for $57,000.</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Required:</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Which products should be processed beyond the split-off point?</w:t>
            </w:r>
          </w:p>
        </w:tc>
      </w:tr>
      <w:tr>
        <w:trPr>
          <w:cantSplit w:val="true"/>
        </w:trPr>
        <w:tc>
          <w:tcPr>
            <w:tcW w:type="dxa" w:w="1304"/>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Ans:</w:t>
            </w:r>
          </w:p>
        </w:tc>
        <w:tc>
          <w:tcPr>
            <w:tcW w:type="dxa" w:w="9496"/>
            <w:gridSpan w:val="3"/>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drawing>
                <wp:inline distB="0" distL="0" distR="0" distT="0">
                  <wp:extent cx="4876800" cy="1209675"/>
                  <wp:effectExtent b="0" l="0" r="0" t="0"/>
                  <wp:docPr desc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 name="Picture"/>
                          <pic:cNvPicPr>
                            <a:picLocks noChangeArrowheads="1" noChangeAspect="1"/>
                          </pic:cNvPicPr>
                        </pic:nvPicPr>
                        <pic:blipFill>
                          <a:blip r:embed="rId5"/>
                          <a:srcRect/>
                          <a:stretch>
                            <a:fillRect/>
                          </a:stretch>
                        </pic:blipFill>
                        <pic:spPr bwMode="auto">
                          <a:xfrm>
                            <a:off x="0" y="0"/>
                            <a:ext cx="4876800" cy="1209675"/>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Products R and J should be processed beyond the split-off point. Product C should be sold at split-off. Joint production costs are not relevant to the decision to sell at split-off or to process further.</w:t>
            </w:r>
          </w:p>
        </w:tc>
      </w:tr>
      <w:tr>
        <w:trPr>
          <w:cantSplit w:val="true"/>
        </w:trPr>
        <w:tc>
          <w:tcPr>
            <w:tcW w:type="dxa" w:w="72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cs="Times New Roman" w:eastAsia="Times New Roman" w:hAnsi="Times New Roman"/>
                <w:sz w:val="24"/>
                <w:szCs w:val="24"/>
                <w:lang w:bidi="ar-SA" w:eastAsia="en-US" w:val="en-US"/>
              </w:rPr>
            </w:r>
          </w:p>
        </w:tc>
        <w:tc>
          <w:tcPr>
            <w:tcW w:type="dxa" w:w="10080"/>
            <w:gridSpan w:val="4"/>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Difficulty:  Medium</w:t>
            </w:r>
          </w:p>
        </w:tc>
      </w:tr>
    </w:tbl>
    <w:p>
      <w:pPr>
        <w:pStyle w:val="style0"/>
        <w:widowControl w:val="false"/>
        <w:ind w:hanging="0" w:left="0" w:right="0"/>
        <w:jc w:val="left"/>
        <w:textAlignment w:val="auto"/>
      </w:pPr>
      <w:r>
        <w:rPr>
          <w:rFonts w:ascii="Times New Roman" w:cs="Times New Roman" w:eastAsia="Times New Roman" w:hAnsi="Times New Roman"/>
          <w:sz w:val="24"/>
          <w:szCs w:val="24"/>
          <w:lang w:bidi="ar-SA" w:eastAsia="en-US" w:val="en-US"/>
        </w:rPr>
      </w:r>
    </w:p>
    <w:tbl>
      <w:tblPr>
        <w:jc w:val="left"/>
        <w:tblInd w:type="dxa" w:w="0"/>
        <w:tblBorders>
          <w:top w:val="none"/>
          <w:left w:val="none"/>
          <w:bottom w:val="none"/>
          <w:insideH w:val="none"/>
          <w:right w:val="none"/>
          <w:insideV w:val="none"/>
        </w:tblBorders>
        <w:tblCellMar>
          <w:top w:type="dxa" w:w="0"/>
          <w:left w:type="dxa" w:w="0"/>
          <w:bottom w:type="dxa" w:w="0"/>
          <w:right w:type="dxa" w:w="0"/>
        </w:tblCellMar>
      </w:tblPr>
      <w:tblGrid>
        <w:gridCol w:w="720"/>
        <w:gridCol w:w="10079"/>
      </w:tblGrid>
      <w:tr>
        <w:trPr>
          <w:cantSplit w:val="true"/>
        </w:trPr>
        <w:tc>
          <w:tcPr>
            <w:tcW w:type="dxa" w:w="720"/>
            <w:tcBorders>
              <w:top w:val="none"/>
              <w:left w:val="none"/>
              <w:bottom w:val="none"/>
              <w:right w:val="none"/>
            </w:tcBorders>
            <w:shd w:fill="auto" w:val="clear"/>
          </w:tcPr>
          <w:p>
            <w:pPr>
              <w:pStyle w:val="style0"/>
              <w:keepNext/>
              <w:keepLines/>
              <w:widowControl w:val="false"/>
              <w:ind w:hanging="0" w:left="0" w:right="0"/>
              <w:jc w:val="right"/>
              <w:textAlignment w:val="auto"/>
            </w:pPr>
            <w:r>
              <w:rPr>
                <w:rFonts w:ascii="Times New Roman" w:cs="Times New Roman" w:eastAsia="Times New Roman" w:hAnsi="Times New Roman"/>
                <w:sz w:val="24"/>
                <w:szCs w:val="24"/>
                <w:lang w:bidi="ar-SA" w:eastAsia="en-US" w:val="en-US"/>
              </w:rPr>
            </w:r>
          </w:p>
        </w:tc>
        <w:tc>
          <w:tcPr>
            <w:tcW w:type="dxa" w:w="10079"/>
            <w:gridSpan w:val="2"/>
            <w:tcBorders>
              <w:top w:val="none"/>
              <w:left w:val="none"/>
              <w:bottom w:val="none"/>
              <w:right w:val="none"/>
            </w:tcBorders>
            <w:shd w:fill="auto" w:val="clear"/>
          </w:tcPr>
          <w:p>
            <w:pPr>
              <w:pStyle w:val="style0"/>
              <w:keepNext/>
              <w:keepLines/>
              <w:widowControl w:val="false"/>
              <w:ind w:hanging="0" w:left="0" w:right="0"/>
              <w:jc w:val="left"/>
              <w:textAlignment w:val="auto"/>
            </w:pPr>
            <w:r>
              <w:rPr>
                <w:rFonts w:ascii="Times New Roman" w:cs="Times New Roman" w:eastAsia="Times New Roman" w:hAnsi="Times New Roman"/>
                <w:sz w:val="24"/>
                <w:szCs w:val="24"/>
                <w:lang w:bidi="ar-SA" w:eastAsia="en-US" w:val="en-US"/>
              </w:rPr>
            </w:r>
          </w:p>
        </w:tc>
      </w:tr>
      <w:tr>
        <w:trPr>
          <w:cantSplit w:val="true"/>
        </w:trPr>
        <w:tc>
          <w:tcPr>
            <w:tcW w:type="dxa" w:w="720"/>
            <w:tcBorders>
              <w:top w:val="none"/>
              <w:left w:val="none"/>
              <w:bottom w:val="none"/>
              <w:right w:val="none"/>
            </w:tcBorders>
            <w:shd w:fill="auto" w:val="clear"/>
          </w:tcPr>
          <w:p>
            <w:pPr>
              <w:pStyle w:val="style0"/>
              <w:keepNext/>
              <w:keepLines/>
              <w:widowControl w:val="false"/>
              <w:ind w:hanging="0" w:left="0" w:right="0"/>
              <w:jc w:val="right"/>
              <w:textAlignment w:val="auto"/>
            </w:pPr>
            <w:r>
              <w:rPr>
                <w:rFonts w:ascii="Times New Roman" w:eastAsia="Times New Roman" w:hAnsi="Times New Roman"/>
                <w:color w:val="000000"/>
                <w:sz w:val="24"/>
                <w:szCs w:val="24"/>
                <w:lang w:bidi="ar-SA" w:eastAsia="en-US" w:val="en-US"/>
              </w:rPr>
              <w:t>127.</w:t>
            </w:r>
          </w:p>
        </w:tc>
        <w:tc>
          <w:tcPr>
            <w:tcW w:type="dxa" w:w="10079"/>
            <w:gridSpan w:val="2"/>
            <w:tcBorders>
              <w:top w:val="none"/>
              <w:left w:val="none"/>
              <w:bottom w:val="none"/>
              <w:right w:val="none"/>
            </w:tcBorders>
            <w:shd w:fill="auto" w:val="clear"/>
          </w:tcPr>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Madison Optometry is considering the purchase of a new lens grinder to replace a machine that was purchased several years ago. Selected information on the two machines is given below:</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drawing>
                <wp:inline distB="0" distL="0" distR="0" distT="0">
                  <wp:extent cx="4133850" cy="1247775"/>
                  <wp:effectExtent b="0" l="0" r="0" t="0"/>
                  <wp:docPr desc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 name="Picture"/>
                          <pic:cNvPicPr>
                            <a:picLocks noChangeArrowheads="1" noChangeAspect="1"/>
                          </pic:cNvPicPr>
                        </pic:nvPicPr>
                        <pic:blipFill>
                          <a:blip r:embed="rId6"/>
                          <a:srcRect/>
                          <a:stretch>
                            <a:fillRect/>
                          </a:stretch>
                        </pic:blipFill>
                        <pic:spPr bwMode="auto">
                          <a:xfrm>
                            <a:off x="0" y="0"/>
                            <a:ext cx="4133850" cy="1247775"/>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Ignore income taxes and the time value of money in this problem.</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Required:</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Compute the total advantage or disadvantage of using the new machine instead of the old machine over the next four years.</w:t>
            </w:r>
          </w:p>
        </w:tc>
      </w:tr>
      <w:tr>
        <w:trPr>
          <w:cantSplit w:val="true"/>
        </w:trPr>
        <w:tc>
          <w:tcPr>
            <w:tcW w:type="dxa" w:w="1304"/>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Ans:</w:t>
            </w:r>
          </w:p>
        </w:tc>
        <w:tc>
          <w:tcPr>
            <w:tcW w:type="dxa" w:w="9495"/>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The analysis of the alternatives appears below:</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drawing>
                <wp:inline distB="0" distL="0" distR="0" distT="0">
                  <wp:extent cx="4181475" cy="1209675"/>
                  <wp:effectExtent b="0" l="0" r="0" t="0"/>
                  <wp:docPr desc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 name="Picture"/>
                          <pic:cNvPicPr>
                            <a:picLocks noChangeArrowheads="1" noChangeAspect="1"/>
                          </pic:cNvPicPr>
                        </pic:nvPicPr>
                        <pic:blipFill>
                          <a:blip r:embed="rId7"/>
                          <a:srcRect/>
                          <a:stretch>
                            <a:fillRect/>
                          </a:stretch>
                        </pic:blipFill>
                        <pic:spPr bwMode="auto">
                          <a:xfrm>
                            <a:off x="0" y="0"/>
                            <a:ext cx="4181475" cy="1209675"/>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Therefore, the net disadvantage to purchasing and using the new machine would be $55,000 because its total cost is $55,000 higher than the total cost of using the old machine.</w:t>
            </w:r>
          </w:p>
        </w:tc>
      </w:tr>
      <w:tr>
        <w:trPr>
          <w:cantSplit w:val="true"/>
        </w:trPr>
        <w:tc>
          <w:tcPr>
            <w:tcW w:type="dxa" w:w="72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cs="Times New Roman" w:eastAsia="Times New Roman" w:hAnsi="Times New Roman"/>
                <w:sz w:val="24"/>
                <w:szCs w:val="24"/>
                <w:lang w:bidi="ar-SA" w:eastAsia="en-US" w:val="en-US"/>
              </w:rPr>
            </w:r>
          </w:p>
        </w:tc>
        <w:tc>
          <w:tcPr>
            <w:tcW w:type="dxa" w:w="10079"/>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Difficulty:  Medium</w:t>
            </w:r>
          </w:p>
        </w:tc>
      </w:tr>
    </w:tbl>
    <w:p>
      <w:pPr>
        <w:pStyle w:val="style0"/>
        <w:widowControl w:val="false"/>
        <w:ind w:hanging="0" w:left="0" w:right="0"/>
        <w:jc w:val="left"/>
        <w:textAlignment w:val="auto"/>
      </w:pPr>
      <w:r>
        <w:rPr>
          <w:rFonts w:ascii="Times New Roman" w:cs="Times New Roman" w:eastAsia="Times New Roman" w:hAnsi="Times New Roman"/>
          <w:sz w:val="24"/>
          <w:szCs w:val="24"/>
          <w:lang w:bidi="ar-SA" w:eastAsia="en-US" w:val="en-US"/>
        </w:rPr>
      </w:r>
    </w:p>
    <w:tbl>
      <w:tblPr>
        <w:jc w:val="left"/>
        <w:tblInd w:type="dxa" w:w="0"/>
        <w:tblBorders>
          <w:top w:val="none"/>
          <w:left w:val="none"/>
          <w:bottom w:val="none"/>
          <w:insideH w:val="none"/>
          <w:right w:val="none"/>
          <w:insideV w:val="none"/>
        </w:tblBorders>
        <w:tblCellMar>
          <w:top w:type="dxa" w:w="0"/>
          <w:left w:type="dxa" w:w="0"/>
          <w:bottom w:type="dxa" w:w="0"/>
          <w:right w:type="dxa" w:w="0"/>
        </w:tblCellMar>
      </w:tblPr>
      <w:tblGrid>
        <w:gridCol w:w="1440"/>
        <w:gridCol w:w="10079"/>
      </w:tblGrid>
      <w:tr>
        <w:trPr>
          <w:cantSplit w:val="true"/>
        </w:trPr>
        <w:tc>
          <w:tcPr>
            <w:tcW w:type="dxa" w:w="1440"/>
            <w:tcBorders>
              <w:top w:val="none"/>
              <w:left w:val="none"/>
              <w:bottom w:val="none"/>
              <w:right w:val="none"/>
            </w:tcBorders>
            <w:shd w:fill="auto" w:val="clear"/>
          </w:tcPr>
          <w:p>
            <w:pPr>
              <w:pStyle w:val="style0"/>
              <w:widowControl w:val="false"/>
              <w:ind w:hanging="0" w:left="0" w:right="0"/>
              <w:jc w:val="left"/>
              <w:textAlignment w:val="auto"/>
            </w:pPr>
            <w:r>
              <w:rPr>
                <w:rFonts w:ascii="Times New Roman" w:eastAsia="Times New Roman" w:hAnsi="Times New Roman"/>
                <w:color w:val="000000"/>
                <w:sz w:val="24"/>
                <w:szCs w:val="24"/>
                <w:lang w:bidi="ar-SA" w:eastAsia="en-US" w:val="en-US"/>
              </w:rPr>
              <w:t>129.</w:t>
            </w:r>
          </w:p>
        </w:tc>
        <w:tc>
          <w:tcPr>
            <w:tcW w:type="dxa" w:w="10079"/>
            <w:gridSpan w:val="2"/>
            <w:tcBorders>
              <w:top w:val="none"/>
              <w:left w:val="none"/>
              <w:bottom w:val="none"/>
              <w:right w:val="none"/>
            </w:tcBorders>
            <w:shd w:fill="auto" w:val="clear"/>
          </w:tcPr>
          <w:p>
            <w:pPr>
              <w:pStyle w:val="style0"/>
              <w:widowControl w:val="false"/>
              <w:ind w:hanging="0" w:left="0" w:right="0"/>
              <w:jc w:val="left"/>
              <w:textAlignment w:val="auto"/>
            </w:pPr>
            <w:r>
              <w:rPr>
                <w:rFonts w:ascii="Times New Roman" w:eastAsia="Times New Roman" w:hAnsi="Times New Roman"/>
                <w:sz w:val="24"/>
                <w:szCs w:val="24"/>
                <w:lang w:bidi="ar-SA" w:eastAsia="en-US" w:val="en-US"/>
              </w:rPr>
              <w:t>When Mr. Ding L. Berry, president and chief executive of Berry, Inc., first saw the segmented income statement below, he flew into his usual rage:  "When will we ever start showing a real profit? I'm starting immediate steps to eliminate those two unprofitable lines!"</w:t>
            </w:r>
          </w:p>
          <w:p>
            <w:pPr>
              <w:pStyle w:val="style0"/>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ind w:hanging="0" w:left="0" w:right="0"/>
              <w:jc w:val="left"/>
              <w:textAlignment w:val="auto"/>
            </w:pPr>
            <w:r>
              <w:rPr/>
              <w:drawing>
                <wp:inline distB="0" distL="0" distR="0" distT="0">
                  <wp:extent cx="4581525" cy="1581150"/>
                  <wp:effectExtent b="0" l="0" r="0" t="0"/>
                  <wp:docPr desc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 name="Picture"/>
                          <pic:cNvPicPr>
                            <a:picLocks noChangeArrowheads="1" noChangeAspect="1"/>
                          </pic:cNvPicPr>
                        </pic:nvPicPr>
                        <pic:blipFill>
                          <a:blip r:embed="rId8"/>
                          <a:srcRect/>
                          <a:stretch>
                            <a:fillRect/>
                          </a:stretch>
                        </pic:blipFill>
                        <pic:spPr bwMode="auto">
                          <a:xfrm>
                            <a:off x="0" y="0"/>
                            <a:ext cx="4581525" cy="1581150"/>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ind w:hanging="0" w:left="0" w:right="0"/>
              <w:jc w:val="left"/>
              <w:textAlignment w:val="auto"/>
            </w:pPr>
            <w:r>
              <w:rPr>
                <w:rFonts w:ascii="Times New Roman" w:eastAsia="Times New Roman" w:hAnsi="Times New Roman"/>
                <w:sz w:val="24"/>
                <w:szCs w:val="24"/>
                <w:lang w:bidi="ar-SA" w:eastAsia="en-US" w:val="en-US"/>
              </w:rPr>
              <w:t>*These traceable expenses could be eliminated if the product lines to which they are traced were discontinued.</w:t>
            </w:r>
          </w:p>
          <w:p>
            <w:pPr>
              <w:pStyle w:val="style0"/>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ind w:hanging="0" w:left="0" w:right="0"/>
              <w:jc w:val="left"/>
              <w:textAlignment w:val="auto"/>
            </w:pPr>
            <w:r>
              <w:rPr>
                <w:rFonts w:ascii="Times New Roman" w:eastAsia="Times New Roman" w:hAnsi="Times New Roman"/>
                <w:sz w:val="24"/>
                <w:szCs w:val="24"/>
                <w:lang w:bidi="ar-SA" w:eastAsia="en-US" w:val="en-US"/>
              </w:rPr>
              <w:t>Required:</w:t>
            </w:r>
          </w:p>
          <w:p>
            <w:pPr>
              <w:pStyle w:val="style0"/>
              <w:widowControl w:val="false"/>
              <w:ind w:hanging="0" w:left="0" w:right="0"/>
              <w:jc w:val="left"/>
              <w:textAlignment w:val="auto"/>
            </w:pPr>
            <w:r>
              <w:rPr>
                <w:rFonts w:ascii="Times New Roman" w:eastAsia="Times New Roman" w:hAnsi="Times New Roman"/>
                <w:sz w:val="24"/>
                <w:szCs w:val="24"/>
                <w:lang w:bidi="ar-SA" w:eastAsia="en-US" w:val="en-US"/>
              </w:rPr>
              <w:t>Recommend which segments, if any, should be eliminated. Prepare a report in good form to support your answer.</w:t>
            </w:r>
          </w:p>
        </w:tc>
      </w:tr>
      <w:tr>
        <w:trPr>
          <w:cantSplit w:val="true"/>
        </w:trPr>
        <w:tc>
          <w:tcPr>
            <w:tcW w:type="dxa" w:w="5759"/>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cs="Times New Roman" w:eastAsia="Times New Roman" w:hAnsi="Times New Roman"/>
                <w:color w:val="000000"/>
                <w:sz w:val="24"/>
                <w:szCs w:val="24"/>
                <w:lang w:bidi="ar-SA" w:eastAsia="en-US" w:val="en-US"/>
              </w:rPr>
            </w:r>
          </w:p>
        </w:tc>
        <w:tc>
          <w:tcPr>
            <w:tcW w:type="dxa" w:w="576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A segmented income report, without the allocation of common fixed expenses, will provide the basis for deciding which segments to drop.</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drawing>
                <wp:inline distB="0" distL="0" distR="0" distT="0">
                  <wp:extent cx="4562475" cy="1933575"/>
                  <wp:effectExtent b="0" l="0" r="0" t="0"/>
                  <wp:docPr desc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 name="Picture"/>
                          <pic:cNvPicPr>
                            <a:picLocks noChangeArrowheads="1" noChangeAspect="1"/>
                          </pic:cNvPicPr>
                        </pic:nvPicPr>
                        <pic:blipFill>
                          <a:blip r:embed="rId9"/>
                          <a:srcRect/>
                          <a:stretch>
                            <a:fillRect/>
                          </a:stretch>
                        </pic:blipFill>
                        <pic:spPr bwMode="auto">
                          <a:xfrm>
                            <a:off x="0" y="0"/>
                            <a:ext cx="4562475" cy="1933575"/>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The only segment that possibly should be eliminated is segment W, which shows a negative segment margin of $2,000.</w:t>
            </w:r>
            <w:r>
              <w:rPr>
                <w:rFonts w:ascii="Times New Roman" w:eastAsia="Times New Roman" w:hAnsi="Times New Roman"/>
                <w:color w:val="000000"/>
                <w:sz w:val="24"/>
                <w:szCs w:val="24"/>
                <w:lang w:bidi="ar-SA" w:eastAsia="en-US" w:val="en-US"/>
              </w:rPr>
              <w:t>Ans:</w:t>
            </w:r>
          </w:p>
        </w:tc>
      </w:tr>
      <w:tr>
        <w:trPr>
          <w:cantSplit w:val="true"/>
        </w:trPr>
        <w:tc>
          <w:tcPr>
            <w:tcW w:type="dxa" w:w="5759"/>
            <w:gridSpan w:val="2"/>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cs="Times New Roman" w:eastAsia="Times New Roman" w:hAnsi="Times New Roman"/>
                <w:sz w:val="24"/>
                <w:szCs w:val="24"/>
                <w:lang w:bidi="ar-SA" w:eastAsia="en-US" w:val="en-US"/>
              </w:rPr>
            </w:r>
          </w:p>
        </w:tc>
        <w:tc>
          <w:tcPr>
            <w:tcW w:type="dxa" w:w="576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Difficulty:  Medium</w:t>
            </w:r>
          </w:p>
        </w:tc>
      </w:tr>
    </w:tbl>
    <w:p>
      <w:pPr>
        <w:pStyle w:val="style0"/>
        <w:widowControl w:val="false"/>
        <w:ind w:hanging="0" w:left="0" w:right="0"/>
        <w:jc w:val="left"/>
        <w:textAlignment w:val="auto"/>
      </w:pPr>
      <w:r>
        <w:rPr>
          <w:rFonts w:ascii="Times New Roman" w:cs="Times New Roman" w:eastAsia="Times New Roman" w:hAnsi="Times New Roman"/>
          <w:sz w:val="24"/>
          <w:szCs w:val="24"/>
          <w:lang w:bidi="ar-SA" w:eastAsia="en-US" w:val="en-US"/>
        </w:rPr>
      </w:r>
    </w:p>
    <w:p>
      <w:pPr>
        <w:pStyle w:val="style0"/>
        <w:keepNext/>
        <w:keepLines/>
        <w:widowControl w:val="false"/>
        <w:ind w:hanging="0" w:left="0" w:right="0"/>
        <w:jc w:val="right"/>
        <w:textAlignment w:val="auto"/>
      </w:pPr>
      <w:r>
        <w:rPr>
          <w:rFonts w:ascii="Times New Roman" w:eastAsia="Times New Roman" w:hAnsi="Times New Roman"/>
          <w:color w:val="000000"/>
          <w:sz w:val="24"/>
          <w:szCs w:val="24"/>
          <w:lang w:bidi="ar-SA" w:eastAsia="en-US" w:val="en-US"/>
        </w:rPr>
        <w:t>132.</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Kramer Company makes 4,000 units per year of a part called an axial tap for use in one of its products. Data concerning the unit production costs of the axial tap follow:</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tbl>
      <w:tblPr>
        <w:jc w:val="left"/>
        <w:tblInd w:type="dxa" w:w="0"/>
        <w:tblBorders>
          <w:top w:val="none"/>
          <w:left w:val="none"/>
          <w:bottom w:val="none"/>
          <w:insideH w:val="none"/>
          <w:right w:val="none"/>
          <w:insideV w:val="none"/>
        </w:tblBorders>
        <w:tblCellMar>
          <w:top w:type="dxa" w:w="0"/>
          <w:left w:type="dxa" w:w="0"/>
          <w:bottom w:type="dxa" w:w="0"/>
          <w:right w:type="dxa" w:w="0"/>
        </w:tblCellMar>
      </w:tblPr>
      <w:tblGrid>
        <w:gridCol w:w="1799"/>
        <w:gridCol w:w="1800"/>
        <w:gridCol w:w="7200"/>
      </w:tblGrid>
      <w:tr>
        <w:trPr>
          <w:cantSplit w:val="true"/>
        </w:trPr>
        <w:tc>
          <w:tcPr>
            <w:tcW w:type="dxa" w:w="1799"/>
            <w:gridSpan w:val="2"/>
            <w:tcBorders>
              <w:top w:val="none"/>
              <w:left w:val="none"/>
              <w:bottom w:val="none"/>
              <w:right w:val="none"/>
            </w:tcBorders>
            <w:shd w:fill="auto" w:val="clear"/>
          </w:tcPr>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Direct Materials</w:t>
            </w:r>
          </w:p>
        </w:tc>
        <w:tc>
          <w:tcPr>
            <w:tcW w:type="dxa" w:w="1800"/>
            <w:tcBorders>
              <w:top w:val="none"/>
              <w:left w:val="none"/>
              <w:bottom w:val="none"/>
              <w:right w:val="none"/>
            </w:tcBorders>
            <w:shd w:fill="auto" w:val="clear"/>
          </w:tcPr>
          <w:p>
            <w:pPr>
              <w:pStyle w:val="style0"/>
              <w:keepNext/>
              <w:keepLines/>
              <w:widowControl w:val="false"/>
              <w:ind w:hanging="0" w:left="0" w:right="0"/>
              <w:jc w:val="right"/>
              <w:textAlignment w:val="auto"/>
            </w:pPr>
            <w:r>
              <w:rPr>
                <w:rFonts w:ascii="Times New Roman" w:eastAsia="Times New Roman" w:hAnsi="Times New Roman"/>
                <w:sz w:val="24"/>
                <w:szCs w:val="24"/>
                <w:lang w:bidi="ar-SA" w:eastAsia="en-US" w:val="en-US"/>
              </w:rPr>
              <w:t>$35</w:t>
            </w:r>
          </w:p>
        </w:tc>
        <w:tc>
          <w:tcPr>
            <w:tcW w:type="dxa" w:w="7200"/>
            <w:gridSpan w:val="4"/>
            <w:tcBorders>
              <w:top w:val="none"/>
              <w:left w:val="none"/>
              <w:bottom w:val="none"/>
              <w:right w:val="none"/>
            </w:tcBorders>
            <w:shd w:fill="auto" w:val="clear"/>
          </w:tcPr>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Direct Labour</w:t>
            </w:r>
          </w:p>
        </w:tc>
      </w:tr>
      <w:tr>
        <w:trPr>
          <w:cantSplit w:val="true"/>
        </w:trPr>
        <w:tc>
          <w:tcPr>
            <w:tcW w:type="dxa" w:w="1799"/>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Ans:</w:t>
            </w:r>
          </w:p>
        </w:tc>
        <w:tc>
          <w:tcPr>
            <w:tcW w:type="dxa" w:w="180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a) The analysis of the alternatives follows below:</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drawing>
                <wp:inline distB="0" distL="0" distR="0" distT="0">
                  <wp:extent cx="3724275" cy="1400175"/>
                  <wp:effectExtent b="0" l="0" r="0" t="0"/>
                  <wp:docPr descr="" id="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 name="Picture"/>
                          <pic:cNvPicPr>
                            <a:picLocks noChangeArrowheads="1" noChangeAspect="1"/>
                          </pic:cNvPicPr>
                        </pic:nvPicPr>
                        <pic:blipFill>
                          <a:blip r:embed="rId10"/>
                          <a:srcRect/>
                          <a:stretch>
                            <a:fillRect/>
                          </a:stretch>
                        </pic:blipFill>
                        <pic:spPr bwMode="auto">
                          <a:xfrm>
                            <a:off x="0" y="0"/>
                            <a:ext cx="3724275" cy="1400175"/>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 40% x $20</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The company should make the part rather than buy it from the outside supplier because it costs $4 less under that alternative.</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b) The maximum acceptable price is $81 because that is the cost to the company of making the part itself when the opportunity cost is included:</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Total cost of making the part internally</w:t>
            </w:r>
          </w:p>
        </w:tc>
        <w:tc>
          <w:tcPr>
            <w:tcW w:type="dxa" w:w="180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eastAsia="Times New Roman" w:hAnsi="Times New Roman"/>
                <w:sz w:val="24"/>
                <w:szCs w:val="24"/>
                <w:lang w:bidi="ar-SA" w:eastAsia="en-US" w:val="en-US"/>
              </w:rPr>
              <w:t>$61</w:t>
            </w:r>
          </w:p>
        </w:tc>
        <w:tc>
          <w:tcPr>
            <w:tcW w:type="dxa" w:w="180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Opportunity cost per unit ($80,000 ÷ 4,000)</w:t>
            </w:r>
          </w:p>
        </w:tc>
        <w:tc>
          <w:tcPr>
            <w:tcW w:type="dxa" w:w="180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eastAsia="Times New Roman" w:hAnsi="Times New Roman"/>
                <w:sz w:val="24"/>
                <w:szCs w:val="24"/>
                <w:u w:val="single"/>
                <w:lang w:bidi="ar-SA" w:eastAsia="en-US" w:val="en-US"/>
              </w:rPr>
              <w:t>$20</w:t>
            </w:r>
          </w:p>
        </w:tc>
        <w:tc>
          <w:tcPr>
            <w:tcW w:type="dxa" w:w="1800"/>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Total</w:t>
            </w:r>
          </w:p>
        </w:tc>
      </w:tr>
      <w:tr>
        <w:trPr>
          <w:cantSplit w:val="true"/>
        </w:trPr>
        <w:tc>
          <w:tcPr>
            <w:tcW w:type="dxa" w:w="72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cs="Times New Roman" w:eastAsia="Times New Roman" w:hAnsi="Times New Roman"/>
                <w:sz w:val="24"/>
                <w:szCs w:val="24"/>
                <w:lang w:bidi="ar-SA" w:eastAsia="en-US" w:val="en-US"/>
              </w:rPr>
            </w:r>
          </w:p>
        </w:tc>
        <w:tc>
          <w:tcPr>
            <w:tcW w:type="dxa" w:w="10079"/>
            <w:gridSpan w:val="6"/>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Difficulty:  Hard</w:t>
            </w:r>
          </w:p>
        </w:tc>
      </w:tr>
    </w:tbl>
    <w:p>
      <w:pPr>
        <w:pStyle w:val="style0"/>
        <w:widowControl w:val="false"/>
        <w:ind w:hanging="0" w:left="0" w:right="0"/>
        <w:jc w:val="left"/>
        <w:textAlignment w:val="auto"/>
      </w:pPr>
      <w:r>
        <w:rPr>
          <w:rFonts w:ascii="Times New Roman" w:cs="Times New Roman" w:eastAsia="Times New Roman" w:hAnsi="Times New Roman"/>
          <w:sz w:val="24"/>
          <w:szCs w:val="24"/>
          <w:lang w:bidi="ar-SA" w:eastAsia="en-US" w:val="en-US"/>
        </w:rPr>
      </w:r>
    </w:p>
    <w:tbl>
      <w:tblPr>
        <w:jc w:val="left"/>
        <w:tblInd w:type="dxa" w:w="0"/>
        <w:tblBorders>
          <w:top w:val="none"/>
          <w:left w:val="none"/>
          <w:bottom w:val="none"/>
          <w:insideH w:val="none"/>
          <w:right w:val="none"/>
          <w:insideV w:val="none"/>
        </w:tblBorders>
        <w:tblCellMar>
          <w:top w:type="dxa" w:w="0"/>
          <w:left w:type="dxa" w:w="0"/>
          <w:bottom w:type="dxa" w:w="0"/>
          <w:right w:type="dxa" w:w="0"/>
        </w:tblCellMar>
      </w:tblPr>
      <w:tblGrid>
        <w:gridCol w:w="720"/>
        <w:gridCol w:w="10079"/>
      </w:tblGrid>
      <w:tr>
        <w:trPr>
          <w:cantSplit w:val="true"/>
        </w:trPr>
        <w:tc>
          <w:tcPr>
            <w:tcW w:type="dxa" w:w="720"/>
            <w:tcBorders>
              <w:top w:val="none"/>
              <w:left w:val="none"/>
              <w:bottom w:val="none"/>
              <w:right w:val="none"/>
            </w:tcBorders>
            <w:shd w:fill="auto" w:val="clear"/>
          </w:tcPr>
          <w:p>
            <w:pPr>
              <w:pStyle w:val="style0"/>
              <w:keepNext/>
              <w:keepLines/>
              <w:widowControl w:val="false"/>
              <w:ind w:hanging="0" w:left="0" w:right="0"/>
              <w:jc w:val="right"/>
              <w:textAlignment w:val="auto"/>
            </w:pPr>
            <w:r>
              <w:rPr>
                <w:rFonts w:ascii="Times New Roman" w:eastAsia="Times New Roman" w:hAnsi="Times New Roman"/>
                <w:color w:val="000000"/>
                <w:sz w:val="24"/>
                <w:szCs w:val="24"/>
                <w:lang w:bidi="ar-SA" w:eastAsia="en-US" w:val="en-US"/>
              </w:rPr>
              <w:t>134.</w:t>
            </w:r>
          </w:p>
        </w:tc>
        <w:tc>
          <w:tcPr>
            <w:tcW w:type="dxa" w:w="10079"/>
            <w:gridSpan w:val="2"/>
            <w:tcBorders>
              <w:top w:val="none"/>
              <w:left w:val="none"/>
              <w:bottom w:val="none"/>
              <w:right w:val="none"/>
            </w:tcBorders>
            <w:shd w:fill="auto" w:val="clear"/>
          </w:tcPr>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Holt Company makes three products in a single facility. Data concerning these products follow:</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drawing>
                <wp:inline distB="0" distL="0" distR="0" distT="0">
                  <wp:extent cx="4629150" cy="1638300"/>
                  <wp:effectExtent b="0" l="0" r="0" t="0"/>
                  <wp:docPr desc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 name="Picture"/>
                          <pic:cNvPicPr>
                            <a:picLocks noChangeArrowheads="1" noChangeAspect="1"/>
                          </pic:cNvPicPr>
                        </pic:nvPicPr>
                        <pic:blipFill>
                          <a:blip r:embed="rId11"/>
                          <a:srcRect/>
                          <a:stretch>
                            <a:fillRect/>
                          </a:stretch>
                        </pic:blipFill>
                        <pic:spPr bwMode="auto">
                          <a:xfrm>
                            <a:off x="0" y="0"/>
                            <a:ext cx="4629150" cy="1638300"/>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The mixing machines are potentially a constraint in the production facility. A total of 25,800 minutes are available per month on these machines.</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Direct labour is a variable cost in this company.</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Required:</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a) How many minutes of mixing machine time would be required to satisfy demand for all four products?</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b) How much of each product should be produced, rounded to the nearest whole unit, to maximize net operating income?</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c) Up to how much should the company be willing to pay, rounded to the nearest whole cent, for one additional hour of mixing machine time if the company has made the best use of the existing mixing machine capacity?</w:t>
            </w:r>
          </w:p>
        </w:tc>
      </w:tr>
      <w:tr>
        <w:trPr>
          <w:cantSplit w:val="true"/>
        </w:trPr>
        <w:tc>
          <w:tcPr>
            <w:tcW w:type="dxa" w:w="1304"/>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Ans:</w:t>
            </w:r>
          </w:p>
        </w:tc>
        <w:tc>
          <w:tcPr>
            <w:tcW w:type="dxa" w:w="9495"/>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a) Demand on the mixing machine:</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drawing>
                <wp:inline distB="0" distL="0" distR="0" distT="0">
                  <wp:extent cx="4610100" cy="885825"/>
                  <wp:effectExtent b="0" l="0" r="0" t="0"/>
                  <wp:docPr descr="" id="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 name="Picture"/>
                          <pic:cNvPicPr>
                            <a:picLocks noChangeArrowheads="1" noChangeAspect="1"/>
                          </pic:cNvPicPr>
                        </pic:nvPicPr>
                        <pic:blipFill>
                          <a:blip r:embed="rId12"/>
                          <a:srcRect/>
                          <a:stretch>
                            <a:fillRect/>
                          </a:stretch>
                        </pic:blipFill>
                        <pic:spPr bwMode="auto">
                          <a:xfrm>
                            <a:off x="0" y="0"/>
                            <a:ext cx="4610100" cy="885825"/>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Total time required for all products: 26,700 minutes</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b) Optimal production plan:</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drawing>
                <wp:inline distB="0" distL="0" distR="0" distT="0">
                  <wp:extent cx="4619625" cy="3238500"/>
                  <wp:effectExtent b="0" l="0" r="0" t="0"/>
                  <wp:docPr descr="" id="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 name="Picture"/>
                          <pic:cNvPicPr>
                            <a:picLocks noChangeArrowheads="1" noChangeAspect="1"/>
                          </pic:cNvPicPr>
                        </pic:nvPicPr>
                        <pic:blipFill>
                          <a:blip r:embed="rId13"/>
                          <a:srcRect/>
                          <a:stretch>
                            <a:fillRect/>
                          </a:stretch>
                        </pic:blipFill>
                        <pic:spPr bwMode="auto">
                          <a:xfrm>
                            <a:off x="0" y="0"/>
                            <a:ext cx="4619625" cy="3238500"/>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c) The company should be willing to pay up to the contribution margin per minute for the marginal job, which is $5.15.</w:t>
            </w:r>
          </w:p>
        </w:tc>
      </w:tr>
      <w:tr>
        <w:trPr>
          <w:cantSplit w:val="true"/>
        </w:trPr>
        <w:tc>
          <w:tcPr>
            <w:tcW w:type="dxa" w:w="72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cs="Times New Roman" w:eastAsia="Times New Roman" w:hAnsi="Times New Roman"/>
                <w:sz w:val="24"/>
                <w:szCs w:val="24"/>
                <w:lang w:bidi="ar-SA" w:eastAsia="en-US" w:val="en-US"/>
              </w:rPr>
            </w:r>
          </w:p>
        </w:tc>
        <w:tc>
          <w:tcPr>
            <w:tcW w:type="dxa" w:w="10079"/>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Difficulty:  Medium</w:t>
            </w:r>
          </w:p>
        </w:tc>
      </w:tr>
    </w:tbl>
    <w:p>
      <w:pPr>
        <w:pStyle w:val="style0"/>
        <w:widowControl w:val="false"/>
        <w:ind w:hanging="0" w:left="0" w:right="0"/>
        <w:jc w:val="left"/>
        <w:textAlignment w:val="auto"/>
      </w:pPr>
      <w:r>
        <w:rPr>
          <w:rFonts w:ascii="Times New Roman" w:cs="Times New Roman" w:eastAsia="Times New Roman" w:hAnsi="Times New Roman"/>
          <w:sz w:val="24"/>
          <w:szCs w:val="24"/>
          <w:lang w:bidi="ar-SA" w:eastAsia="en-US" w:val="en-US"/>
        </w:rPr>
      </w:r>
    </w:p>
    <w:tbl>
      <w:tblPr>
        <w:jc w:val="left"/>
        <w:tblInd w:type="dxa" w:w="0"/>
        <w:tblBorders>
          <w:top w:val="none"/>
          <w:left w:val="none"/>
          <w:bottom w:val="none"/>
          <w:insideH w:val="none"/>
          <w:right w:val="none"/>
          <w:insideV w:val="none"/>
        </w:tblBorders>
        <w:tblCellMar>
          <w:top w:type="dxa" w:w="0"/>
          <w:left w:type="dxa" w:w="0"/>
          <w:bottom w:type="dxa" w:w="0"/>
          <w:right w:type="dxa" w:w="0"/>
        </w:tblCellMar>
      </w:tblPr>
      <w:tblGrid>
        <w:gridCol w:w="720"/>
        <w:gridCol w:w="10079"/>
      </w:tblGrid>
      <w:tr>
        <w:trPr>
          <w:cantSplit w:val="true"/>
        </w:trPr>
        <w:tc>
          <w:tcPr>
            <w:tcW w:type="dxa" w:w="720"/>
            <w:tcBorders>
              <w:top w:val="none"/>
              <w:left w:val="none"/>
              <w:bottom w:val="none"/>
              <w:right w:val="none"/>
            </w:tcBorders>
            <w:shd w:fill="auto" w:val="clear"/>
          </w:tcPr>
          <w:p>
            <w:pPr>
              <w:pStyle w:val="style0"/>
              <w:keepNext/>
              <w:keepLines/>
              <w:widowControl w:val="false"/>
              <w:ind w:hanging="0" w:left="0" w:right="0"/>
              <w:jc w:val="right"/>
              <w:textAlignment w:val="auto"/>
            </w:pPr>
            <w:r>
              <w:rPr>
                <w:rFonts w:ascii="Times New Roman" w:eastAsia="Times New Roman" w:hAnsi="Times New Roman"/>
                <w:color w:val="000000"/>
                <w:sz w:val="24"/>
                <w:szCs w:val="24"/>
                <w:lang w:bidi="ar-SA" w:eastAsia="en-US" w:val="en-US"/>
              </w:rPr>
              <w:t>137.</w:t>
            </w:r>
          </w:p>
        </w:tc>
        <w:tc>
          <w:tcPr>
            <w:tcW w:type="dxa" w:w="10079"/>
            <w:gridSpan w:val="2"/>
            <w:tcBorders>
              <w:top w:val="none"/>
              <w:left w:val="none"/>
              <w:bottom w:val="none"/>
              <w:right w:val="none"/>
            </w:tcBorders>
            <w:shd w:fill="auto" w:val="clear"/>
          </w:tcPr>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Harris Corp. manufactures three products from a common input in a joint processing operation. Joint processing costs up to the split-off point total $200,000 per year. The company allocates these costs to the joint products on the basis of their total sales value at the split-off point. Each product may be sold at the split-off point or processed further. The additional processing costs and sales value after further processing for each product (on an annual basis) are:</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drawing>
                <wp:inline distB="0" distL="0" distR="0" distT="0">
                  <wp:extent cx="4324350" cy="1057275"/>
                  <wp:effectExtent b="0" l="0" r="0" t="0"/>
                  <wp:docPr descr="" id="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 name="Picture"/>
                          <pic:cNvPicPr>
                            <a:picLocks noChangeArrowheads="1" noChangeAspect="1"/>
                          </pic:cNvPicPr>
                        </pic:nvPicPr>
                        <pic:blipFill>
                          <a:blip r:embed="rId14"/>
                          <a:srcRect/>
                          <a:stretch>
                            <a:fillRect/>
                          </a:stretch>
                        </pic:blipFill>
                        <pic:spPr bwMode="auto">
                          <a:xfrm>
                            <a:off x="0" y="0"/>
                            <a:ext cx="4324350" cy="1057275"/>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The "Further Processing Costs" consist of variable and avoidable fixed costs.</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Required:</w:t>
            </w:r>
          </w:p>
          <w:p>
            <w:pPr>
              <w:pStyle w:val="style0"/>
              <w:keepNext/>
              <w:keepLines/>
              <w:widowControl w:val="false"/>
              <w:ind w:hanging="0" w:left="0" w:right="0"/>
              <w:jc w:val="left"/>
              <w:textAlignment w:val="auto"/>
            </w:pPr>
            <w:r>
              <w:rPr>
                <w:rFonts w:ascii="Times New Roman" w:eastAsia="Times New Roman" w:hAnsi="Times New Roman"/>
                <w:sz w:val="24"/>
                <w:szCs w:val="24"/>
                <w:lang w:bidi="ar-SA" w:eastAsia="en-US" w:val="en-US"/>
              </w:rPr>
              <w:t>Which product or products should be sold at the split-off point, and which product or products should be processed further? Show computations.</w:t>
            </w:r>
          </w:p>
        </w:tc>
      </w:tr>
      <w:tr>
        <w:trPr>
          <w:cantSplit w:val="true"/>
        </w:trPr>
        <w:tc>
          <w:tcPr>
            <w:tcW w:type="dxa" w:w="1304"/>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Ans:</w:t>
            </w:r>
          </w:p>
        </w:tc>
        <w:tc>
          <w:tcPr>
            <w:tcW w:type="dxa" w:w="9495"/>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drawing>
                <wp:inline distB="0" distL="0" distR="0" distT="0">
                  <wp:extent cx="4210050" cy="1752600"/>
                  <wp:effectExtent b="0" l="0" r="0" t="0"/>
                  <wp:docPr descr="" id="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1" name="Picture"/>
                          <pic:cNvPicPr>
                            <a:picLocks noChangeArrowheads="1" noChangeAspect="1"/>
                          </pic:cNvPicPr>
                        </pic:nvPicPr>
                        <pic:blipFill>
                          <a:blip r:embed="rId15"/>
                          <a:srcRect/>
                          <a:stretch>
                            <a:fillRect/>
                          </a:stretch>
                        </pic:blipFill>
                        <pic:spPr bwMode="auto">
                          <a:xfrm>
                            <a:off x="0" y="0"/>
                            <a:ext cx="4210050" cy="1752600"/>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bidi="ar-SA" w:eastAsia="en-US" w:val="en-US"/>
              </w:rPr>
              <w:t xml:space="preserve"> </w:t>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r>
          </w:p>
          <w:p>
            <w:pPr>
              <w:pStyle w:val="style0"/>
              <w:widowControl w:val="false"/>
              <w:spacing w:line="276" w:lineRule="auto"/>
              <w:ind w:hanging="0" w:left="0" w:right="0"/>
              <w:jc w:val="left"/>
              <w:textAlignment w:val="auto"/>
            </w:pPr>
            <w:r>
              <w:rPr>
                <w:rFonts w:ascii="Times New Roman" w:eastAsia="Times New Roman" w:hAnsi="Times New Roman"/>
                <w:sz w:val="24"/>
                <w:szCs w:val="24"/>
                <w:lang w:bidi="ar-SA" w:eastAsia="en-US" w:val="en-US"/>
              </w:rPr>
              <w:t>Product K should be sold after further processing beyond the split-off point. Products J and L should be sold at the split-off point without any further processing.</w:t>
            </w:r>
          </w:p>
        </w:tc>
      </w:tr>
      <w:tr>
        <w:trPr>
          <w:cantSplit w:val="true"/>
        </w:trPr>
        <w:tc>
          <w:tcPr>
            <w:tcW w:type="dxa" w:w="720"/>
            <w:tcBorders>
              <w:top w:val="none"/>
              <w:left w:val="none"/>
              <w:bottom w:val="none"/>
              <w:right w:val="none"/>
            </w:tcBorders>
            <w:shd w:fill="auto" w:val="clear"/>
          </w:tcPr>
          <w:p>
            <w:pPr>
              <w:pStyle w:val="style0"/>
              <w:widowControl w:val="false"/>
              <w:spacing w:line="276" w:lineRule="auto"/>
              <w:ind w:hanging="0" w:left="0" w:right="0"/>
              <w:jc w:val="right"/>
              <w:textAlignment w:val="auto"/>
            </w:pPr>
            <w:r>
              <w:rPr>
                <w:rFonts w:ascii="Times New Roman" w:cs="Times New Roman" w:eastAsia="Times New Roman" w:hAnsi="Times New Roman"/>
                <w:sz w:val="24"/>
                <w:szCs w:val="24"/>
                <w:lang w:bidi="ar-SA" w:eastAsia="en-US" w:val="en-US"/>
              </w:rPr>
            </w:r>
          </w:p>
        </w:tc>
        <w:tc>
          <w:tcPr>
            <w:tcW w:type="dxa" w:w="10079"/>
            <w:gridSpan w:val="2"/>
            <w:tcBorders>
              <w:top w:val="none"/>
              <w:left w:val="none"/>
              <w:bottom w:val="none"/>
              <w:right w:val="none"/>
            </w:tcBorders>
            <w:shd w:fill="auto" w:val="clear"/>
          </w:tcPr>
          <w:p>
            <w:pPr>
              <w:pStyle w:val="style0"/>
              <w:widowControl w:val="false"/>
              <w:spacing w:line="276" w:lineRule="auto"/>
              <w:ind w:hanging="0" w:left="0" w:right="0"/>
              <w:jc w:val="left"/>
              <w:textAlignment w:val="auto"/>
            </w:pPr>
            <w:r>
              <w:rPr>
                <w:rFonts w:ascii="Times New Roman" w:eastAsia="Times New Roman" w:hAnsi="Times New Roman"/>
                <w:color w:val="000000"/>
                <w:sz w:val="24"/>
                <w:szCs w:val="24"/>
                <w:lang w:bidi="ar-SA" w:eastAsia="en-US" w:val="en-US"/>
              </w:rPr>
              <w:t>Difficulty:  Medium</w:t>
            </w:r>
          </w:p>
        </w:tc>
      </w:tr>
    </w:tbl>
    <w:p>
      <w:pPr>
        <w:pStyle w:val="style0"/>
        <w:widowControl w:val="false"/>
        <w:ind w:hanging="0" w:left="0" w:right="0"/>
        <w:jc w:val="left"/>
        <w:textAlignment w:val="auto"/>
      </w:pPr>
      <w:r>
        <w:rPr/>
      </w:r>
    </w:p>
    <w:sectPr>
      <w:headerReference r:id="rId16" w:type="first"/>
      <w:footerReference r:id="rId17" w:type="first"/>
      <w:type w:val="nextPage"/>
      <w:pgSz w:h="15840" w:w="12240"/>
      <w:pgMar w:bottom="777" w:footer="720" w:gutter="0" w:header="720" w:left="720" w:right="720" w:top="1440"/>
      <w:pgNumType w:fmt="decimal"/>
      <w:formProt w:val="false"/>
      <w:titlePg/>
      <w:textDirection w:val="lrTb"/>
      <w:docGrid w:charSpace="0" w:linePitch="24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0"/>
      <w:widowControl w:val="false"/>
      <w:ind w:hanging="0" w:left="0" w:right="0"/>
      <w:jc w:val="center"/>
      <w:textAlignment w:val="auto"/>
    </w:pPr>
    <w:r>
      <w:rPr>
        <w:rFonts w:ascii="Times New Roman" w:eastAsia="Times New Roman" w:hAnsi="Times New Roman"/>
        <w:color w:val="000000"/>
        <w:sz w:val="19"/>
        <w:szCs w:val="19"/>
        <w:lang w:bidi="ar-SA" w:eastAsia="en-US" w:val="en-US"/>
      </w:rPr>
      <w:t xml:space="preserve">Page </w:t>
    </w:r>
    <w:r>
      <w:rPr>
        <w:rFonts w:ascii="Times New Roman" w:eastAsia="Times New Roman" w:hAnsi="Times New Roman"/>
        <w:color w:val="000000"/>
        <w:sz w:val="19"/>
        <w:szCs w:val="19"/>
        <w:lang w:bidi="ar-SA" w:eastAsia="en-US" w:val="en-US"/>
      </w:rPr>
      <w:fldChar w:fldCharType="begin"/>
    </w:r>
    <w:r>
      <w:instrText> PAGE </w:instrText>
    </w:r>
    <w:r>
      <w:fldChar w:fldCharType="separate"/>
    </w:r>
    <w:r>
      <w:t>1</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0"/>
      <w:widowControl w:val="false"/>
      <w:ind w:hanging="0" w:left="0" w:right="0"/>
      <w:jc w:val="center"/>
      <w:textAlignment w:val="auto"/>
    </w:pPr>
    <w:r>
      <w:rPr>
        <w:rFonts w:ascii="Times New Roman" w:eastAsia="Times New Roman" w:hAnsi="Times New Roman"/>
        <w:color w:val="000000"/>
        <w:sz w:val="19"/>
        <w:szCs w:val="19"/>
        <w:lang w:bidi="ar-SA" w:eastAsia="en-US" w:val="en-US"/>
      </w:rPr>
      <w:t xml:space="preserve">Page </w:t>
    </w:r>
    <w:r>
      <w:rPr>
        <w:rFonts w:ascii="Times New Roman" w:eastAsia="Times New Roman" w:hAnsi="Times New Roman"/>
        <w:color w:val="000000"/>
        <w:sz w:val="19"/>
        <w:szCs w:val="19"/>
        <w:lang w:bidi="ar-SA" w:eastAsia="en-US" w:val="en-US"/>
      </w:rPr>
      <w:fldChar w:fldCharType="begin"/>
    </w:r>
    <w:r>
      <w:instrText> PAGE </w:instrText>
    </w:r>
    <w:r>
      <w:fldChar w:fldCharType="separate"/>
    </w:r>
    <w:r>
      <w:t>1</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0"/>
      <w:widowControl w:val="false"/>
      <w:ind w:hanging="0" w:left="0" w:right="0"/>
      <w:jc w:val="center"/>
      <w:textAlignment w:val="auto"/>
    </w:pPr>
    <w:r>
      <w:rPr>
        <w:rFonts w:ascii="Times New Roman" w:eastAsia="Times New Roman" w:hAnsi="Times New Roman"/>
        <w:color w:val="000000"/>
        <w:sz w:val="19"/>
        <w:szCs w:val="19"/>
        <w:lang w:bidi="ar-SA" w:eastAsia="en-US" w:val="en-US"/>
      </w:rPr>
      <w:t>Chapter 12, Relevant Costs for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0"/>
      <w:widowControl w:val="false"/>
      <w:ind w:hanging="0" w:left="0" w:right="0"/>
      <w:jc w:val="center"/>
      <w:textAlignment w:val="auto"/>
    </w:pPr>
    <w:r>
      <w:rPr>
        <w:rFonts w:ascii="Times New Roman" w:eastAsia="Times New Roman" w:hAnsi="Times New Roman"/>
        <w:color w:val="000000"/>
        <w:sz w:val="19"/>
        <w:szCs w:val="19"/>
        <w:lang w:bidi="ar-SA" w:eastAsia="en-US" w:val="en-US"/>
      </w:rPr>
      <w:t>Chapter 12, Relevant Costs for ...</w:t>
    </w:r>
  </w:p>
</w:hdr>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w:style w:styleId="style0" w:type="paragraph">
    <w:name w:val="Normal"/>
    <w:next w:val="style0"/>
    <w:pPr>
      <w:widowControl w:val="false"/>
      <w:suppressAutoHyphens w:val="true"/>
    </w:pPr>
    <w:rPr>
      <w:rFonts w:ascii="Times New Roman" w:cs="Mangal" w:eastAsia="SimSun" w:hAnsi="Times New Roman"/>
      <w:color w:val="auto"/>
      <w:sz w:val="24"/>
      <w:szCs w:val="24"/>
      <w:lang w:bidi="hi-IN" w:eastAsia="zh-CN" w:val="en-US"/>
    </w:rPr>
  </w:style>
  <w:style w:styleId="style15" w:type="character">
    <w:name w:val="Default Paragraph Font"/>
    <w:next w:val="style15"/>
    <w:rPr/>
  </w:style>
  <w:style w:styleId="style16" w:type="character">
    <w:name w:val="En-tête Car"/>
    <w:basedOn w:val="style15"/>
    <w:next w:val="style16"/>
    <w:rPr>
      <w:rFonts w:ascii="Times New Roman" w:cs="Times New Roman" w:hAnsi="Times New Roman"/>
      <w:sz w:val="24"/>
      <w:szCs w:val="24"/>
    </w:rPr>
  </w:style>
  <w:style w:styleId="style17" w:type="character">
    <w:name w:val="Pied de page Car"/>
    <w:basedOn w:val="style15"/>
    <w:next w:val="style17"/>
    <w:rPr>
      <w:rFonts w:ascii="Times New Roman" w:cs="Times New Roman" w:hAnsi="Times New Roman"/>
      <w:sz w:val="24"/>
      <w:szCs w:val="24"/>
    </w:rPr>
  </w:style>
  <w:style w:styleId="style18" w:type="paragraph">
    <w:name w:val="Heading"/>
    <w:basedOn w:val="style0"/>
    <w:next w:val="style19"/>
    <w:pPr>
      <w:keepNext/>
      <w:spacing w:after="120" w:before="240"/>
      <w:contextualSpacing w:val="false"/>
    </w:pPr>
    <w:rPr>
      <w:rFonts w:ascii="Arial" w:cs="Mangal" w:eastAsia="Microsoft YaHei" w:hAnsi="Arial"/>
      <w:sz w:val="28"/>
      <w:szCs w:val="28"/>
    </w:rPr>
  </w:style>
  <w:style w:styleId="style19" w:type="paragraph">
    <w:name w:val="Text Body"/>
    <w:basedOn w:val="style0"/>
    <w:next w:val="style19"/>
    <w:pPr>
      <w:spacing w:after="120" w:before="0"/>
      <w:contextualSpacing w:val="false"/>
    </w:pPr>
    <w:rPr/>
  </w:style>
  <w:style w:styleId="style20" w:type="paragraph">
    <w:name w:val="List"/>
    <w:basedOn w:val="style19"/>
    <w:next w:val="style20"/>
    <w:pPr/>
    <w:rPr>
      <w:rFonts w:cs="Mangal"/>
    </w:rPr>
  </w:style>
  <w:style w:styleId="style21" w:type="paragraph">
    <w:name w:val="Caption"/>
    <w:basedOn w:val="style0"/>
    <w:next w:val="style21"/>
    <w:pPr>
      <w:suppressLineNumbers/>
      <w:spacing w:after="120" w:before="120"/>
      <w:contextualSpacing w:val="false"/>
    </w:pPr>
    <w:rPr>
      <w:rFonts w:cs="Mangal"/>
      <w:i/>
      <w:iCs/>
      <w:sz w:val="24"/>
      <w:szCs w:val="24"/>
    </w:rPr>
  </w:style>
  <w:style w:styleId="style22" w:type="paragraph">
    <w:name w:val="Index"/>
    <w:basedOn w:val="style0"/>
    <w:next w:val="style22"/>
    <w:pPr>
      <w:suppressLineNumbers/>
    </w:pPr>
    <w:rPr>
      <w:rFonts w:cs="Mangal"/>
    </w:rPr>
  </w:style>
  <w:style w:styleId="style23" w:type="paragraph">
    <w:name w:val="Header"/>
    <w:basedOn w:val="style0"/>
    <w:next w:val="style23"/>
    <w:pPr>
      <w:widowControl w:val="false"/>
      <w:suppressLineNumbers/>
      <w:tabs>
        <w:tab w:leader="none" w:pos="4320" w:val="center"/>
        <w:tab w:leader="none" w:pos="8640" w:val="right"/>
      </w:tabs>
      <w:ind w:hanging="0" w:left="0" w:right="0"/>
      <w:jc w:val="left"/>
      <w:textAlignment w:val="auto"/>
    </w:pPr>
    <w:rPr>
      <w:rFonts w:ascii="Times New Roman" w:eastAsia="Times New Roman" w:hAnsi="Times New Roman"/>
      <w:sz w:val="24"/>
      <w:szCs w:val="24"/>
      <w:lang w:bidi="ar-SA" w:eastAsia="en-US" w:val="en-US"/>
    </w:rPr>
  </w:style>
  <w:style w:styleId="style24" w:type="paragraph">
    <w:name w:val="Footer"/>
    <w:basedOn w:val="style0"/>
    <w:next w:val="style24"/>
    <w:pPr>
      <w:widowControl w:val="false"/>
      <w:suppressLineNumbers/>
      <w:tabs>
        <w:tab w:leader="none" w:pos="4320" w:val="center"/>
        <w:tab w:leader="none" w:pos="8640" w:val="right"/>
      </w:tabs>
      <w:ind w:hanging="0" w:left="0" w:right="0"/>
      <w:jc w:val="left"/>
      <w:textAlignment w:val="auto"/>
    </w:pPr>
    <w:rPr>
      <w:rFonts w:ascii="Times New Roman" w:eastAsia="Times New Roman" w:hAnsi="Times New Roman"/>
      <w:sz w:val="24"/>
      <w:szCs w:val="24"/>
      <w:lang w:bidi="ar-SA" w:eastAsia="en-US"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header" Target="header2.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2013-07-09T13:14:00.00Z</dcterms:created>
  <dc:creator>Ressources Informatiques</dc:creator>
  <dcterms:modified xsi:type="dcterms:W3CDTF">2013-07-09T13:18:00.00Z</dcterms:modified>
  <cp:revision>3</cp:revision>
</cp:coreProperties>
</file>