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600" w:rsidRPr="00740815" w:rsidRDefault="003A1600" w:rsidP="003A1600">
      <w:pPr>
        <w:spacing w:after="0"/>
        <w:jc w:val="center"/>
        <w:rPr>
          <w:rFonts w:ascii="Century Gothic" w:hAnsi="Century Gothic"/>
          <w:bCs/>
        </w:rPr>
      </w:pPr>
      <w:r w:rsidRPr="00740815">
        <w:rPr>
          <w:rFonts w:ascii="Century Gothic" w:hAnsi="Century Gothic"/>
          <w:bCs/>
        </w:rPr>
        <w:t>ACC2311 Final Exam</w:t>
      </w:r>
    </w:p>
    <w:p w:rsidR="003A1600" w:rsidRPr="00740815" w:rsidRDefault="003A1600" w:rsidP="00CD233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Century Gothic" w:eastAsia="Times New Roman" w:hAnsi="Century Gothic" w:cs="Times New Roman"/>
        </w:rPr>
      </w:pPr>
      <w:r w:rsidRPr="003A1600">
        <w:rPr>
          <w:rFonts w:ascii="Century Gothic" w:eastAsia="Times New Roman" w:hAnsi="Century Gothic" w:cs="Times New Roman"/>
        </w:rPr>
        <w:t xml:space="preserve">As a reminder, </w:t>
      </w:r>
      <w:r w:rsidR="00CD2333" w:rsidRPr="00740815">
        <w:rPr>
          <w:rFonts w:ascii="Century Gothic" w:eastAsia="Times New Roman" w:hAnsi="Century Gothic" w:cs="Times New Roman"/>
          <w:shd w:val="clear" w:color="auto" w:fill="FFFF00"/>
        </w:rPr>
        <w:t>the</w:t>
      </w:r>
      <w:r w:rsidRPr="003A1600">
        <w:rPr>
          <w:rFonts w:ascii="Century Gothic" w:eastAsia="Times New Roman" w:hAnsi="Century Gothic" w:cs="Times New Roman"/>
          <w:shd w:val="clear" w:color="auto" w:fill="FFFF00"/>
        </w:rPr>
        <w:t xml:space="preserve"> exam will cover ALL chapters.</w:t>
      </w:r>
      <w:r w:rsidRPr="003A1600">
        <w:rPr>
          <w:rFonts w:ascii="Century Gothic" w:eastAsia="Times New Roman" w:hAnsi="Century Gothic" w:cs="Times New Roman"/>
        </w:rPr>
        <w:t xml:space="preserve">  You may bring a pencil, eraser and </w:t>
      </w:r>
      <w:r w:rsidR="00CD2333" w:rsidRPr="00740815">
        <w:rPr>
          <w:rFonts w:ascii="Century Gothic" w:eastAsia="Times New Roman" w:hAnsi="Century Gothic" w:cs="Times New Roman"/>
        </w:rPr>
        <w:t>non-programmable</w:t>
      </w:r>
      <w:r w:rsidRPr="003A1600">
        <w:rPr>
          <w:rFonts w:ascii="Century Gothic" w:eastAsia="Times New Roman" w:hAnsi="Century Gothic" w:cs="Times New Roman"/>
        </w:rPr>
        <w:t xml:space="preserve"> calculator.  You must have proper ID. As to the section on budgets, no you will not be provided with templates rather you must know how to </w:t>
      </w:r>
      <w:r w:rsidR="00CD2333" w:rsidRPr="00740815">
        <w:rPr>
          <w:rFonts w:ascii="Century Gothic" w:eastAsia="Times New Roman" w:hAnsi="Century Gothic" w:cs="Times New Roman"/>
        </w:rPr>
        <w:t>construct</w:t>
      </w:r>
      <w:r w:rsidRPr="003A1600">
        <w:rPr>
          <w:rFonts w:ascii="Century Gothic" w:eastAsia="Times New Roman" w:hAnsi="Century Gothic" w:cs="Times New Roman"/>
        </w:rPr>
        <w:t xml:space="preserve"> the appropriate budget.</w:t>
      </w:r>
    </w:p>
    <w:p w:rsidR="00A766E0" w:rsidRPr="00740815" w:rsidRDefault="00A766E0" w:rsidP="00A766E0">
      <w:pPr>
        <w:spacing w:after="0"/>
        <w:rPr>
          <w:rFonts w:ascii="Century Gothic" w:hAnsi="Century Gothic"/>
        </w:rPr>
      </w:pPr>
      <w:r w:rsidRPr="00740815">
        <w:rPr>
          <w:rFonts w:ascii="Century Gothic" w:hAnsi="Century Gothic"/>
          <w:bCs/>
        </w:rPr>
        <w:t> LESSON NOTES</w:t>
      </w:r>
    </w:p>
    <w:p w:rsidR="00A766E0" w:rsidRPr="00740815" w:rsidRDefault="00A766E0" w:rsidP="00A766E0">
      <w:pPr>
        <w:spacing w:after="0"/>
        <w:rPr>
          <w:rFonts w:ascii="Century Gothic" w:hAnsi="Century Gothic"/>
          <w:bCs/>
        </w:rPr>
      </w:pPr>
      <w:r w:rsidRPr="00740815">
        <w:rPr>
          <w:rFonts w:ascii="Century Gothic" w:hAnsi="Century Gothic"/>
          <w:bCs/>
        </w:rPr>
        <w:t> Recording Merchandise Transactions</w:t>
      </w:r>
    </w:p>
    <w:p w:rsidR="00740815" w:rsidRPr="00740815" w:rsidRDefault="00740815" w:rsidP="00A766E0">
      <w:pPr>
        <w:spacing w:after="0"/>
        <w:rPr>
          <w:rFonts w:ascii="Century Gothic" w:hAnsi="Century Gothic"/>
        </w:rPr>
      </w:pPr>
    </w:p>
    <w:p w:rsidR="00A766E0" w:rsidRPr="00740815" w:rsidRDefault="00A766E0" w:rsidP="00A766E0">
      <w:pPr>
        <w:spacing w:after="0"/>
        <w:rPr>
          <w:rFonts w:ascii="Century Gothic" w:hAnsi="Century Gothic"/>
        </w:rPr>
      </w:pPr>
      <w:r w:rsidRPr="00740815">
        <w:rPr>
          <w:rFonts w:ascii="Century Gothic" w:hAnsi="Century Gothic"/>
        </w:rPr>
        <w:t>Recording Sales and Purchases of Merchandise using a Periodic Inventory System:</w:t>
      </w:r>
    </w:p>
    <w:p w:rsidR="00A766E0" w:rsidRPr="00740815" w:rsidRDefault="00A766E0" w:rsidP="00A766E0">
      <w:pPr>
        <w:spacing w:after="0"/>
        <w:rPr>
          <w:rFonts w:ascii="Century Gothic" w:hAnsi="Century Gothic"/>
        </w:rPr>
      </w:pPr>
      <w:r w:rsidRPr="00740815">
        <w:rPr>
          <w:rFonts w:ascii="Century Gothic" w:hAnsi="Century Gothic"/>
        </w:rPr>
        <w:t xml:space="preserve">As with sales made under a perpetual accounting system, sales are recorded as a credit to the </w:t>
      </w:r>
      <w:r w:rsidRPr="00740815">
        <w:rPr>
          <w:rFonts w:ascii="Century Gothic" w:hAnsi="Century Gothic"/>
          <w:bCs/>
        </w:rPr>
        <w:t>sales</w:t>
      </w:r>
      <w:r w:rsidRPr="00740815">
        <w:rPr>
          <w:rFonts w:ascii="Century Gothic" w:hAnsi="Century Gothic"/>
        </w:rPr>
        <w:t xml:space="preserve"> account and a debit to either cash or </w:t>
      </w:r>
      <w:r w:rsidRPr="00740815">
        <w:rPr>
          <w:rFonts w:ascii="Century Gothic" w:hAnsi="Century Gothic"/>
          <w:bCs/>
        </w:rPr>
        <w:t>accounts receivable</w:t>
      </w:r>
      <w:r w:rsidRPr="00740815">
        <w:rPr>
          <w:rFonts w:ascii="Century Gothic" w:hAnsi="Century Gothic"/>
        </w:rPr>
        <w:t>, but unlike the perpetual inventory system, the cost of the merchandise sold is not recorded until the end of the accounting cycle.</w:t>
      </w:r>
    </w:p>
    <w:p w:rsidR="00A766E0" w:rsidRPr="00740815" w:rsidRDefault="00A766E0" w:rsidP="00A766E0">
      <w:pPr>
        <w:spacing w:after="0"/>
        <w:rPr>
          <w:rFonts w:ascii="Century Gothic" w:hAnsi="Century Gothic"/>
        </w:rPr>
      </w:pPr>
      <w:r w:rsidRPr="00740815">
        <w:rPr>
          <w:rFonts w:ascii="Century Gothic" w:hAnsi="Century Gothic"/>
        </w:rPr>
        <w:t xml:space="preserve"> To recording a sales return requires a debit to </w:t>
      </w:r>
      <w:r w:rsidRPr="00740815">
        <w:rPr>
          <w:rFonts w:ascii="Century Gothic" w:hAnsi="Century Gothic"/>
          <w:bCs/>
        </w:rPr>
        <w:t>Sales Returns and Allowances</w:t>
      </w:r>
      <w:r w:rsidRPr="00740815">
        <w:rPr>
          <w:rFonts w:ascii="Century Gothic" w:hAnsi="Century Gothic"/>
        </w:rPr>
        <w:t xml:space="preserve">, and a credit to Cash or </w:t>
      </w:r>
      <w:r w:rsidRPr="00740815">
        <w:rPr>
          <w:rFonts w:ascii="Century Gothic" w:hAnsi="Century Gothic"/>
          <w:bCs/>
        </w:rPr>
        <w:t>Accounts Receivable</w:t>
      </w:r>
      <w:r w:rsidRPr="00740815">
        <w:rPr>
          <w:rFonts w:ascii="Century Gothic" w:hAnsi="Century Gothic"/>
        </w:rPr>
        <w:t>.</w:t>
      </w:r>
    </w:p>
    <w:p w:rsidR="00740815" w:rsidRDefault="00740815" w:rsidP="00A766E0">
      <w:pPr>
        <w:spacing w:after="0"/>
        <w:rPr>
          <w:rFonts w:ascii="Century Gothic" w:hAnsi="Century Gothic"/>
        </w:rPr>
      </w:pPr>
    </w:p>
    <w:p w:rsidR="00A766E0" w:rsidRPr="00740815" w:rsidRDefault="00A766E0" w:rsidP="00A766E0">
      <w:pPr>
        <w:spacing w:after="0"/>
        <w:rPr>
          <w:rFonts w:ascii="Century Gothic" w:hAnsi="Century Gothic"/>
        </w:rPr>
      </w:pPr>
      <w:bookmarkStart w:id="0" w:name="_GoBack"/>
      <w:bookmarkEnd w:id="0"/>
      <w:r w:rsidRPr="00740815">
        <w:rPr>
          <w:rFonts w:ascii="Century Gothic" w:hAnsi="Century Gothic"/>
        </w:rPr>
        <w:t xml:space="preserve">When items are bought for resale purposes then the cost is recorded as a debit in a temporary account called </w:t>
      </w:r>
      <w:r w:rsidRPr="00740815">
        <w:rPr>
          <w:rFonts w:ascii="Century Gothic" w:hAnsi="Century Gothic"/>
          <w:bCs/>
        </w:rPr>
        <w:t>Purchases</w:t>
      </w:r>
      <w:r w:rsidRPr="00740815">
        <w:rPr>
          <w:rFonts w:ascii="Century Gothic" w:hAnsi="Century Gothic"/>
        </w:rPr>
        <w:t xml:space="preserve"> and credited to either cash or </w:t>
      </w:r>
      <w:r w:rsidRPr="00740815">
        <w:rPr>
          <w:rFonts w:ascii="Century Gothic" w:hAnsi="Century Gothic"/>
          <w:bCs/>
        </w:rPr>
        <w:t>Accounts Paya</w:t>
      </w:r>
      <w:r w:rsidRPr="00740815">
        <w:rPr>
          <w:rFonts w:ascii="Century Gothic" w:hAnsi="Century Gothic"/>
        </w:rPr>
        <w:t>ble.</w:t>
      </w:r>
    </w:p>
    <w:p w:rsidR="00A766E0" w:rsidRPr="00740815" w:rsidRDefault="00A766E0" w:rsidP="00A766E0">
      <w:pPr>
        <w:spacing w:after="0"/>
        <w:rPr>
          <w:rFonts w:ascii="Century Gothic" w:hAnsi="Century Gothic"/>
        </w:rPr>
      </w:pPr>
      <w:r w:rsidRPr="00740815">
        <w:rPr>
          <w:rFonts w:ascii="Century Gothic" w:hAnsi="Century Gothic"/>
        </w:rPr>
        <w:t xml:space="preserve">Remember that purchases of items to be consumed by the company, like office supplies are </w:t>
      </w:r>
      <w:r w:rsidRPr="00740815">
        <w:rPr>
          <w:rFonts w:ascii="Century Gothic" w:hAnsi="Century Gothic"/>
          <w:bCs/>
        </w:rPr>
        <w:t>NOT</w:t>
      </w:r>
      <w:r w:rsidRPr="00740815">
        <w:rPr>
          <w:rFonts w:ascii="Century Gothic" w:hAnsi="Century Gothic"/>
        </w:rPr>
        <w:t xml:space="preserve"> recorded as purchases but rather are debited to the office supplies account.  This is a current asset on the balance sheet.</w:t>
      </w:r>
      <w:r w:rsidRPr="00740815">
        <w:rPr>
          <w:rFonts w:ascii="Century Gothic" w:hAnsi="Century Gothic"/>
        </w:rPr>
        <w:br/>
        <w:t xml:space="preserve">If the purchase of merchandise requires that Freight be paid by the purchaser then the </w:t>
      </w:r>
      <w:proofErr w:type="spellStart"/>
      <w:r w:rsidRPr="00740815">
        <w:rPr>
          <w:rFonts w:ascii="Century Gothic" w:hAnsi="Century Gothic"/>
        </w:rPr>
        <w:t>chareges</w:t>
      </w:r>
      <w:proofErr w:type="spellEnd"/>
      <w:r w:rsidRPr="00740815">
        <w:rPr>
          <w:rFonts w:ascii="Century Gothic" w:hAnsi="Century Gothic"/>
        </w:rPr>
        <w:t xml:space="preserve"> are debited to another temporary account, </w:t>
      </w:r>
      <w:r w:rsidRPr="00740815">
        <w:rPr>
          <w:rFonts w:ascii="Century Gothic" w:hAnsi="Century Gothic"/>
          <w:bCs/>
        </w:rPr>
        <w:t xml:space="preserve">Freight </w:t>
      </w:r>
      <w:proofErr w:type="gramStart"/>
      <w:r w:rsidRPr="00740815">
        <w:rPr>
          <w:rFonts w:ascii="Century Gothic" w:hAnsi="Century Gothic"/>
          <w:bCs/>
        </w:rPr>
        <w:t>In</w:t>
      </w:r>
      <w:r w:rsidRPr="00740815">
        <w:rPr>
          <w:rFonts w:ascii="Century Gothic" w:hAnsi="Century Gothic"/>
        </w:rPr>
        <w:t xml:space="preserve"> </w:t>
      </w:r>
      <w:r w:rsidRPr="00740815">
        <w:rPr>
          <w:rFonts w:ascii="Century Gothic" w:hAnsi="Century Gothic"/>
          <w:bCs/>
        </w:rPr>
        <w:t>.</w:t>
      </w:r>
      <w:r w:rsidRPr="00740815">
        <w:rPr>
          <w:rFonts w:ascii="Century Gothic" w:hAnsi="Century Gothic"/>
        </w:rPr>
        <w:t> </w:t>
      </w:r>
      <w:proofErr w:type="gramEnd"/>
      <w:r w:rsidRPr="00740815">
        <w:rPr>
          <w:rFonts w:ascii="Century Gothic" w:hAnsi="Century Gothic"/>
        </w:rPr>
        <w:t xml:space="preserve"> If purchased goods are returned, </w:t>
      </w:r>
      <w:r w:rsidRPr="00740815">
        <w:rPr>
          <w:rFonts w:ascii="Century Gothic" w:hAnsi="Century Gothic"/>
          <w:bCs/>
        </w:rPr>
        <w:t>Purchase Returns and Allowances</w:t>
      </w:r>
      <w:r w:rsidRPr="00740815">
        <w:rPr>
          <w:rFonts w:ascii="Century Gothic" w:hAnsi="Century Gothic"/>
        </w:rPr>
        <w:t xml:space="preserve"> will be credited and </w:t>
      </w:r>
      <w:r w:rsidRPr="00740815">
        <w:rPr>
          <w:rFonts w:ascii="Century Gothic" w:hAnsi="Century Gothic"/>
          <w:bCs/>
        </w:rPr>
        <w:t>Accounts Payable</w:t>
      </w:r>
      <w:r w:rsidRPr="00740815">
        <w:rPr>
          <w:rFonts w:ascii="Century Gothic" w:hAnsi="Century Gothic"/>
        </w:rPr>
        <w:t xml:space="preserve"> debited. This is another temporary account that is reflected in the costs of goods sold as a contra account, reducing the value of the purchases when computing the net purchases.</w:t>
      </w:r>
    </w:p>
    <w:p w:rsidR="00A766E0" w:rsidRPr="00740815" w:rsidRDefault="00A766E0" w:rsidP="00A766E0">
      <w:pPr>
        <w:spacing w:after="0"/>
        <w:rPr>
          <w:rFonts w:ascii="Century Gothic" w:hAnsi="Century Gothic"/>
        </w:rPr>
      </w:pPr>
      <w:r w:rsidRPr="00740815">
        <w:rPr>
          <w:rFonts w:ascii="Century Gothic" w:hAnsi="Century Gothic"/>
          <w:bCs/>
        </w:rPr>
        <w:t>Multiple-Step Income Statement- Cost of Goods Sold Section</w:t>
      </w:r>
    </w:p>
    <w:p w:rsidR="00A766E0" w:rsidRPr="00740815" w:rsidRDefault="00A766E0" w:rsidP="00A766E0">
      <w:pPr>
        <w:spacing w:after="0"/>
        <w:rPr>
          <w:rFonts w:ascii="Century Gothic" w:hAnsi="Century Gothic"/>
        </w:rPr>
      </w:pPr>
      <w:r w:rsidRPr="00740815">
        <w:rPr>
          <w:rFonts w:ascii="Century Gothic" w:hAnsi="Century Gothic"/>
        </w:rPr>
        <w:t> As we have discussed all the inventory transactions under a Periodic Inventory system are collected in temporary accounts.  The Inventory Account is not adjusted for any transactions until the close of the accounting cycle.  This then requires the accountant to compute the Cost of Goods sold each time the financial statements are prepared between accounting periods as follows: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5040"/>
        <w:gridCol w:w="1200"/>
        <w:gridCol w:w="2490"/>
      </w:tblGrid>
      <w:tr w:rsidR="00CD2333" w:rsidRPr="00740815" w:rsidTr="00A766E0">
        <w:trPr>
          <w:tblCellSpacing w:w="0" w:type="dxa"/>
        </w:trPr>
        <w:tc>
          <w:tcPr>
            <w:tcW w:w="61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Beginning Inventory</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xxxxxxx</w:t>
            </w:r>
            <w:proofErr w:type="spellEnd"/>
          </w:p>
        </w:tc>
      </w:tr>
      <w:tr w:rsidR="00CD2333" w:rsidRPr="00740815" w:rsidTr="00A766E0">
        <w:trPr>
          <w:tblCellSpacing w:w="0" w:type="dxa"/>
        </w:trPr>
        <w:tc>
          <w:tcPr>
            <w:tcW w:w="10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Add:</w:t>
            </w:r>
          </w:p>
        </w:tc>
        <w:tc>
          <w:tcPr>
            <w:tcW w:w="50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Purchases</w:t>
            </w:r>
          </w:p>
          <w:p w:rsidR="00A766E0" w:rsidRPr="00740815" w:rsidRDefault="00A766E0" w:rsidP="00A766E0">
            <w:pPr>
              <w:spacing w:after="0"/>
              <w:rPr>
                <w:rFonts w:ascii="Century Gothic" w:hAnsi="Century Gothic"/>
              </w:rPr>
            </w:pPr>
            <w:r w:rsidRPr="00740815">
              <w:rPr>
                <w:rFonts w:ascii="Century Gothic" w:hAnsi="Century Gothic"/>
              </w:rPr>
              <w:t>Less – Purchase Returns and Allowances</w:t>
            </w:r>
          </w:p>
          <w:p w:rsidR="00A766E0" w:rsidRPr="00740815" w:rsidRDefault="00A766E0" w:rsidP="00A766E0">
            <w:pPr>
              <w:spacing w:after="0"/>
              <w:rPr>
                <w:rFonts w:ascii="Century Gothic" w:hAnsi="Century Gothic"/>
              </w:rPr>
            </w:pPr>
            <w:r w:rsidRPr="00740815">
              <w:rPr>
                <w:rFonts w:ascii="Century Gothic" w:hAnsi="Century Gothic"/>
              </w:rPr>
              <w:t xml:space="preserve">Less – Purchase Discounts                    </w:t>
            </w:r>
          </w:p>
          <w:p w:rsidR="00A766E0" w:rsidRPr="00740815" w:rsidRDefault="00A766E0" w:rsidP="00A766E0">
            <w:pPr>
              <w:spacing w:after="0"/>
              <w:rPr>
                <w:rFonts w:ascii="Century Gothic" w:hAnsi="Century Gothic"/>
              </w:rPr>
            </w:pPr>
            <w:r w:rsidRPr="00740815">
              <w:rPr>
                <w:rFonts w:ascii="Century Gothic" w:hAnsi="Century Gothic"/>
              </w:rPr>
              <w:t>Net Purchases</w:t>
            </w:r>
          </w:p>
          <w:p w:rsidR="00A766E0" w:rsidRPr="00740815" w:rsidRDefault="00A766E0" w:rsidP="00A766E0">
            <w:pPr>
              <w:spacing w:after="0"/>
              <w:rPr>
                <w:rFonts w:ascii="Century Gothic" w:hAnsi="Century Gothic"/>
              </w:rPr>
            </w:pPr>
            <w:r w:rsidRPr="00740815">
              <w:rPr>
                <w:rFonts w:ascii="Century Gothic" w:hAnsi="Century Gothic"/>
              </w:rPr>
              <w:t>Add: Freight In</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xxxxxx</w:t>
            </w:r>
            <w:proofErr w:type="spellEnd"/>
          </w:p>
          <w:p w:rsidR="00A766E0" w:rsidRPr="00740815" w:rsidRDefault="00A766E0" w:rsidP="00A766E0">
            <w:pPr>
              <w:spacing w:after="0"/>
              <w:rPr>
                <w:rFonts w:ascii="Century Gothic" w:hAnsi="Century Gothic"/>
              </w:rPr>
            </w:pPr>
            <w:proofErr w:type="spellStart"/>
            <w:r w:rsidRPr="00740815">
              <w:rPr>
                <w:rFonts w:ascii="Century Gothic" w:hAnsi="Century Gothic"/>
              </w:rPr>
              <w:t>xxxx</w:t>
            </w:r>
            <w:proofErr w:type="spellEnd"/>
          </w:p>
          <w:p w:rsidR="00A766E0" w:rsidRPr="00740815" w:rsidRDefault="00A766E0" w:rsidP="00A766E0">
            <w:pPr>
              <w:spacing w:after="0"/>
              <w:rPr>
                <w:rFonts w:ascii="Century Gothic" w:hAnsi="Century Gothic"/>
              </w:rPr>
            </w:pPr>
            <w:r w:rsidRPr="00740815">
              <w:rPr>
                <w:rFonts w:ascii="Century Gothic" w:hAnsi="Century Gothic"/>
              </w:rPr>
              <w:t>xxx</w:t>
            </w:r>
          </w:p>
          <w:p w:rsidR="00A766E0" w:rsidRPr="00740815" w:rsidRDefault="00A766E0" w:rsidP="00A766E0">
            <w:pPr>
              <w:spacing w:after="0"/>
              <w:rPr>
                <w:rFonts w:ascii="Century Gothic" w:hAnsi="Century Gothic"/>
              </w:rPr>
            </w:pPr>
            <w:proofErr w:type="spellStart"/>
            <w:r w:rsidRPr="00740815">
              <w:rPr>
                <w:rFonts w:ascii="Century Gothic" w:hAnsi="Century Gothic"/>
              </w:rPr>
              <w:t>xxxxx</w:t>
            </w:r>
            <w:proofErr w:type="spellEnd"/>
          </w:p>
          <w:p w:rsidR="00A766E0" w:rsidRPr="00740815" w:rsidRDefault="00A766E0" w:rsidP="00A766E0">
            <w:pPr>
              <w:spacing w:after="0"/>
              <w:rPr>
                <w:rFonts w:ascii="Century Gothic" w:hAnsi="Century Gothic"/>
              </w:rPr>
            </w:pPr>
            <w:r w:rsidRPr="00740815">
              <w:rPr>
                <w:rFonts w:ascii="Century Gothic" w:hAnsi="Century Gothic"/>
              </w:rPr>
              <w:t>      xxx</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61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Delivered Cost of Purchases</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  </w:t>
            </w:r>
            <w:proofErr w:type="spellStart"/>
            <w:r w:rsidRPr="00740815">
              <w:rPr>
                <w:rFonts w:ascii="Century Gothic" w:hAnsi="Century Gothic"/>
              </w:rPr>
              <w:t>xxxxxx</w:t>
            </w:r>
            <w:proofErr w:type="spellEnd"/>
          </w:p>
        </w:tc>
      </w:tr>
      <w:tr w:rsidR="00CD2333" w:rsidRPr="00740815" w:rsidTr="00A766E0">
        <w:trPr>
          <w:tblCellSpacing w:w="0" w:type="dxa"/>
        </w:trPr>
        <w:tc>
          <w:tcPr>
            <w:tcW w:w="61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Cost of Goods Available for Sale</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xxxxxxx</w:t>
            </w:r>
            <w:proofErr w:type="spellEnd"/>
          </w:p>
        </w:tc>
      </w:tr>
      <w:tr w:rsidR="00CD2333" w:rsidRPr="00740815" w:rsidTr="00A766E0">
        <w:trPr>
          <w:tblCellSpacing w:w="0" w:type="dxa"/>
        </w:trPr>
        <w:tc>
          <w:tcPr>
            <w:tcW w:w="61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bCs/>
              </w:rPr>
              <w:t>Less:</w:t>
            </w:r>
            <w:r w:rsidRPr="00740815">
              <w:rPr>
                <w:rFonts w:ascii="Century Gothic" w:hAnsi="Century Gothic"/>
              </w:rPr>
              <w:t>  Ending Inventory</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      </w:t>
            </w:r>
            <w:proofErr w:type="spellStart"/>
            <w:r w:rsidRPr="00740815">
              <w:rPr>
                <w:rFonts w:ascii="Century Gothic" w:hAnsi="Century Gothic"/>
              </w:rPr>
              <w:t>xxxx</w:t>
            </w:r>
            <w:proofErr w:type="spellEnd"/>
          </w:p>
        </w:tc>
      </w:tr>
      <w:tr w:rsidR="00CD2333" w:rsidRPr="00740815" w:rsidTr="00A766E0">
        <w:trPr>
          <w:tblCellSpacing w:w="0" w:type="dxa"/>
        </w:trPr>
        <w:tc>
          <w:tcPr>
            <w:tcW w:w="61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Cost of Goods Sold</w:t>
            </w:r>
          </w:p>
        </w:tc>
        <w:tc>
          <w:tcPr>
            <w:tcW w:w="12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xxxxxxx</w:t>
            </w:r>
            <w:proofErr w:type="spellEnd"/>
          </w:p>
        </w:tc>
      </w:tr>
      <w:tr w:rsidR="00CD2333" w:rsidRPr="00740815" w:rsidTr="00A766E0">
        <w:trPr>
          <w:tblCellSpacing w:w="0" w:type="dxa"/>
        </w:trPr>
        <w:tc>
          <w:tcPr>
            <w:tcW w:w="1095"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504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9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r>
    </w:tbl>
    <w:p w:rsidR="00A766E0" w:rsidRPr="00740815" w:rsidRDefault="00A766E0" w:rsidP="00A766E0">
      <w:pPr>
        <w:spacing w:after="0"/>
        <w:rPr>
          <w:rFonts w:ascii="Century Gothic" w:hAnsi="Century Gothic"/>
        </w:rPr>
      </w:pPr>
      <w:r w:rsidRPr="00740815">
        <w:rPr>
          <w:rFonts w:ascii="Century Gothic" w:hAnsi="Century Gothic"/>
        </w:rPr>
        <w:lastRenderedPageBreak/>
        <w:t>  The ending inventory is calculated by having staff actually go out and count the units remaining on the shelves or in the stock room and assigning the values to each item.  The ending inventory is also the beginning inventory for the next accounting period.       </w:t>
      </w:r>
    </w:p>
    <w:p w:rsidR="00A766E0" w:rsidRPr="00740815" w:rsidRDefault="00A766E0" w:rsidP="00A766E0">
      <w:pPr>
        <w:spacing w:after="0"/>
        <w:rPr>
          <w:rFonts w:ascii="Century Gothic" w:hAnsi="Century Gothic"/>
          <w:bCs/>
        </w:rPr>
      </w:pPr>
      <w:r w:rsidRPr="00740815">
        <w:rPr>
          <w:rFonts w:ascii="Century Gothic" w:hAnsi="Century Gothic"/>
          <w:bCs/>
        </w:rPr>
        <w:t>Summary of Journal Entries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6"/>
        <w:gridCol w:w="1641"/>
        <w:gridCol w:w="1641"/>
        <w:gridCol w:w="1641"/>
        <w:gridCol w:w="1641"/>
      </w:tblGrid>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bCs/>
              </w:rPr>
              <w:t>Buyer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Transactions</w:t>
            </w:r>
          </w:p>
        </w:tc>
        <w:tc>
          <w:tcPr>
            <w:tcW w:w="1500" w:type="pct"/>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Perpetual System</w:t>
            </w:r>
          </w:p>
        </w:tc>
        <w:tc>
          <w:tcPr>
            <w:tcW w:w="1500" w:type="pct"/>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Periodic System</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Dr</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Dr</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Cr</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Purchase Merchandise</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Purchases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Freight costs on Purchases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Freight In</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 or 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 or A/P</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Purchase Returns and Allowances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 &amp; A</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Purchase Discounts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A/P</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w:t>
            </w:r>
          </w:p>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w:t>
            </w:r>
          </w:p>
          <w:p w:rsidR="00A766E0" w:rsidRPr="00740815" w:rsidRDefault="00A766E0" w:rsidP="00A766E0">
            <w:pPr>
              <w:spacing w:after="0"/>
              <w:rPr>
                <w:rFonts w:ascii="Century Gothic" w:hAnsi="Century Gothic"/>
              </w:rPr>
            </w:pPr>
            <w:proofErr w:type="spellStart"/>
            <w:r w:rsidRPr="00740815">
              <w:rPr>
                <w:rFonts w:ascii="Century Gothic" w:hAnsi="Century Gothic"/>
              </w:rPr>
              <w:t>Purch</w:t>
            </w:r>
            <w:proofErr w:type="spellEnd"/>
            <w:r w:rsidRPr="00740815">
              <w:rPr>
                <w:rFonts w:ascii="Century Gothic" w:hAnsi="Century Gothic"/>
              </w:rPr>
              <w:t xml:space="preserve"> Disc</w:t>
            </w:r>
          </w:p>
        </w:tc>
      </w:tr>
    </w:tbl>
    <w:p w:rsidR="00A766E0" w:rsidRPr="00740815" w:rsidRDefault="00A766E0" w:rsidP="00A766E0">
      <w:pPr>
        <w:spacing w:after="0"/>
        <w:rPr>
          <w:rFonts w:ascii="Century Gothic" w:hAnsi="Century Gothic"/>
        </w:rPr>
      </w:pPr>
      <w:r w:rsidRPr="00740815">
        <w:rPr>
          <w:rFonts w:ascii="Century Gothic" w:hAnsi="Century Gothic"/>
        </w:rPr>
        <w:t>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6"/>
        <w:gridCol w:w="1641"/>
        <w:gridCol w:w="1641"/>
        <w:gridCol w:w="1641"/>
        <w:gridCol w:w="1641"/>
      </w:tblGrid>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bCs/>
              </w:rPr>
              <w:t>Seller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Transactions</w:t>
            </w:r>
          </w:p>
        </w:tc>
        <w:tc>
          <w:tcPr>
            <w:tcW w:w="1500" w:type="pct"/>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Perpetual System</w:t>
            </w:r>
          </w:p>
        </w:tc>
        <w:tc>
          <w:tcPr>
            <w:tcW w:w="1500" w:type="pct"/>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Periodic System</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Dr</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Dr</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Cr</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 of Merchandise</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CGS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 entry/ Year end Closing</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Return of Merchandise sold</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 R&amp;A</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 R&amp;A</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Merch</w:t>
            </w:r>
            <w:proofErr w:type="spellEnd"/>
            <w:r w:rsidRPr="00740815">
              <w:rPr>
                <w:rFonts w:ascii="Century Gothic" w:hAnsi="Century Gothic"/>
              </w:rPr>
              <w:t xml:space="preserve"> </w:t>
            </w:r>
            <w:proofErr w:type="spellStart"/>
            <w:r w:rsidRPr="00740815">
              <w:rPr>
                <w:rFonts w:ascii="Century Gothic" w:hAnsi="Century Gothic"/>
              </w:rPr>
              <w:t>Inv</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 entry/ Year end Closing</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CGS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 Discounts</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Cash Sales </w:t>
            </w:r>
            <w:proofErr w:type="spellStart"/>
            <w:r w:rsidRPr="00740815">
              <w:rPr>
                <w:rFonts w:ascii="Century Gothic" w:hAnsi="Century Gothic"/>
              </w:rPr>
              <w:t>Dic</w:t>
            </w:r>
            <w:proofErr w:type="spellEnd"/>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 Sales Disc</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19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750" w:type="pc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A/R</w:t>
            </w:r>
          </w:p>
        </w:tc>
      </w:tr>
    </w:tbl>
    <w:p w:rsidR="00A766E0" w:rsidRPr="00740815" w:rsidRDefault="00A766E0" w:rsidP="00A766E0">
      <w:pPr>
        <w:spacing w:after="0"/>
        <w:rPr>
          <w:rFonts w:ascii="Century Gothic" w:hAnsi="Century Gothic"/>
          <w:bCs/>
        </w:rPr>
      </w:pPr>
      <w:r w:rsidRPr="00740815">
        <w:rPr>
          <w:rFonts w:ascii="Century Gothic" w:hAnsi="Century Gothic"/>
          <w:bCs/>
        </w:rPr>
        <w:t> Helpful Hints:</w:t>
      </w:r>
    </w:p>
    <w:p w:rsidR="00A766E0" w:rsidRPr="00740815" w:rsidRDefault="00A766E0" w:rsidP="00A766E0">
      <w:pPr>
        <w:spacing w:after="0"/>
        <w:rPr>
          <w:rFonts w:ascii="Century Gothic" w:hAnsi="Century Gothic"/>
        </w:rPr>
      </w:pPr>
      <w:r w:rsidRPr="00740815">
        <w:rPr>
          <w:rFonts w:ascii="Century Gothic" w:hAnsi="Century Gothic"/>
        </w:rPr>
        <w:t xml:space="preserve">When working on the assigned exercises and problems you will need to recall that  a statement of terms; </w:t>
      </w:r>
      <w:proofErr w:type="spellStart"/>
      <w:r w:rsidRPr="00740815">
        <w:rPr>
          <w:rFonts w:ascii="Century Gothic" w:hAnsi="Century Gothic"/>
        </w:rPr>
        <w:t>eg</w:t>
      </w:r>
      <w:proofErr w:type="spellEnd"/>
      <w:r w:rsidRPr="00740815">
        <w:rPr>
          <w:rFonts w:ascii="Century Gothic" w:hAnsi="Century Gothic"/>
        </w:rPr>
        <w:t>:  1/10, n/30 means 1% discount if paid in 10 days, otherwise the full amount is due in 30 days.  The questions do not build in penalties when payments are made after the n/30 date.</w:t>
      </w:r>
    </w:p>
    <w:p w:rsidR="00A766E0" w:rsidRPr="00740815" w:rsidRDefault="00A766E0" w:rsidP="00A766E0">
      <w:pPr>
        <w:spacing w:after="0"/>
        <w:rPr>
          <w:rFonts w:ascii="Century Gothic" w:hAnsi="Century Gothic"/>
        </w:rPr>
      </w:pPr>
      <w:r w:rsidRPr="00740815">
        <w:rPr>
          <w:rFonts w:ascii="Century Gothic" w:hAnsi="Century Gothic"/>
        </w:rPr>
        <w:t> Furthermore you may need to review the concept of FOB – Free on Board.  This is a shipping term.  When you see FOB destination this means the freight costs are covered up to the shipped destination by the seller.  FOB factory means the freight has to be paid for by the purchaser.</w:t>
      </w:r>
    </w:p>
    <w:p w:rsidR="00A766E0" w:rsidRPr="00740815" w:rsidRDefault="00A766E0" w:rsidP="00A766E0">
      <w:pPr>
        <w:spacing w:before="100" w:beforeAutospacing="1" w:after="0" w:line="240" w:lineRule="auto"/>
        <w:outlineLvl w:val="1"/>
        <w:rPr>
          <w:rFonts w:ascii="Century Gothic" w:eastAsia="Times New Roman" w:hAnsi="Century Gothic" w:cs="Times New Roman"/>
          <w:bCs/>
        </w:rPr>
      </w:pPr>
      <w:r w:rsidRPr="00740815">
        <w:rPr>
          <w:rFonts w:ascii="Century Gothic" w:eastAsia="Times New Roman" w:hAnsi="Century Gothic" w:cs="Times New Roman"/>
          <w:bCs/>
        </w:rPr>
        <w:lastRenderedPageBreak/>
        <w:t>Summary</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 xml:space="preserve">A periodic </w:t>
      </w:r>
      <w:proofErr w:type="spellStart"/>
      <w:r w:rsidRPr="00740815">
        <w:rPr>
          <w:rFonts w:ascii="Century Gothic" w:eastAsia="Times New Roman" w:hAnsi="Century Gothic" w:cs="Times New Roman"/>
        </w:rPr>
        <w:t>invenetory</w:t>
      </w:r>
      <w:proofErr w:type="spellEnd"/>
      <w:r w:rsidRPr="00740815">
        <w:rPr>
          <w:rFonts w:ascii="Century Gothic" w:eastAsia="Times New Roman" w:hAnsi="Century Gothic" w:cs="Times New Roman"/>
        </w:rPr>
        <w:t xml:space="preserve"> system uses temporary expense accounts to capture like transactions affecting inventory.  These include:  Purchases, Purchase Return and Allowances, Freight In, Purchase Discounts. The Merchandise inventory account on the balance sheet is not altered until the end of the accounting cycle when all the temporary accounts are closed.  When financial statements are prepared a physical count of the inventory is taken to determine the ending inventory value. This then becomes the beginning inventory for the next accounting cycle and its stays unchanged on the balance sheet for the next year.</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2.</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Definition of Current Liability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Current Liabilities are debts that are expected to be paid from the current assets or by exchanging for another type of debt structure, within one year.  They can be classified as: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Definitely determinable – Clear understanding of how much is to be paid, when it is to be paid and the terms regarding any interest is specifically described. Examples would include, notes payable, accounts payable, unearned revenues, taxes payable.</w:t>
      </w:r>
    </w:p>
    <w:p w:rsidR="00A766E0" w:rsidRPr="00740815" w:rsidRDefault="00A766E0" w:rsidP="00A766E0">
      <w:pPr>
        <w:pStyle w:val="NormalWeb"/>
        <w:spacing w:after="0" w:afterAutospacing="0"/>
        <w:rPr>
          <w:rFonts w:ascii="Century Gothic" w:hAnsi="Century Gothic"/>
          <w:sz w:val="22"/>
          <w:szCs w:val="22"/>
        </w:rPr>
      </w:pPr>
      <w:proofErr w:type="gramStart"/>
      <w:r w:rsidRPr="00740815">
        <w:rPr>
          <w:rFonts w:ascii="Century Gothic" w:hAnsi="Century Gothic"/>
          <w:sz w:val="22"/>
          <w:szCs w:val="22"/>
        </w:rPr>
        <w:t>b</w:t>
      </w:r>
      <w:proofErr w:type="gramEnd"/>
      <w:r w:rsidRPr="00740815">
        <w:rPr>
          <w:rFonts w:ascii="Century Gothic" w:hAnsi="Century Gothic"/>
          <w:sz w:val="22"/>
          <w:szCs w:val="22"/>
        </w:rPr>
        <w:t>)  Estimable – It is unclear how much is owed or when repayment must take place, even though there is a definite debt owed.  Examples would include warranties and guarantees.</w:t>
      </w:r>
    </w:p>
    <w:p w:rsidR="00A766E0" w:rsidRPr="00740815" w:rsidRDefault="00A766E0" w:rsidP="00A766E0">
      <w:pPr>
        <w:pStyle w:val="NormalWeb"/>
        <w:spacing w:after="0" w:afterAutospacing="0"/>
        <w:rPr>
          <w:rFonts w:ascii="Century Gothic" w:hAnsi="Century Gothic"/>
          <w:sz w:val="22"/>
          <w:szCs w:val="22"/>
        </w:rPr>
      </w:pPr>
      <w:proofErr w:type="gramStart"/>
      <w:r w:rsidRPr="00740815">
        <w:rPr>
          <w:rFonts w:ascii="Century Gothic" w:hAnsi="Century Gothic"/>
          <w:sz w:val="22"/>
          <w:szCs w:val="22"/>
        </w:rPr>
        <w:t>c</w:t>
      </w:r>
      <w:proofErr w:type="gramEnd"/>
      <w:r w:rsidRPr="00740815">
        <w:rPr>
          <w:rFonts w:ascii="Century Gothic" w:hAnsi="Century Gothic"/>
          <w:sz w:val="22"/>
          <w:szCs w:val="22"/>
        </w:rPr>
        <w:t>)  Contingent – These are possible debts that might occur in the future depending on the outcome of an event.  Lawsuits are a typical example.</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Accounting for Definitely Determinable Liabilities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The debt is recorded when it occurs by crediting the specific liability account and debiting the asset for which the debt resulted.  At the end of the accounting cycle an adjusting entry must be made to acknowledge the interest that has accumulated from the time the debt was established.  This is done by creating a journal entry to debit interest expense and credit interest payable.  When the debt is retired, another entry is made to expense the interest from the beginning of the new accounting period to the time the debt is paid.  The lender will receive payment for the full amount of the debt, plus the interest owed from the previous accounting period and from the current account period.  The journal entry becomes a debit to Notes Payable, Interest Expense and Interest Payable and a credit to cash.</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Estimated Liabilities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The matching principle as described in GAAP requires that expenses are recorded in the same period as the revenues they helped to garner.  When warranties are attached to a product then an </w:t>
      </w:r>
      <w:r w:rsidRPr="00740815">
        <w:rPr>
          <w:rFonts w:ascii="Century Gothic" w:hAnsi="Century Gothic"/>
          <w:sz w:val="22"/>
          <w:szCs w:val="22"/>
        </w:rPr>
        <w:lastRenderedPageBreak/>
        <w:t>estimate as to the cost of these warranties must be recorded at the time of sale.  Usually the accounting department and the company engineers create the estimate.  A journal entry that debits Warranty Expense and credits Warranty Liability is created.  If the product is returned for warranty work then the Warranty Liability account is debited and an asset account is credited.</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Contingent Liabilities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Contingent Liabilities only exist if some future event causes a negative financial effect on a business.  If you can reasonably predict that the event will occur and the resulting loss can be estimated then a liability should be recorded.  You would debit Contingency Loss and credit Estimated Contingency Liability.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On the other hand, if you expect the loss to happen but cannot estimate the amount then no journal entry is required but you MUST disclose this information in the financial statements.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When you do not expect the event to have a detrimental outcome then you do not need to make an entry or record any notes to the financial statements.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Under NO circumstances do companies ever record contingent gains.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Summary of Journal Entries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Short term Notes Payable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2115"/>
        <w:gridCol w:w="2130"/>
        <w:gridCol w:w="2400"/>
      </w:tblGrid>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Retire an account Payable</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Accounts Payable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Note Payable</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Record Interest at year end</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Expense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Payable</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6630" w:type="dxa"/>
            <w:gridSpan w:val="3"/>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Face Value of Note x Interest Rate x #days/365</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Retire Note</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Note Payable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Payable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Expense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bl>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Payroll Liabilities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40"/>
        <w:gridCol w:w="2085"/>
        <w:gridCol w:w="4305"/>
      </w:tblGrid>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Record Payroll</w:t>
            </w:r>
          </w:p>
        </w:tc>
        <w:tc>
          <w:tcPr>
            <w:tcW w:w="18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Salary Expense</w:t>
            </w:r>
          </w:p>
        </w:tc>
        <w:tc>
          <w:tcPr>
            <w:tcW w:w="37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8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7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EI Payable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Income Tax Payable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CPP Payable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Misc. Deductions Payable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Salary Payable</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lastRenderedPageBreak/>
              <w:t>Record Employers Contribution</w:t>
            </w:r>
          </w:p>
        </w:tc>
        <w:tc>
          <w:tcPr>
            <w:tcW w:w="18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7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8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EI Expense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CPP Expense</w:t>
            </w:r>
          </w:p>
        </w:tc>
        <w:tc>
          <w:tcPr>
            <w:tcW w:w="37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8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79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EI Payable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CPP Payable</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5655" w:type="dxa"/>
            <w:gridSpan w:val="2"/>
            <w:vMerge w:val="restart"/>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EI:  1.4 x employee contribution</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CPP: 1 x employee contribution</w:t>
            </w:r>
          </w:p>
        </w:tc>
      </w:tr>
      <w:tr w:rsidR="00CD2333"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r>
    </w:tbl>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Warranties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2115"/>
        <w:gridCol w:w="2130"/>
        <w:gridCol w:w="2400"/>
      </w:tblGrid>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Point of Sale</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Warranty Expense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Warranty Payable</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Completion of Work</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Warranty Payable</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9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1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Inventory</w:t>
            </w:r>
          </w:p>
          <w:p w:rsidR="00A766E0" w:rsidRPr="00740815" w:rsidRDefault="00A766E0" w:rsidP="00A766E0">
            <w:pPr>
              <w:pStyle w:val="NormalWeb"/>
              <w:spacing w:after="0" w:afterAutospacing="0"/>
              <w:rPr>
                <w:rFonts w:ascii="Century Gothic" w:hAnsi="Century Gothic"/>
                <w:sz w:val="22"/>
                <w:szCs w:val="22"/>
              </w:rPr>
            </w:pPr>
            <w:proofErr w:type="spellStart"/>
            <w:r w:rsidRPr="00740815">
              <w:rPr>
                <w:rFonts w:ascii="Century Gothic" w:hAnsi="Century Gothic"/>
                <w:sz w:val="22"/>
                <w:szCs w:val="22"/>
              </w:rPr>
              <w:t>Labour</w:t>
            </w:r>
            <w:proofErr w:type="spellEnd"/>
            <w:r w:rsidRPr="00740815">
              <w:rPr>
                <w:rFonts w:ascii="Century Gothic" w:hAnsi="Century Gothic"/>
                <w:sz w:val="22"/>
                <w:szCs w:val="22"/>
              </w:rPr>
              <w:t xml:space="preserve"> Payable</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bl>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Contingency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5"/>
        <w:gridCol w:w="2340"/>
        <w:gridCol w:w="2400"/>
        <w:gridCol w:w="2400"/>
      </w:tblGrid>
      <w:tr w:rsidR="00CD2333" w:rsidRPr="00740815" w:rsidTr="00A766E0">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3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Contingency Loss</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3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Contingency Liability</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3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CD2333" w:rsidRPr="00740815" w:rsidTr="00A766E0">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3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78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Only if it Loss is likely to occur and the amount is easily calculated</w:t>
            </w:r>
          </w:p>
        </w:tc>
      </w:tr>
      <w:tr w:rsidR="00CD2333" w:rsidRPr="00740815" w:rsidTr="00A766E0">
        <w:trPr>
          <w:tblCellSpacing w:w="0" w:type="dxa"/>
        </w:trPr>
        <w:tc>
          <w:tcPr>
            <w:tcW w:w="244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3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r>
    </w:tbl>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Helpful Hints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In this chapter you will be working with interest rates.  When you are given an interest rate you must remember that this is a yearly rate.  This necessitates prorating the rate over the term the loan is outstanding.  For example:  If the rate is 10% and a loan has a term of 90 days then you would compute the interest as 10% * 90/365.  If you are at a year end and the loan is not being paid off then you must accrue the interest owed at that point.  So if we use the example again and we have had the loan for 30 days at the point of year end, then the interest is computed as 10% * 30/365.  The remaining interest is acknowledged in the </w:t>
      </w:r>
      <w:proofErr w:type="gramStart"/>
      <w:r w:rsidRPr="00740815">
        <w:rPr>
          <w:rFonts w:ascii="Century Gothic" w:hAnsi="Century Gothic"/>
          <w:sz w:val="22"/>
          <w:szCs w:val="22"/>
        </w:rPr>
        <w:t>new year</w:t>
      </w:r>
      <w:proofErr w:type="gramEnd"/>
      <w:r w:rsidRPr="00740815">
        <w:rPr>
          <w:rFonts w:ascii="Century Gothic" w:hAnsi="Century Gothic"/>
          <w:sz w:val="22"/>
          <w:szCs w:val="22"/>
        </w:rPr>
        <w:t>.  For purposes of the questions in the text, the interest is PAID only when the loan is paid off.    Refer to your text and “Course Documents/Lecture Materials:  Lesson 2” for more examples.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Problem 13A asks you to assume the entries are made using the </w:t>
      </w:r>
      <w:proofErr w:type="gramStart"/>
      <w:r w:rsidRPr="00740815">
        <w:rPr>
          <w:rFonts w:ascii="Century Gothic" w:hAnsi="Century Gothic"/>
          <w:sz w:val="22"/>
          <w:szCs w:val="22"/>
        </w:rPr>
        <w:t>Perpetual</w:t>
      </w:r>
      <w:proofErr w:type="gramEnd"/>
      <w:r w:rsidRPr="00740815">
        <w:rPr>
          <w:rFonts w:ascii="Century Gothic" w:hAnsi="Century Gothic"/>
          <w:sz w:val="22"/>
          <w:szCs w:val="22"/>
        </w:rPr>
        <w:t xml:space="preserve"> inventory system.  As you may recall from previous courses, all transactions involving inventory are either debited or credited directly to the inventory account under this system.  If you need to refresh your memory refer to the Instructors summary notes provided in “Course Documents/ Lecture Materials:  Lesson 1”</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When working with </w:t>
      </w:r>
      <w:proofErr w:type="spellStart"/>
      <w:r w:rsidRPr="00740815">
        <w:rPr>
          <w:rFonts w:ascii="Century Gothic" w:hAnsi="Century Gothic"/>
          <w:sz w:val="22"/>
          <w:szCs w:val="22"/>
        </w:rPr>
        <w:t>Lyryx</w:t>
      </w:r>
      <w:proofErr w:type="spellEnd"/>
      <w:r w:rsidRPr="00740815">
        <w:rPr>
          <w:rFonts w:ascii="Century Gothic" w:hAnsi="Century Gothic"/>
          <w:sz w:val="22"/>
          <w:szCs w:val="22"/>
        </w:rPr>
        <w:t xml:space="preserve"> you will have to be precise with regards to the number of days in a month/year.</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lastRenderedPageBreak/>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It is virtually unheard of for people and businesses not to incur debts.  When deciding the type of debt that is involved, one has to first examine if there are concrete conditions and timing.  This then defines the debt as either current or long term.  It also establishes how to classify and journalize the debt.  If amounts are </w:t>
      </w:r>
      <w:proofErr w:type="spellStart"/>
      <w:r w:rsidRPr="00740815">
        <w:rPr>
          <w:rFonts w:ascii="Century Gothic" w:hAnsi="Century Gothic"/>
          <w:sz w:val="22"/>
          <w:szCs w:val="22"/>
        </w:rPr>
        <w:t>know</w:t>
      </w:r>
      <w:proofErr w:type="spellEnd"/>
      <w:r w:rsidRPr="00740815">
        <w:rPr>
          <w:rFonts w:ascii="Century Gothic" w:hAnsi="Century Gothic"/>
          <w:sz w:val="22"/>
          <w:szCs w:val="22"/>
        </w:rPr>
        <w:t xml:space="preserve"> or can reasonably be estimated and expected to happen, then a journal entry is required.</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3.</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Characteristics of General Partnerships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The partnership ceases to exist upon the death, bankruptcy, or expiration of the contract period.  This is called Limited Life.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B:  The partnership is not subject to </w:t>
      </w:r>
      <w:proofErr w:type="gramStart"/>
      <w:r w:rsidRPr="00740815">
        <w:rPr>
          <w:rFonts w:ascii="Century Gothic" w:hAnsi="Century Gothic"/>
          <w:sz w:val="22"/>
          <w:szCs w:val="22"/>
        </w:rPr>
        <w:t>tax,</w:t>
      </w:r>
      <w:proofErr w:type="gramEnd"/>
      <w:r w:rsidRPr="00740815">
        <w:rPr>
          <w:rFonts w:ascii="Century Gothic" w:hAnsi="Century Gothic"/>
          <w:sz w:val="22"/>
          <w:szCs w:val="22"/>
        </w:rPr>
        <w:t xml:space="preserve"> rather the income allocated to each partner is taxed on the personal income tax return.</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  The assets and debts are owned by all the partners equally, but claims on partnership assets are based on the value of their capital accounts.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  Every partner is an agent of the partnership and can enter into and bind it to any contract within the normal scope of its business. This is referred to as Mutual Agency.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E:  At least one partner must be a general partner.</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Other forms of Partnerships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Limited partnerships have two classes of partners, general and limited. The general partners assume unlimited liability for the debts of the partnership. The limited partners assume no personal liability beyond their invested amounts and do not take active role in managing the company.  People use to thinks of these as silent partners.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B:  Limited liability partnerships are designed to protect partners from malpractice or negligence claims against their other partners. Generally, all partners are personally liability for other day to day debts resulting from running the partnership.</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Recording the creation of the partnership</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Each partner’s investment is recorded at the fair market value of the assets and liabilities. Accounting for partnerships is very similar to proprietorship, only with more than one owner.  Each partner will have their own capital and withdrawals account.  The total of all partner’s capital is the total partners’ equity in the company.</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lastRenderedPageBreak/>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The greatest numbers of business types are small businesses that have not been incorporated.  It is very easy to set up a partnership.  There is no requirement to have legal </w:t>
      </w:r>
      <w:proofErr w:type="spellStart"/>
      <w:r w:rsidRPr="00740815">
        <w:rPr>
          <w:rFonts w:ascii="Century Gothic" w:hAnsi="Century Gothic"/>
          <w:sz w:val="22"/>
          <w:szCs w:val="22"/>
        </w:rPr>
        <w:t>represenation</w:t>
      </w:r>
      <w:proofErr w:type="spellEnd"/>
      <w:r w:rsidRPr="00740815">
        <w:rPr>
          <w:rFonts w:ascii="Century Gothic" w:hAnsi="Century Gothic"/>
          <w:sz w:val="22"/>
          <w:szCs w:val="22"/>
        </w:rPr>
        <w:t xml:space="preserve"> or to get any government approvals.  All you need are two people who want to work together for a common goal.  However without following some basic steps, like preparing a partnership agreement and determining the type of partnership that is most suitable to the circumstances, you may face many issues that could be difficult to resolve.</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4.</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Dividing Income and Loss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The partners may choose any method of allocating incomes and losses amongst themselves and should be specifically outlined in the partnership agreement.  Where no provisions are stipulated in the agreement then the courts will divide the income and losses equally amongst the partners.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Common methods of dividing partnership earnings: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Stated fractional basis.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Example:  2:1</w:t>
      </w:r>
      <w:r w:rsidRPr="00740815">
        <w:rPr>
          <w:rFonts w:ascii="Century Gothic" w:hAnsi="Century Gothic"/>
          <w:sz w:val="22"/>
          <w:szCs w:val="22"/>
        </w:rPr>
        <w:br/>
        <w:t>Calculate division as 2/3 for Partner A and 1/3 for B</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B:  Ratio of capital investments.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Example:  Partner A Capital Balance $20,000, and B$30,000</w:t>
      </w:r>
      <w:r w:rsidRPr="00740815">
        <w:rPr>
          <w:rFonts w:ascii="Century Gothic" w:hAnsi="Century Gothic"/>
          <w:sz w:val="22"/>
          <w:szCs w:val="22"/>
        </w:rPr>
        <w:br/>
        <w:t>Total Capital is 50,000</w:t>
      </w:r>
      <w:r w:rsidRPr="00740815">
        <w:rPr>
          <w:rFonts w:ascii="Century Gothic" w:hAnsi="Century Gothic"/>
          <w:sz w:val="22"/>
          <w:szCs w:val="22"/>
        </w:rPr>
        <w:br/>
        <w:t>Calculate division as A gets: 20,000 / 50,000 x Income and B gets:   30,000 / 50,000 x Income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 Salary, interest allowances and a fixed ratio</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7"/>
        <w:gridCol w:w="1935"/>
        <w:gridCol w:w="1969"/>
        <w:gridCol w:w="2529"/>
      </w:tblGrid>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Partner A    </w:t>
            </w: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Partner B</w:t>
            </w: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Balance</w:t>
            </w:r>
          </w:p>
        </w:tc>
      </w:tr>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Income/ Loss</w:t>
            </w: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100,000</w:t>
            </w:r>
          </w:p>
        </w:tc>
      </w:tr>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Salary (stated in agreement)</w:t>
            </w: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allowance (basis on capital)</w:t>
            </w: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Remainder left after salary and interest (split based on ratio in agreement)</w:t>
            </w: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38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Total ( A + B = Total Income/loss)</w:t>
            </w:r>
          </w:p>
        </w:tc>
        <w:tc>
          <w:tcPr>
            <w:tcW w:w="171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17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23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r>
    </w:tbl>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Summary of Journal Entries</w:t>
      </w:r>
    </w:p>
    <w:tbl>
      <w:tblPr>
        <w:tblW w:w="0" w:type="auto"/>
        <w:tblCellSpacing w:w="0" w:type="dxa"/>
        <w:tblCellMar>
          <w:left w:w="0" w:type="dxa"/>
          <w:right w:w="0" w:type="dxa"/>
        </w:tblCellMar>
        <w:tblLook w:val="04A0" w:firstRow="1" w:lastRow="0" w:firstColumn="1" w:lastColumn="0" w:noHBand="0" w:noVBand="1"/>
      </w:tblPr>
      <w:tblGrid>
        <w:gridCol w:w="2175"/>
        <w:gridCol w:w="630"/>
        <w:gridCol w:w="2430"/>
        <w:gridCol w:w="4335"/>
      </w:tblGrid>
      <w:tr w:rsidR="00CD2333" w:rsidRPr="00740815" w:rsidTr="00A766E0">
        <w:trPr>
          <w:tblCellSpacing w:w="0" w:type="dxa"/>
        </w:trPr>
        <w:tc>
          <w:tcPr>
            <w:tcW w:w="2175" w:type="dxa"/>
            <w:hideMark/>
          </w:tcPr>
          <w:p w:rsidR="00A766E0" w:rsidRPr="00740815" w:rsidRDefault="00A766E0" w:rsidP="00A766E0">
            <w:pPr>
              <w:spacing w:after="0"/>
              <w:rPr>
                <w:rFonts w:ascii="Century Gothic" w:hAnsi="Century Gothic"/>
              </w:rPr>
            </w:pPr>
            <w:r w:rsidRPr="00740815">
              <w:rPr>
                <w:rFonts w:ascii="Century Gothic" w:hAnsi="Century Gothic"/>
              </w:rPr>
              <w:t>Investments</w:t>
            </w:r>
          </w:p>
        </w:tc>
        <w:tc>
          <w:tcPr>
            <w:tcW w:w="630" w:type="dxa"/>
            <w:hideMark/>
          </w:tcPr>
          <w:p w:rsidR="00A766E0" w:rsidRPr="00740815" w:rsidRDefault="00A766E0" w:rsidP="00A766E0">
            <w:pPr>
              <w:spacing w:after="0"/>
              <w:rPr>
                <w:rFonts w:ascii="Century Gothic" w:hAnsi="Century Gothic"/>
              </w:rPr>
            </w:pPr>
          </w:p>
        </w:tc>
        <w:tc>
          <w:tcPr>
            <w:tcW w:w="2430" w:type="dxa"/>
            <w:hideMark/>
          </w:tcPr>
          <w:p w:rsidR="00A766E0" w:rsidRPr="00740815" w:rsidRDefault="00A766E0" w:rsidP="00A766E0">
            <w:pPr>
              <w:spacing w:after="0"/>
              <w:rPr>
                <w:rFonts w:ascii="Century Gothic" w:hAnsi="Century Gothic"/>
              </w:rPr>
            </w:pPr>
          </w:p>
        </w:tc>
        <w:tc>
          <w:tcPr>
            <w:tcW w:w="4335" w:type="dxa"/>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2175" w:type="dxa"/>
            <w:hideMark/>
          </w:tcPr>
          <w:p w:rsidR="00A766E0" w:rsidRPr="00740815" w:rsidRDefault="00A766E0" w:rsidP="00A766E0">
            <w:pPr>
              <w:spacing w:after="0"/>
              <w:rPr>
                <w:rFonts w:ascii="Century Gothic" w:hAnsi="Century Gothic"/>
              </w:rPr>
            </w:pPr>
          </w:p>
        </w:tc>
        <w:tc>
          <w:tcPr>
            <w:tcW w:w="3060"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Cash</w:t>
            </w:r>
          </w:p>
        </w:tc>
        <w:tc>
          <w:tcPr>
            <w:tcW w:w="4335" w:type="dxa"/>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2175" w:type="dxa"/>
            <w:hideMark/>
          </w:tcPr>
          <w:p w:rsidR="00A766E0" w:rsidRPr="00740815" w:rsidRDefault="00A766E0" w:rsidP="00A766E0">
            <w:pPr>
              <w:spacing w:after="0"/>
              <w:rPr>
                <w:rFonts w:ascii="Century Gothic" w:hAnsi="Century Gothic"/>
              </w:rPr>
            </w:pPr>
          </w:p>
        </w:tc>
        <w:tc>
          <w:tcPr>
            <w:tcW w:w="3060"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Other Assets</w:t>
            </w:r>
          </w:p>
        </w:tc>
        <w:tc>
          <w:tcPr>
            <w:tcW w:w="4335" w:type="dxa"/>
            <w:hideMark/>
          </w:tcPr>
          <w:p w:rsidR="00A766E0" w:rsidRPr="00740815" w:rsidRDefault="00A766E0" w:rsidP="00A766E0">
            <w:pPr>
              <w:spacing w:after="0"/>
              <w:rPr>
                <w:rFonts w:ascii="Century Gothic" w:hAnsi="Century Gothic"/>
              </w:rPr>
            </w:pPr>
          </w:p>
        </w:tc>
      </w:tr>
      <w:tr w:rsidR="00CD2333" w:rsidRPr="00740815" w:rsidTr="00A766E0">
        <w:trPr>
          <w:tblCellSpacing w:w="0" w:type="dxa"/>
        </w:trPr>
        <w:tc>
          <w:tcPr>
            <w:tcW w:w="2175" w:type="dxa"/>
            <w:hideMark/>
          </w:tcPr>
          <w:p w:rsidR="00A766E0" w:rsidRPr="00740815" w:rsidRDefault="00A766E0" w:rsidP="00A766E0">
            <w:pPr>
              <w:spacing w:after="0"/>
              <w:rPr>
                <w:rFonts w:ascii="Century Gothic" w:hAnsi="Century Gothic"/>
              </w:rPr>
            </w:pPr>
          </w:p>
        </w:tc>
        <w:tc>
          <w:tcPr>
            <w:tcW w:w="630" w:type="dxa"/>
            <w:hideMark/>
          </w:tcPr>
          <w:p w:rsidR="00A766E0" w:rsidRPr="00740815" w:rsidRDefault="00A766E0" w:rsidP="00A766E0">
            <w:pPr>
              <w:spacing w:after="0"/>
              <w:rPr>
                <w:rFonts w:ascii="Century Gothic" w:hAnsi="Century Gothic"/>
              </w:rPr>
            </w:pPr>
          </w:p>
        </w:tc>
        <w:tc>
          <w:tcPr>
            <w:tcW w:w="6765"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“Capital, Partner A”</w:t>
            </w:r>
          </w:p>
        </w:tc>
      </w:tr>
      <w:tr w:rsidR="00CD2333" w:rsidRPr="00740815" w:rsidTr="00A766E0">
        <w:trPr>
          <w:tblCellSpacing w:w="0" w:type="dxa"/>
        </w:trPr>
        <w:tc>
          <w:tcPr>
            <w:tcW w:w="2175" w:type="dxa"/>
            <w:hideMark/>
          </w:tcPr>
          <w:p w:rsidR="00A766E0" w:rsidRPr="00740815" w:rsidRDefault="00A766E0" w:rsidP="00A766E0">
            <w:pPr>
              <w:spacing w:after="0"/>
              <w:rPr>
                <w:rFonts w:ascii="Century Gothic" w:hAnsi="Century Gothic"/>
              </w:rPr>
            </w:pPr>
          </w:p>
        </w:tc>
        <w:tc>
          <w:tcPr>
            <w:tcW w:w="630" w:type="dxa"/>
            <w:hideMark/>
          </w:tcPr>
          <w:p w:rsidR="00A766E0" w:rsidRPr="00740815" w:rsidRDefault="00A766E0" w:rsidP="00A766E0">
            <w:pPr>
              <w:spacing w:after="0"/>
              <w:rPr>
                <w:rFonts w:ascii="Century Gothic" w:hAnsi="Century Gothic"/>
              </w:rPr>
            </w:pPr>
          </w:p>
        </w:tc>
        <w:tc>
          <w:tcPr>
            <w:tcW w:w="6765"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“Capital, Partner B”</w:t>
            </w:r>
          </w:p>
        </w:tc>
      </w:tr>
    </w:tbl>
    <w:p w:rsidR="00A766E0" w:rsidRPr="00740815" w:rsidRDefault="00A766E0" w:rsidP="00A766E0">
      <w:pPr>
        <w:spacing w:after="0"/>
        <w:rPr>
          <w:rFonts w:ascii="Century Gothic" w:hAnsi="Century Gothic"/>
          <w:vanish/>
        </w:rPr>
      </w:pPr>
    </w:p>
    <w:tbl>
      <w:tblPr>
        <w:tblW w:w="0" w:type="auto"/>
        <w:tblCellSpacing w:w="0" w:type="dxa"/>
        <w:tblCellMar>
          <w:left w:w="0" w:type="dxa"/>
          <w:right w:w="0" w:type="dxa"/>
        </w:tblCellMar>
        <w:tblLook w:val="04A0" w:firstRow="1" w:lastRow="0" w:firstColumn="1" w:lastColumn="0" w:noHBand="0" w:noVBand="1"/>
      </w:tblPr>
      <w:tblGrid>
        <w:gridCol w:w="2142"/>
        <w:gridCol w:w="711"/>
        <w:gridCol w:w="2301"/>
        <w:gridCol w:w="4206"/>
      </w:tblGrid>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r w:rsidRPr="00740815">
              <w:rPr>
                <w:rFonts w:ascii="Century Gothic" w:hAnsi="Century Gothic"/>
              </w:rPr>
              <w:t>Withdrawals</w:t>
            </w:r>
          </w:p>
        </w:tc>
        <w:tc>
          <w:tcPr>
            <w:tcW w:w="711" w:type="dxa"/>
            <w:hideMark/>
          </w:tcPr>
          <w:p w:rsidR="00A766E0" w:rsidRPr="00740815" w:rsidRDefault="00A766E0" w:rsidP="00A766E0">
            <w:pPr>
              <w:spacing w:after="0"/>
              <w:rPr>
                <w:rFonts w:ascii="Century Gothic" w:hAnsi="Century Gothic"/>
              </w:rPr>
            </w:pPr>
          </w:p>
        </w:tc>
        <w:tc>
          <w:tcPr>
            <w:tcW w:w="2301" w:type="dxa"/>
            <w:hideMark/>
          </w:tcPr>
          <w:p w:rsidR="00A766E0" w:rsidRPr="00740815" w:rsidRDefault="00A766E0" w:rsidP="00A766E0">
            <w:pPr>
              <w:spacing w:after="0"/>
              <w:rPr>
                <w:rFonts w:ascii="Century Gothic" w:hAnsi="Century Gothic"/>
              </w:rPr>
            </w:pPr>
          </w:p>
        </w:tc>
        <w:tc>
          <w:tcPr>
            <w:tcW w:w="4206" w:type="dxa"/>
            <w:hideMark/>
          </w:tcPr>
          <w:p w:rsidR="00A766E0" w:rsidRPr="00740815" w:rsidRDefault="00A766E0" w:rsidP="00A766E0">
            <w:pPr>
              <w:spacing w:after="0"/>
              <w:rPr>
                <w:rFonts w:ascii="Century Gothic" w:hAnsi="Century Gothic"/>
              </w:rPr>
            </w:pP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3012"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“Withdrawals, Partner A”</w:t>
            </w:r>
          </w:p>
        </w:tc>
        <w:tc>
          <w:tcPr>
            <w:tcW w:w="4206" w:type="dxa"/>
            <w:hideMark/>
          </w:tcPr>
          <w:p w:rsidR="00A766E0" w:rsidRPr="00740815" w:rsidRDefault="00A766E0" w:rsidP="00A766E0">
            <w:pPr>
              <w:spacing w:after="0"/>
              <w:rPr>
                <w:rFonts w:ascii="Century Gothic" w:hAnsi="Century Gothic"/>
              </w:rPr>
            </w:pP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3012"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“Withdrawals, Partner B”</w:t>
            </w:r>
          </w:p>
        </w:tc>
        <w:tc>
          <w:tcPr>
            <w:tcW w:w="4206" w:type="dxa"/>
            <w:hideMark/>
          </w:tcPr>
          <w:p w:rsidR="00A766E0" w:rsidRPr="00740815" w:rsidRDefault="00A766E0" w:rsidP="00A766E0">
            <w:pPr>
              <w:spacing w:after="0"/>
              <w:rPr>
                <w:rFonts w:ascii="Century Gothic" w:hAnsi="Century Gothic"/>
              </w:rPr>
            </w:pP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711" w:type="dxa"/>
            <w:hideMark/>
          </w:tcPr>
          <w:p w:rsidR="00A766E0" w:rsidRPr="00740815" w:rsidRDefault="00A766E0" w:rsidP="00A766E0">
            <w:pPr>
              <w:spacing w:after="0"/>
              <w:rPr>
                <w:rFonts w:ascii="Century Gothic" w:hAnsi="Century Gothic"/>
              </w:rPr>
            </w:pPr>
          </w:p>
        </w:tc>
        <w:tc>
          <w:tcPr>
            <w:tcW w:w="6507"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Cash</w:t>
            </w: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r w:rsidRPr="00740815">
              <w:rPr>
                <w:rFonts w:ascii="Century Gothic" w:hAnsi="Century Gothic"/>
              </w:rPr>
              <w:t>Income Allocation</w:t>
            </w:r>
          </w:p>
        </w:tc>
        <w:tc>
          <w:tcPr>
            <w:tcW w:w="711" w:type="dxa"/>
            <w:hideMark/>
          </w:tcPr>
          <w:p w:rsidR="00A766E0" w:rsidRPr="00740815" w:rsidRDefault="00A766E0" w:rsidP="00A766E0">
            <w:pPr>
              <w:spacing w:after="0"/>
              <w:rPr>
                <w:rFonts w:ascii="Century Gothic" w:hAnsi="Century Gothic"/>
              </w:rPr>
            </w:pPr>
          </w:p>
        </w:tc>
        <w:tc>
          <w:tcPr>
            <w:tcW w:w="2301" w:type="dxa"/>
            <w:hideMark/>
          </w:tcPr>
          <w:p w:rsidR="00A766E0" w:rsidRPr="00740815" w:rsidRDefault="00A766E0" w:rsidP="00A766E0">
            <w:pPr>
              <w:spacing w:after="0"/>
              <w:rPr>
                <w:rFonts w:ascii="Century Gothic" w:hAnsi="Century Gothic"/>
              </w:rPr>
            </w:pPr>
          </w:p>
        </w:tc>
        <w:tc>
          <w:tcPr>
            <w:tcW w:w="4206" w:type="dxa"/>
            <w:hideMark/>
          </w:tcPr>
          <w:p w:rsidR="00A766E0" w:rsidRPr="00740815" w:rsidRDefault="00A766E0" w:rsidP="00A766E0">
            <w:pPr>
              <w:spacing w:after="0"/>
              <w:rPr>
                <w:rFonts w:ascii="Century Gothic" w:hAnsi="Century Gothic"/>
              </w:rPr>
            </w:pP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3012"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Income Summary</w:t>
            </w:r>
          </w:p>
        </w:tc>
        <w:tc>
          <w:tcPr>
            <w:tcW w:w="4206" w:type="dxa"/>
            <w:hideMark/>
          </w:tcPr>
          <w:p w:rsidR="00A766E0" w:rsidRPr="00740815" w:rsidRDefault="00A766E0" w:rsidP="00A766E0">
            <w:pPr>
              <w:spacing w:after="0"/>
              <w:rPr>
                <w:rFonts w:ascii="Century Gothic" w:hAnsi="Century Gothic"/>
              </w:rPr>
            </w:pP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711" w:type="dxa"/>
            <w:hideMark/>
          </w:tcPr>
          <w:p w:rsidR="00A766E0" w:rsidRPr="00740815" w:rsidRDefault="00A766E0" w:rsidP="00A766E0">
            <w:pPr>
              <w:spacing w:after="0"/>
              <w:rPr>
                <w:rFonts w:ascii="Century Gothic" w:hAnsi="Century Gothic"/>
              </w:rPr>
            </w:pPr>
          </w:p>
        </w:tc>
        <w:tc>
          <w:tcPr>
            <w:tcW w:w="6507"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“Capital, Partner A”</w:t>
            </w:r>
          </w:p>
        </w:tc>
      </w:tr>
      <w:tr w:rsidR="00A766E0" w:rsidRPr="00740815" w:rsidTr="00A766E0">
        <w:trPr>
          <w:tblCellSpacing w:w="0" w:type="dxa"/>
        </w:trPr>
        <w:tc>
          <w:tcPr>
            <w:tcW w:w="2142" w:type="dxa"/>
            <w:hideMark/>
          </w:tcPr>
          <w:p w:rsidR="00A766E0" w:rsidRPr="00740815" w:rsidRDefault="00A766E0" w:rsidP="00A766E0">
            <w:pPr>
              <w:spacing w:after="0"/>
              <w:rPr>
                <w:rFonts w:ascii="Century Gothic" w:hAnsi="Century Gothic"/>
              </w:rPr>
            </w:pPr>
          </w:p>
        </w:tc>
        <w:tc>
          <w:tcPr>
            <w:tcW w:w="711" w:type="dxa"/>
            <w:hideMark/>
          </w:tcPr>
          <w:p w:rsidR="00A766E0" w:rsidRPr="00740815" w:rsidRDefault="00A766E0" w:rsidP="00A766E0">
            <w:pPr>
              <w:spacing w:after="0"/>
              <w:rPr>
                <w:rFonts w:ascii="Century Gothic" w:hAnsi="Century Gothic"/>
              </w:rPr>
            </w:pPr>
          </w:p>
        </w:tc>
        <w:tc>
          <w:tcPr>
            <w:tcW w:w="6507" w:type="dxa"/>
            <w:gridSpan w:val="2"/>
            <w:hideMark/>
          </w:tcPr>
          <w:p w:rsidR="00A766E0" w:rsidRPr="00740815" w:rsidRDefault="00A766E0" w:rsidP="00A766E0">
            <w:pPr>
              <w:spacing w:after="0"/>
              <w:rPr>
                <w:rFonts w:ascii="Century Gothic" w:hAnsi="Century Gothic"/>
              </w:rPr>
            </w:pPr>
            <w:r w:rsidRPr="00740815">
              <w:rPr>
                <w:rFonts w:ascii="Century Gothic" w:hAnsi="Century Gothic"/>
              </w:rPr>
              <w:t>“Capital, Partner B” Note:  reverse the entry if recording a loss</w:t>
            </w:r>
          </w:p>
        </w:tc>
      </w:tr>
    </w:tbl>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There is no limit to the possible combinations of income splitting amongst partners.  Remember that the calculations derived do not constitute a journal entry but merely support the entry.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Some people would liken a partnership agreement to pre-marital counseling. Try to work out problems before they occur.  Money management is often a large source of conflict amongst people so planning for how to split up profits and losses before they occur may alleviate much tension or disputes.</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5.</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Characteristics of a corporation</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Corporations are separate legal entities that can do business with the same rights and responsibilities as a person.</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B:  There is Limited liability to the shareholders.  They can lose no more </w:t>
      </w:r>
      <w:proofErr w:type="spellStart"/>
      <w:r w:rsidRPr="00740815">
        <w:rPr>
          <w:rFonts w:ascii="Century Gothic" w:hAnsi="Century Gothic"/>
          <w:sz w:val="22"/>
          <w:szCs w:val="22"/>
        </w:rPr>
        <w:t>that</w:t>
      </w:r>
      <w:proofErr w:type="spellEnd"/>
      <w:r w:rsidRPr="00740815">
        <w:rPr>
          <w:rFonts w:ascii="Century Gothic" w:hAnsi="Century Gothic"/>
          <w:sz w:val="22"/>
          <w:szCs w:val="22"/>
        </w:rPr>
        <w:t xml:space="preserve"> what they have invested.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  Share (ownership) can be transferred or sold.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  Corporations have a continuous life.  It does not end when the shareholders are deceased.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E:  Shareholders are not agents of the corporation and cannot enter into contracts that become binding on the corporation.</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lastRenderedPageBreak/>
        <w:t>F:  It is generally easier for corporations to raise capital than it is for sole proprietors and partnership forms of business.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G:  There </w:t>
      </w:r>
      <w:proofErr w:type="gramStart"/>
      <w:r w:rsidRPr="00740815">
        <w:rPr>
          <w:rFonts w:ascii="Century Gothic" w:hAnsi="Century Gothic"/>
          <w:sz w:val="22"/>
          <w:szCs w:val="22"/>
        </w:rPr>
        <w:t>is</w:t>
      </w:r>
      <w:proofErr w:type="gramEnd"/>
      <w:r w:rsidRPr="00740815">
        <w:rPr>
          <w:rFonts w:ascii="Century Gothic" w:hAnsi="Century Gothic"/>
          <w:sz w:val="22"/>
          <w:szCs w:val="22"/>
        </w:rPr>
        <w:t xml:space="preserve"> more governmental regulations imposed on corporations.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H:  Corporations are taxed independent of its shareholders.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Rights of shareholders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 </w:t>
      </w:r>
      <w:r w:rsidRPr="00740815">
        <w:rPr>
          <w:rFonts w:ascii="Century Gothic" w:hAnsi="Century Gothic"/>
          <w:sz w:val="22"/>
          <w:szCs w:val="22"/>
        </w:rPr>
        <w:t>There are two classes of shares, common and preferred.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Common shareholders have the right to vote and to receive dividends but only after preferred shareholders have received their share of any dividends declared. They also have the right to receive property if the business closes.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As the name implies, preferred shares have preferential treatment when it comes to the distribution of income and the division of assets upon liquidation however they do not have any voting rights.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Issuing Shares</w:t>
      </w:r>
    </w:p>
    <w:tbl>
      <w:tblPr>
        <w:tblW w:w="90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5"/>
        <w:gridCol w:w="2472"/>
        <w:gridCol w:w="240"/>
        <w:gridCol w:w="3683"/>
        <w:gridCol w:w="240"/>
      </w:tblGrid>
      <w:tr w:rsidR="00A766E0" w:rsidRPr="00740815" w:rsidTr="00A766E0">
        <w:trPr>
          <w:tblCellSpacing w:w="0" w:type="dxa"/>
        </w:trPr>
        <w:tc>
          <w:tcPr>
            <w:tcW w:w="49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Shares may be issued for cash or other assets</w:t>
            </w:r>
          </w:p>
        </w:tc>
        <w:tc>
          <w:tcPr>
            <w:tcW w:w="393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4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246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
        </w:tc>
        <w:tc>
          <w:tcPr>
            <w:tcW w:w="246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w:t>
            </w:r>
          </w:p>
        </w:tc>
        <w:tc>
          <w:tcPr>
            <w:tcW w:w="393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w:t>
            </w:r>
          </w:p>
        </w:tc>
        <w:tc>
          <w:tcPr>
            <w:tcW w:w="24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493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right"/>
              <w:rPr>
                <w:rFonts w:ascii="Century Gothic" w:hAnsi="Century Gothic"/>
                <w:sz w:val="22"/>
                <w:szCs w:val="22"/>
              </w:rPr>
            </w:pPr>
            <w:r w:rsidRPr="00740815">
              <w:rPr>
                <w:rFonts w:ascii="Century Gothic" w:hAnsi="Century Gothic"/>
                <w:sz w:val="22"/>
                <w:szCs w:val="22"/>
              </w:rPr>
              <w:t>Common Shares</w:t>
            </w:r>
          </w:p>
        </w:tc>
        <w:tc>
          <w:tcPr>
            <w:tcW w:w="2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93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w:t>
            </w:r>
          </w:p>
        </w:tc>
      </w:tr>
      <w:tr w:rsidR="00A766E0" w:rsidRPr="00740815" w:rsidTr="00A766E0">
        <w:trPr>
          <w:tblCellSpacing w:w="0" w:type="dxa"/>
        </w:trPr>
        <w:tc>
          <w:tcPr>
            <w:tcW w:w="246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c>
          <w:tcPr>
            <w:tcW w:w="246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c>
          <w:tcPr>
            <w:tcW w:w="24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c>
          <w:tcPr>
            <w:tcW w:w="369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c>
          <w:tcPr>
            <w:tcW w:w="240" w:type="dxa"/>
            <w:tcBorders>
              <w:top w:val="outset" w:sz="6" w:space="0" w:color="auto"/>
              <w:left w:val="outset" w:sz="6" w:space="0" w:color="auto"/>
              <w:bottom w:val="outset" w:sz="6" w:space="0" w:color="auto"/>
              <w:right w:val="outset" w:sz="6" w:space="0" w:color="auto"/>
            </w:tcBorders>
            <w:vAlign w:val="center"/>
            <w:hideMark/>
          </w:tcPr>
          <w:p w:rsidR="00A766E0" w:rsidRPr="00740815" w:rsidRDefault="00A766E0" w:rsidP="00A766E0">
            <w:pPr>
              <w:spacing w:after="0"/>
              <w:rPr>
                <w:rFonts w:ascii="Century Gothic" w:hAnsi="Century Gothic"/>
              </w:rPr>
            </w:pPr>
          </w:p>
        </w:tc>
      </w:tr>
    </w:tbl>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Record the transaction for </w:t>
      </w:r>
      <w:proofErr w:type="spellStart"/>
      <w:r w:rsidRPr="00740815">
        <w:rPr>
          <w:rFonts w:ascii="Century Gothic" w:hAnsi="Century Gothic"/>
          <w:sz w:val="22"/>
          <w:szCs w:val="22"/>
        </w:rPr>
        <w:t>non cash</w:t>
      </w:r>
      <w:proofErr w:type="spellEnd"/>
      <w:r w:rsidRPr="00740815">
        <w:rPr>
          <w:rFonts w:ascii="Century Gothic" w:hAnsi="Century Gothic"/>
          <w:sz w:val="22"/>
          <w:szCs w:val="22"/>
        </w:rPr>
        <w:t xml:space="preserve"> assets at the fair market value of assets given up.  If the fair market value of assets given up cannot be determined, the fair value of the asset received is used.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0"/>
        <w:gridCol w:w="990"/>
        <w:gridCol w:w="3930"/>
      </w:tblGrid>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Issuing preferred shares for  Cash</w:t>
            </w:r>
          </w:p>
        </w:tc>
        <w:tc>
          <w:tcPr>
            <w:tcW w:w="49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center"/>
              <w:rPr>
                <w:rFonts w:ascii="Century Gothic" w:hAnsi="Century Gothic"/>
                <w:sz w:val="22"/>
                <w:szCs w:val="22"/>
              </w:rPr>
            </w:pPr>
            <w:r w:rsidRPr="00740815">
              <w:rPr>
                <w:rFonts w:ascii="Century Gothic" w:hAnsi="Century Gothic"/>
                <w:sz w:val="22"/>
                <w:szCs w:val="22"/>
              </w:rPr>
              <w:t>Cash</w:t>
            </w:r>
          </w:p>
        </w:tc>
        <w:tc>
          <w:tcPr>
            <w:tcW w:w="49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w:t>
            </w:r>
          </w:p>
        </w:tc>
      </w:tr>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right"/>
              <w:rPr>
                <w:rFonts w:ascii="Century Gothic" w:hAnsi="Century Gothic"/>
                <w:sz w:val="22"/>
                <w:szCs w:val="22"/>
              </w:rPr>
            </w:pPr>
            <w:r w:rsidRPr="00740815">
              <w:rPr>
                <w:rFonts w:ascii="Century Gothic" w:hAnsi="Century Gothic"/>
                <w:sz w:val="22"/>
                <w:szCs w:val="22"/>
              </w:rPr>
              <w:t>Preferred Shares</w:t>
            </w:r>
          </w:p>
        </w:tc>
        <w:tc>
          <w:tcPr>
            <w:tcW w:w="9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w:t>
            </w:r>
          </w:p>
        </w:tc>
      </w:tr>
    </w:tbl>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Click here to see a short video on the concept of dividends: </w:t>
      </w:r>
      <w:hyperlink r:id="rId8" w:tgtFrame="_blank" w:tooltip="video on Corporations" w:history="1">
        <w:r w:rsidRPr="00740815">
          <w:rPr>
            <w:rStyle w:val="Hyperlink"/>
            <w:rFonts w:ascii="Century Gothic" w:eastAsiaTheme="majorEastAsia" w:hAnsi="Century Gothic"/>
            <w:color w:val="auto"/>
            <w:sz w:val="22"/>
            <w:szCs w:val="22"/>
            <w:u w:val="none"/>
          </w:rPr>
          <w:t>Connect – Corporations</w:t>
        </w:r>
      </w:hyperlink>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Dividends are not an absolute right of the shareholders.  The Board of Directors must declare a dividend issuance.  There must be sufficient cash and retained earnings available for dividends to be declared.  Three important dates are: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Date of Declaration – The date the Board of Directors meets and takes the decision to issue dividends.  At this time the corporation has an obligation to record the liability of the dividend.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choice of entries could be made;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0"/>
        <w:gridCol w:w="990"/>
        <w:gridCol w:w="3930"/>
      </w:tblGrid>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Cash/Share Dividend</w:t>
            </w:r>
          </w:p>
        </w:tc>
        <w:tc>
          <w:tcPr>
            <w:tcW w:w="49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XXX</w:t>
            </w:r>
          </w:p>
        </w:tc>
      </w:tr>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right"/>
              <w:rPr>
                <w:rFonts w:ascii="Century Gothic" w:hAnsi="Century Gothic"/>
                <w:sz w:val="22"/>
                <w:szCs w:val="22"/>
              </w:rPr>
            </w:pPr>
            <w:r w:rsidRPr="00740815">
              <w:rPr>
                <w:rFonts w:ascii="Century Gothic" w:hAnsi="Century Gothic"/>
                <w:sz w:val="22"/>
                <w:szCs w:val="22"/>
              </w:rPr>
              <w:t>Cash/Share Dividend Payable</w:t>
            </w:r>
          </w:p>
        </w:tc>
        <w:tc>
          <w:tcPr>
            <w:tcW w:w="9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XXX</w:t>
            </w:r>
          </w:p>
        </w:tc>
      </w:tr>
    </w:tbl>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OR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0"/>
        <w:gridCol w:w="990"/>
        <w:gridCol w:w="3930"/>
      </w:tblGrid>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Retained Earnings</w:t>
            </w:r>
          </w:p>
        </w:tc>
        <w:tc>
          <w:tcPr>
            <w:tcW w:w="49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XXX</w:t>
            </w:r>
          </w:p>
        </w:tc>
      </w:tr>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right"/>
              <w:rPr>
                <w:rFonts w:ascii="Century Gothic" w:hAnsi="Century Gothic"/>
                <w:sz w:val="22"/>
                <w:szCs w:val="22"/>
              </w:rPr>
            </w:pPr>
            <w:r w:rsidRPr="00740815">
              <w:rPr>
                <w:rFonts w:ascii="Century Gothic" w:hAnsi="Century Gothic"/>
                <w:sz w:val="22"/>
                <w:szCs w:val="22"/>
              </w:rPr>
              <w:t>Cash/Share Dividend Payable</w:t>
            </w:r>
          </w:p>
        </w:tc>
        <w:tc>
          <w:tcPr>
            <w:tcW w:w="9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XXX</w:t>
            </w:r>
          </w:p>
        </w:tc>
      </w:tr>
    </w:tbl>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lastRenderedPageBreak/>
        <w:t>If the first entry is chosen then a closing entry is required at the end of the year that debits Retained Earnings and credits the cash/share dividend account.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B:  Date of Record – Shareholders on the date of record are the ones that will receive the dividends.  No entries are required on this day.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C:  Date of Payment – The day the dividend </w:t>
      </w:r>
      <w:proofErr w:type="spellStart"/>
      <w:r w:rsidRPr="00740815">
        <w:rPr>
          <w:rFonts w:ascii="Century Gothic" w:hAnsi="Century Gothic"/>
          <w:sz w:val="22"/>
          <w:szCs w:val="22"/>
        </w:rPr>
        <w:t>cheque</w:t>
      </w:r>
      <w:proofErr w:type="spellEnd"/>
      <w:r w:rsidRPr="00740815">
        <w:rPr>
          <w:rFonts w:ascii="Century Gothic" w:hAnsi="Century Gothic"/>
          <w:sz w:val="22"/>
          <w:szCs w:val="22"/>
        </w:rPr>
        <w:t xml:space="preserve"> will be sent.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0"/>
        <w:gridCol w:w="990"/>
        <w:gridCol w:w="3930"/>
      </w:tblGrid>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Cash/Share Dividend Payable</w:t>
            </w:r>
          </w:p>
        </w:tc>
        <w:tc>
          <w:tcPr>
            <w:tcW w:w="49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XXX</w:t>
            </w:r>
          </w:p>
        </w:tc>
      </w:tr>
      <w:tr w:rsidR="00A766E0" w:rsidRPr="00740815" w:rsidTr="00A766E0">
        <w:trPr>
          <w:tblCellSpacing w:w="0" w:type="dxa"/>
        </w:trPr>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pStyle w:val="NormalWeb"/>
              <w:spacing w:after="0" w:afterAutospacing="0"/>
              <w:jc w:val="right"/>
              <w:rPr>
                <w:rFonts w:ascii="Century Gothic" w:hAnsi="Century Gothic"/>
                <w:sz w:val="22"/>
                <w:szCs w:val="22"/>
              </w:rPr>
            </w:pPr>
            <w:r w:rsidRPr="00740815">
              <w:rPr>
                <w:rFonts w:ascii="Century Gothic" w:hAnsi="Century Gothic"/>
                <w:sz w:val="22"/>
                <w:szCs w:val="22"/>
              </w:rPr>
              <w:t>Cash/ Common or Preferred Shares</w:t>
            </w:r>
          </w:p>
        </w:tc>
        <w:tc>
          <w:tcPr>
            <w:tcW w:w="99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39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XXX</w:t>
            </w:r>
          </w:p>
        </w:tc>
      </w:tr>
    </w:tbl>
    <w:p w:rsidR="00AE54A2" w:rsidRPr="00740815" w:rsidRDefault="00AE54A2" w:rsidP="00A766E0">
      <w:pPr>
        <w:spacing w:after="0"/>
        <w:rPr>
          <w:rFonts w:ascii="Century Gothic" w:hAnsi="Century Gothic"/>
        </w:rPr>
      </w:pP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The board of directors makes all decisions regarding dividends.  The date of </w:t>
      </w:r>
      <w:proofErr w:type="spellStart"/>
      <w:r w:rsidRPr="00740815">
        <w:rPr>
          <w:rFonts w:ascii="Century Gothic" w:hAnsi="Century Gothic"/>
          <w:sz w:val="22"/>
          <w:szCs w:val="22"/>
        </w:rPr>
        <w:t>declartion</w:t>
      </w:r>
      <w:proofErr w:type="spellEnd"/>
      <w:r w:rsidRPr="00740815">
        <w:rPr>
          <w:rFonts w:ascii="Century Gothic" w:hAnsi="Century Gothic"/>
          <w:sz w:val="22"/>
          <w:szCs w:val="22"/>
        </w:rPr>
        <w:t xml:space="preserve"> is the date the liability to pay dividends is created.  All shareholders holding shares as of the date of record are eligible to receive the declared dividend.  The dividend payment date is when dividends are actually paid.</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6.</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Rights of shareholders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There are two classes of shares, common and preferred.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Common shareholders have the right to vote and to receive dividends but only after preferred shareholders have received their share of any dividends declared. They also have the right to receive property if the business closes.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As the name implies, preferred shares have preferential treatment when it comes to the distribution of income and the division of assets upon liquidation however they do not have any voting rights.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Special Features of Preferred Shares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A:  Cumulative or Non </w:t>
      </w:r>
      <w:proofErr w:type="spellStart"/>
      <w:r w:rsidRPr="00740815">
        <w:rPr>
          <w:rFonts w:ascii="Century Gothic" w:hAnsi="Century Gothic"/>
          <w:sz w:val="22"/>
          <w:szCs w:val="22"/>
        </w:rPr>
        <w:t>Cummulative</w:t>
      </w:r>
      <w:proofErr w:type="spellEnd"/>
      <w:r w:rsidRPr="00740815">
        <w:rPr>
          <w:rFonts w:ascii="Century Gothic" w:hAnsi="Century Gothic"/>
          <w:sz w:val="22"/>
          <w:szCs w:val="22"/>
        </w:rPr>
        <w:t xml:space="preserve"> – If a preferred share is cumulative then it has first claim on any undeclared and unpaid dividends from previous years before the non </w:t>
      </w:r>
      <w:proofErr w:type="spellStart"/>
      <w:r w:rsidRPr="00740815">
        <w:rPr>
          <w:rFonts w:ascii="Century Gothic" w:hAnsi="Century Gothic"/>
          <w:sz w:val="22"/>
          <w:szCs w:val="22"/>
        </w:rPr>
        <w:t>cummulative</w:t>
      </w:r>
      <w:proofErr w:type="spellEnd"/>
      <w:r w:rsidRPr="00740815">
        <w:rPr>
          <w:rFonts w:ascii="Century Gothic" w:hAnsi="Century Gothic"/>
          <w:sz w:val="22"/>
          <w:szCs w:val="22"/>
        </w:rPr>
        <w:t xml:space="preserve"> and common stock.</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B:  Participating or </w:t>
      </w:r>
      <w:proofErr w:type="spellStart"/>
      <w:r w:rsidRPr="00740815">
        <w:rPr>
          <w:rFonts w:ascii="Century Gothic" w:hAnsi="Century Gothic"/>
          <w:sz w:val="22"/>
          <w:szCs w:val="22"/>
        </w:rPr>
        <w:t>Non Participating</w:t>
      </w:r>
      <w:proofErr w:type="spellEnd"/>
      <w:r w:rsidRPr="00740815">
        <w:rPr>
          <w:rFonts w:ascii="Century Gothic" w:hAnsi="Century Gothic"/>
          <w:sz w:val="22"/>
          <w:szCs w:val="22"/>
        </w:rPr>
        <w:t xml:space="preserve"> – If a preferred share has a participating feature, it has the right to share in dividends in excess of the dollar amount specified for preferred shares.  With a non-participating share the dividends are limited each year to a maximum amount.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lastRenderedPageBreak/>
        <w:t>C:  Convertible – This share offers the shareholder the right to convert to common shares at a specified rate.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  Callable – These types of shares allow the issuing corporations the right to purchase back the shares at specified future prices and dates.</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Why </w:t>
      </w:r>
      <w:proofErr w:type="gramStart"/>
      <w:r w:rsidRPr="00740815">
        <w:rPr>
          <w:rFonts w:ascii="Century Gothic" w:hAnsi="Century Gothic"/>
          <w:sz w:val="22"/>
          <w:szCs w:val="22"/>
        </w:rPr>
        <w:t>would a company</w:t>
      </w:r>
      <w:proofErr w:type="gramEnd"/>
      <w:r w:rsidRPr="00740815">
        <w:rPr>
          <w:rFonts w:ascii="Century Gothic" w:hAnsi="Century Gothic"/>
          <w:sz w:val="22"/>
          <w:szCs w:val="22"/>
        </w:rPr>
        <w:t xml:space="preserve"> chose to issue preferred shares?  They may not want to sacrifice control of the business.  It is also possible that given the type of preferred share and the limit on the amount of dividends available, the return on investment to the common shareholder may be maximized. This is known a financial leverage.  There are other reasons as well.  One has to review the overall goal and risk environment the business is in when deciding what type of shares to offer.</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7.</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LESSON NOTES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 Comparing Financial and Managerial Accounting</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5"/>
        <w:gridCol w:w="4425"/>
      </w:tblGrid>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Financial Accounting</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Managerial Accounting</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Reports used by those external to the Organization: Investors, Regulators, Tax management Authorities etc.</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Reports used by internal</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Relates to past transactions/activities</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Emphases is on future</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Emphasizes objectivity and verifiability Of data</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Relevance and flexibility of data</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Precision of information required</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Timeliness of information required</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Data reported for entire organization only</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Detailed segment reports for departments, products, customers, etc.</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Must follow GAAP</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Not required to follow GAAP</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Mandatory for external reporting</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Not mandatory to perform</w:t>
            </w:r>
          </w:p>
        </w:tc>
      </w:tr>
    </w:tbl>
    <w:p w:rsidR="00A766E0" w:rsidRPr="00740815" w:rsidRDefault="00A766E0" w:rsidP="00A766E0">
      <w:pPr>
        <w:spacing w:after="0"/>
        <w:rPr>
          <w:rFonts w:ascii="Century Gothic" w:hAnsi="Century Gothic"/>
        </w:rPr>
      </w:pP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Managerial Accounting is vastly different from Financial Accounting.  It allows the opportunity to analyze business activities not just from a historical perspective but also potential future outcomes of business decisions.  The practices under managerial accounting involve sensitive information and thus the distribution outside of the business is strictly managed.</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lastRenderedPageBreak/>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8.</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Cost Classifications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5"/>
        <w:gridCol w:w="4425"/>
      </w:tblGrid>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Purpose of Cost Classification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Cost Classification</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Style w:val="Strong"/>
                <w:rFonts w:ascii="Century Gothic" w:hAnsi="Century Gothic"/>
                <w:b w:val="0"/>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Style w:val="Strong"/>
                <w:rFonts w:ascii="Century Gothic" w:hAnsi="Century Gothic"/>
                <w:b w:val="0"/>
              </w:rPr>
              <w:t> </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Preparing External Statements</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Product costs (</w:t>
            </w:r>
            <w:proofErr w:type="spellStart"/>
            <w:r w:rsidRPr="00740815">
              <w:rPr>
                <w:rFonts w:ascii="Century Gothic" w:hAnsi="Century Gothic"/>
              </w:rPr>
              <w:t>inventoriable</w:t>
            </w:r>
            <w:proofErr w:type="spellEnd"/>
            <w:r w:rsidRPr="00740815">
              <w:rPr>
                <w:rFonts w:ascii="Century Gothic" w:hAnsi="Century Gothic"/>
              </w:rPr>
              <w:t>)</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Direct Materials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Direct </w:t>
            </w:r>
            <w:proofErr w:type="spellStart"/>
            <w:r w:rsidRPr="00740815">
              <w:rPr>
                <w:rFonts w:ascii="Century Gothic" w:hAnsi="Century Gothic"/>
              </w:rPr>
              <w:t>labour</w:t>
            </w:r>
            <w:proofErr w:type="spellEnd"/>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Manufacturing Overhead</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Period Costs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proofErr w:type="spellStart"/>
            <w:r w:rsidRPr="00740815">
              <w:rPr>
                <w:rFonts w:ascii="Century Gothic" w:hAnsi="Century Gothic"/>
              </w:rPr>
              <w:t>Non Manufacturing</w:t>
            </w:r>
            <w:proofErr w:type="spellEnd"/>
            <w:r w:rsidRPr="00740815">
              <w:rPr>
                <w:rFonts w:ascii="Century Gothic" w:hAnsi="Century Gothic"/>
              </w:rPr>
              <w:t xml:space="preserve"> Costs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Marketing or Sales costs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Administrative costs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Predicting cost behaviors in response to changes in activity</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Variable costs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Fixed Costs</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Assigning costs to cost objects, such as departments or products</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Direct Cost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Indirect Cost</w:t>
            </w:r>
          </w:p>
        </w:tc>
      </w:tr>
      <w:tr w:rsidR="00A766E0" w:rsidRPr="00740815" w:rsidTr="00A766E0">
        <w:trPr>
          <w:tblCellSpacing w:w="0" w:type="dxa"/>
        </w:trPr>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Making decisions</w:t>
            </w:r>
          </w:p>
        </w:tc>
        <w:tc>
          <w:tcPr>
            <w:tcW w:w="442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Differential cost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Sunk cost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Opportunity cost</w:t>
            </w:r>
          </w:p>
        </w:tc>
      </w:tr>
    </w:tbl>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Summary of Manufacturing Cost Concepts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15"/>
        <w:gridCol w:w="1830"/>
        <w:gridCol w:w="1665"/>
        <w:gridCol w:w="2655"/>
      </w:tblGrid>
      <w:tr w:rsidR="00A766E0" w:rsidRPr="00740815" w:rsidTr="00A766E0">
        <w:trPr>
          <w:tblCellSpacing w:w="0" w:type="dxa"/>
        </w:trPr>
        <w:tc>
          <w:tcPr>
            <w:tcW w:w="4545"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FACTORY</w:t>
            </w:r>
          </w:p>
        </w:tc>
        <w:tc>
          <w:tcPr>
            <w:tcW w:w="43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ADMINISTRATION &amp; SALES</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Product Cost (Inventory)</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3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Period Costs</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3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Direct Materials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(Variable)</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43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All </w:t>
            </w:r>
            <w:proofErr w:type="spellStart"/>
            <w:r w:rsidRPr="00740815">
              <w:rPr>
                <w:rFonts w:ascii="Century Gothic" w:hAnsi="Century Gothic"/>
              </w:rPr>
              <w:t>non manufacturing</w:t>
            </w:r>
            <w:proofErr w:type="spellEnd"/>
            <w:r w:rsidRPr="00740815">
              <w:rPr>
                <w:rFonts w:ascii="Century Gothic" w:hAnsi="Century Gothic"/>
              </w:rPr>
              <w:t xml:space="preserve"> costs</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Prime Costs</w:t>
            </w:r>
          </w:p>
        </w:tc>
        <w:tc>
          <w:tcPr>
            <w:tcW w:w="4320" w:type="dxa"/>
            <w:gridSpan w:val="2"/>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Direct Materials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(Variable)</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66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6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Conversion Costs</w:t>
            </w:r>
          </w:p>
        </w:tc>
        <w:tc>
          <w:tcPr>
            <w:tcW w:w="166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6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lastRenderedPageBreak/>
              <w:t>Manufacturing Overhead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(Variable or Fixed)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Indirect Material</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          Indirect </w:t>
            </w:r>
            <w:proofErr w:type="spellStart"/>
            <w:r w:rsidRPr="00740815">
              <w:rPr>
                <w:rFonts w:ascii="Century Gothic" w:hAnsi="Century Gothic"/>
                <w:sz w:val="22"/>
                <w:szCs w:val="22"/>
              </w:rPr>
              <w:t>Labour</w:t>
            </w:r>
            <w:proofErr w:type="spellEnd"/>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Other factory costs</w:t>
            </w:r>
          </w:p>
        </w:tc>
        <w:tc>
          <w:tcPr>
            <w:tcW w:w="183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166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c>
          <w:tcPr>
            <w:tcW w:w="2640"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bl>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 Helpful Hints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Format is very important when preparing the Schedule of Cost of Goods Manufactured and the cost of Goods Sold.  Please be sure to familiarize yourself with the example provided in your text.</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There are four categories that we can identify costs by:  </w:t>
      </w:r>
      <w:proofErr w:type="spellStart"/>
      <w:r w:rsidRPr="00740815">
        <w:rPr>
          <w:rFonts w:ascii="Century Gothic" w:hAnsi="Century Gothic"/>
          <w:sz w:val="22"/>
          <w:szCs w:val="22"/>
        </w:rPr>
        <w:t>behaviour</w:t>
      </w:r>
      <w:proofErr w:type="spellEnd"/>
      <w:r w:rsidRPr="00740815">
        <w:rPr>
          <w:rFonts w:ascii="Century Gothic" w:hAnsi="Century Gothic"/>
          <w:sz w:val="22"/>
          <w:szCs w:val="22"/>
        </w:rPr>
        <w:t xml:space="preserve"> (fixed </w:t>
      </w:r>
      <w:proofErr w:type="spellStart"/>
      <w:r w:rsidRPr="00740815">
        <w:rPr>
          <w:rFonts w:ascii="Century Gothic" w:hAnsi="Century Gothic"/>
          <w:sz w:val="22"/>
          <w:szCs w:val="22"/>
        </w:rPr>
        <w:t>vs</w:t>
      </w:r>
      <w:proofErr w:type="spellEnd"/>
      <w:r w:rsidRPr="00740815">
        <w:rPr>
          <w:rFonts w:ascii="Century Gothic" w:hAnsi="Century Gothic"/>
          <w:sz w:val="22"/>
          <w:szCs w:val="22"/>
        </w:rPr>
        <w:t xml:space="preserve"> variable), </w:t>
      </w:r>
      <w:proofErr w:type="spellStart"/>
      <w:r w:rsidRPr="00740815">
        <w:rPr>
          <w:rFonts w:ascii="Century Gothic" w:hAnsi="Century Gothic"/>
          <w:sz w:val="22"/>
          <w:szCs w:val="22"/>
        </w:rPr>
        <w:t>tracability</w:t>
      </w:r>
      <w:proofErr w:type="spellEnd"/>
      <w:r w:rsidRPr="00740815">
        <w:rPr>
          <w:rFonts w:ascii="Century Gothic" w:hAnsi="Century Gothic"/>
          <w:sz w:val="22"/>
          <w:szCs w:val="22"/>
        </w:rPr>
        <w:t xml:space="preserve"> (direct </w:t>
      </w:r>
      <w:proofErr w:type="spellStart"/>
      <w:r w:rsidRPr="00740815">
        <w:rPr>
          <w:rFonts w:ascii="Century Gothic" w:hAnsi="Century Gothic"/>
          <w:sz w:val="22"/>
          <w:szCs w:val="22"/>
        </w:rPr>
        <w:t>vs</w:t>
      </w:r>
      <w:proofErr w:type="spellEnd"/>
      <w:r w:rsidRPr="00740815">
        <w:rPr>
          <w:rFonts w:ascii="Century Gothic" w:hAnsi="Century Gothic"/>
          <w:sz w:val="22"/>
          <w:szCs w:val="22"/>
        </w:rPr>
        <w:t xml:space="preserve"> indirect) relevance and function.  A cost may fall into more than one category.  For example insurance may be fixed and traceable to a product line.  Knowing how to classify costs will allow the accountant to analyze information so as to assist managers to make optimal business decisions.  You will learn more about how to apply this information when studying Cost Volume Profit Analysis.</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9.</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The Master Budget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Sales Budget: the sales budget is the starting point in preparing the master budget.</w:t>
      </w:r>
    </w:p>
    <w:p w:rsidR="00A766E0" w:rsidRPr="00740815" w:rsidRDefault="00A766E0" w:rsidP="00A766E0">
      <w:pPr>
        <w:pStyle w:val="NormalWeb"/>
        <w:spacing w:after="0" w:afterAutospacing="0"/>
        <w:rPr>
          <w:rFonts w:ascii="Century Gothic" w:hAnsi="Century Gothic"/>
          <w:sz w:val="22"/>
          <w:szCs w:val="22"/>
        </w:rPr>
      </w:pPr>
      <w:proofErr w:type="gramStart"/>
      <w:r w:rsidRPr="00740815">
        <w:rPr>
          <w:rFonts w:ascii="Century Gothic" w:hAnsi="Century Gothic"/>
          <w:sz w:val="22"/>
          <w:szCs w:val="22"/>
        </w:rPr>
        <w:t>All other of budgets stem from the sales budget.</w:t>
      </w:r>
      <w:proofErr w:type="gramEnd"/>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Production Budget: The production budget shows the units that must be produced to meet anticipated sales.</w:t>
      </w:r>
    </w:p>
    <w:p w:rsidR="00A766E0" w:rsidRPr="00740815" w:rsidRDefault="00A766E0" w:rsidP="00A766E0">
      <w:pPr>
        <w:numPr>
          <w:ilvl w:val="0"/>
          <w:numId w:val="1"/>
        </w:numPr>
        <w:spacing w:before="100" w:beforeAutospacing="1" w:after="0" w:line="240" w:lineRule="auto"/>
        <w:rPr>
          <w:rFonts w:ascii="Century Gothic" w:hAnsi="Century Gothic"/>
        </w:rPr>
      </w:pPr>
      <w:r w:rsidRPr="00740815">
        <w:rPr>
          <w:rFonts w:ascii="Century Gothic" w:hAnsi="Century Gothic"/>
        </w:rPr>
        <w:t>Production requirements are determined from the following formula:</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Budgeted Sales Units</w:t>
      </w:r>
      <w:r w:rsidRPr="00740815">
        <w:rPr>
          <w:rFonts w:ascii="Century Gothic" w:hAnsi="Century Gothic"/>
          <w:sz w:val="22"/>
          <w:szCs w:val="22"/>
        </w:rPr>
        <w:br/>
        <w:t>+ Desired Ending Finished Goods Units</w:t>
      </w:r>
      <w:r w:rsidRPr="00740815">
        <w:rPr>
          <w:rFonts w:ascii="Century Gothic" w:hAnsi="Century Gothic"/>
          <w:sz w:val="22"/>
          <w:szCs w:val="22"/>
        </w:rPr>
        <w:br/>
      </w:r>
      <w:r w:rsidRPr="00740815">
        <w:rPr>
          <w:rFonts w:ascii="Century Gothic" w:hAnsi="Century Gothic"/>
          <w:sz w:val="22"/>
          <w:szCs w:val="22"/>
        </w:rPr>
        <w:lastRenderedPageBreak/>
        <w:t>–        Beginning Finished Goods Units</w:t>
      </w:r>
      <w:r w:rsidRPr="00740815">
        <w:rPr>
          <w:rFonts w:ascii="Century Gothic" w:hAnsi="Century Gothic"/>
          <w:sz w:val="22"/>
          <w:szCs w:val="22"/>
        </w:rPr>
        <w:br/>
        <w:t>= Required Production Units.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Direct Materials: The direct materials budget shows both the quantity and cost of direct materials to be purchased.</w:t>
      </w:r>
    </w:p>
    <w:p w:rsidR="00A766E0" w:rsidRPr="00740815" w:rsidRDefault="00A766E0" w:rsidP="00A766E0">
      <w:pPr>
        <w:numPr>
          <w:ilvl w:val="0"/>
          <w:numId w:val="2"/>
        </w:numPr>
        <w:spacing w:before="100" w:beforeAutospacing="1" w:after="0" w:line="240" w:lineRule="auto"/>
        <w:rPr>
          <w:rFonts w:ascii="Century Gothic" w:hAnsi="Century Gothic"/>
        </w:rPr>
      </w:pPr>
      <w:r w:rsidRPr="00740815">
        <w:rPr>
          <w:rFonts w:ascii="Century Gothic" w:hAnsi="Century Gothic"/>
        </w:rPr>
        <w:t>The quantities of direct materials are derived from the following formula:</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Direct Materials Units Required for Production</w:t>
      </w:r>
      <w:r w:rsidRPr="00740815">
        <w:rPr>
          <w:rFonts w:ascii="Century Gothic" w:hAnsi="Century Gothic"/>
          <w:sz w:val="22"/>
          <w:szCs w:val="22"/>
        </w:rPr>
        <w:br/>
        <w:t>+ Desired Ending Direct Materials Units</w:t>
      </w:r>
      <w:r w:rsidRPr="00740815">
        <w:rPr>
          <w:rFonts w:ascii="Century Gothic" w:hAnsi="Century Gothic"/>
          <w:sz w:val="22"/>
          <w:szCs w:val="22"/>
        </w:rPr>
        <w:br/>
        <w:t>–        Beginning Direct Materials Units</w:t>
      </w:r>
      <w:r w:rsidRPr="00740815">
        <w:rPr>
          <w:rFonts w:ascii="Century Gothic" w:hAnsi="Century Gothic"/>
          <w:sz w:val="22"/>
          <w:szCs w:val="22"/>
        </w:rPr>
        <w:br/>
        <w:t>= Required Direct Materials Units to be Purchased.</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Direct </w:t>
      </w:r>
      <w:proofErr w:type="spellStart"/>
      <w:r w:rsidRPr="00740815">
        <w:rPr>
          <w:rFonts w:ascii="Century Gothic" w:hAnsi="Century Gothic"/>
          <w:sz w:val="22"/>
          <w:szCs w:val="22"/>
        </w:rPr>
        <w:t>Labour</w:t>
      </w:r>
      <w:proofErr w:type="spellEnd"/>
      <w:r w:rsidRPr="00740815">
        <w:rPr>
          <w:rFonts w:ascii="Century Gothic" w:hAnsi="Century Gothic"/>
          <w:sz w:val="22"/>
          <w:szCs w:val="22"/>
        </w:rPr>
        <w:t xml:space="preserve">: The direct </w:t>
      </w:r>
      <w:proofErr w:type="spellStart"/>
      <w:r w:rsidRPr="00740815">
        <w:rPr>
          <w:rFonts w:ascii="Century Gothic" w:hAnsi="Century Gothic"/>
          <w:sz w:val="22"/>
          <w:szCs w:val="22"/>
        </w:rPr>
        <w:t>labour</w:t>
      </w:r>
      <w:proofErr w:type="spellEnd"/>
      <w:r w:rsidRPr="00740815">
        <w:rPr>
          <w:rFonts w:ascii="Century Gothic" w:hAnsi="Century Gothic"/>
          <w:sz w:val="22"/>
          <w:szCs w:val="22"/>
        </w:rPr>
        <w:t xml:space="preserve"> budget stems from the production budget and includes the number of hours and the cost of direct </w:t>
      </w:r>
      <w:proofErr w:type="spellStart"/>
      <w:r w:rsidRPr="00740815">
        <w:rPr>
          <w:rFonts w:ascii="Century Gothic" w:hAnsi="Century Gothic"/>
          <w:sz w:val="22"/>
          <w:szCs w:val="22"/>
        </w:rPr>
        <w:t>labour</w:t>
      </w:r>
      <w:proofErr w:type="spellEnd"/>
      <w:r w:rsidRPr="00740815">
        <w:rPr>
          <w:rFonts w:ascii="Century Gothic" w:hAnsi="Century Gothic"/>
          <w:sz w:val="22"/>
          <w:szCs w:val="22"/>
        </w:rPr>
        <w: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Manufacturing Overhead:  The variable and fixed components of manufacturing overhead are delineated then totaled.  This budget allow for the computation of predetermined overhead rates, a component of the unit cost of the product.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Product Cost:  A product cost must be derived in order to calculate the cost of goods sold and the value of the ending inventory included on the balance sheet.  It is computed by determining the amount of material required for each unit and the associated cost, plus the amount of </w:t>
      </w:r>
      <w:proofErr w:type="spellStart"/>
      <w:r w:rsidRPr="00740815">
        <w:rPr>
          <w:rFonts w:ascii="Century Gothic" w:hAnsi="Century Gothic"/>
          <w:sz w:val="22"/>
          <w:szCs w:val="22"/>
        </w:rPr>
        <w:t>labour</w:t>
      </w:r>
      <w:proofErr w:type="spellEnd"/>
      <w:r w:rsidRPr="00740815">
        <w:rPr>
          <w:rFonts w:ascii="Century Gothic" w:hAnsi="Century Gothic"/>
          <w:sz w:val="22"/>
          <w:szCs w:val="22"/>
        </w:rPr>
        <w:t xml:space="preserve"> required </w:t>
      </w:r>
      <w:proofErr w:type="gramStart"/>
      <w:r w:rsidRPr="00740815">
        <w:rPr>
          <w:rFonts w:ascii="Century Gothic" w:hAnsi="Century Gothic"/>
          <w:sz w:val="22"/>
          <w:szCs w:val="22"/>
        </w:rPr>
        <w:t>to produce</w:t>
      </w:r>
      <w:proofErr w:type="gramEnd"/>
      <w:r w:rsidRPr="00740815">
        <w:rPr>
          <w:rFonts w:ascii="Century Gothic" w:hAnsi="Century Gothic"/>
          <w:sz w:val="22"/>
          <w:szCs w:val="22"/>
        </w:rPr>
        <w:t xml:space="preserve"> each unit and its associated cost and finally the amount of manufacturing overhead allocated to each unit and </w:t>
      </w:r>
      <w:proofErr w:type="spellStart"/>
      <w:r w:rsidRPr="00740815">
        <w:rPr>
          <w:rFonts w:ascii="Century Gothic" w:hAnsi="Century Gothic"/>
          <w:sz w:val="22"/>
          <w:szCs w:val="22"/>
        </w:rPr>
        <w:t>costed</w:t>
      </w:r>
      <w:proofErr w:type="spellEnd"/>
      <w:r w:rsidRPr="00740815">
        <w:rPr>
          <w:rFonts w:ascii="Century Gothic" w:hAnsi="Century Gothic"/>
          <w:sz w:val="22"/>
          <w:szCs w:val="22"/>
        </w:rPr>
        <w:t xml:space="preserve"> with the predetermined overhead rate.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Selling and Administrative Expense: Like the Manufacturing Overhead budget, expenses are classified as either variable or fixed.  It feeds into the cash budget and the income statement.</w:t>
      </w:r>
    </w:p>
    <w:p w:rsidR="00A766E0" w:rsidRPr="00740815" w:rsidRDefault="00A766E0" w:rsidP="00A766E0">
      <w:pPr>
        <w:pStyle w:val="NormalWeb"/>
        <w:spacing w:after="0" w:afterAutospacing="0"/>
        <w:rPr>
          <w:rFonts w:ascii="Century Gothic" w:hAnsi="Century Gothic"/>
          <w:sz w:val="22"/>
          <w:szCs w:val="22"/>
        </w:rPr>
      </w:pPr>
      <w:r w:rsidRPr="00740815">
        <w:rPr>
          <w:rStyle w:val="Strong"/>
          <w:rFonts w:ascii="Century Gothic" w:hAnsi="Century Gothic"/>
          <w:b w:val="0"/>
          <w:sz w:val="22"/>
          <w:szCs w:val="22"/>
        </w:rPr>
        <w:t>Helpful Hints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The budget project assignment requires a substantial amount of your time. I recommend that you work on the project in parallel with each LESSON learning outcome.  Building budgets is a very structured process.  If you wait to do the project after the exercises then you may forget how to prepare some of the schedules.   You MUST use the excel template provided.</w:t>
      </w:r>
    </w:p>
    <w:p w:rsidR="00A766E0" w:rsidRPr="00740815" w:rsidRDefault="00A766E0" w:rsidP="00A766E0">
      <w:pPr>
        <w:spacing w:before="100" w:beforeAutospacing="1" w:after="0" w:line="240" w:lineRule="auto"/>
        <w:outlineLvl w:val="1"/>
        <w:rPr>
          <w:rFonts w:ascii="Century Gothic" w:eastAsia="Times New Roman" w:hAnsi="Century Gothic" w:cs="Times New Roman"/>
          <w:bCs/>
        </w:rPr>
      </w:pPr>
      <w:r w:rsidRPr="00740815">
        <w:rPr>
          <w:rFonts w:ascii="Century Gothic" w:eastAsia="Times New Roman" w:hAnsi="Century Gothic" w:cs="Times New Roman"/>
          <w:bCs/>
        </w:rPr>
        <w:t>Summary</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 xml:space="preserve">Budgeting is a time consuming </w:t>
      </w:r>
      <w:proofErr w:type="spellStart"/>
      <w:r w:rsidRPr="00740815">
        <w:rPr>
          <w:rFonts w:ascii="Century Gothic" w:eastAsia="Times New Roman" w:hAnsi="Century Gothic" w:cs="Times New Roman"/>
        </w:rPr>
        <w:t>endevour</w:t>
      </w:r>
      <w:proofErr w:type="spellEnd"/>
      <w:r w:rsidRPr="00740815">
        <w:rPr>
          <w:rFonts w:ascii="Century Gothic" w:eastAsia="Times New Roman" w:hAnsi="Century Gothic" w:cs="Times New Roman"/>
        </w:rPr>
        <w:t>.  Those companies that implement this process will yield the following benefits:</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Formalized goals for the future.</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Definitive objectives for evaluating performance at each level of responsibility.</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Potential problems are highlighted as they occur, so that management can make changes before things get out of control.</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Coordination of activities within the business.</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Improves management awareness of the entity’s overall operations and the impact on operations of external factors, such as economic trends.</w:t>
      </w:r>
    </w:p>
    <w:p w:rsidR="00A766E0" w:rsidRPr="00740815" w:rsidRDefault="00A766E0" w:rsidP="00A766E0">
      <w:pPr>
        <w:numPr>
          <w:ilvl w:val="0"/>
          <w:numId w:val="3"/>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Motivates employees to meet planned objectives for which they were personally involved in establishing.</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lastRenderedPageBreak/>
        <w:t>Lesson Content</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READINGS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In this lesson you may be reading from the text, from online sources or directly in the Lesson Content.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Please check your course calendar for the specific readings for Lesson 10.</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t>LESSON NOTES</w:t>
      </w:r>
    </w:p>
    <w:p w:rsidR="00A766E0" w:rsidRPr="00740815" w:rsidRDefault="00A766E0" w:rsidP="00A766E0">
      <w:pPr>
        <w:numPr>
          <w:ilvl w:val="0"/>
          <w:numId w:val="4"/>
        </w:numPr>
        <w:spacing w:before="100" w:beforeAutospacing="1" w:after="0" w:line="240" w:lineRule="auto"/>
        <w:rPr>
          <w:rFonts w:ascii="Century Gothic" w:hAnsi="Century Gothic"/>
        </w:rPr>
      </w:pPr>
      <w:r w:rsidRPr="00740815">
        <w:rPr>
          <w:rFonts w:ascii="Century Gothic" w:hAnsi="Century Gothic"/>
        </w:rPr>
        <w:t> Cash Disbursements Budget: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This budget includes only those payments for the purchases of direct materials.  The monthly amount paid to suppliers will vary from company to company so there are no set rules.</w:t>
      </w:r>
    </w:p>
    <w:p w:rsidR="00A766E0" w:rsidRPr="00740815" w:rsidRDefault="00A766E0" w:rsidP="00A766E0">
      <w:pPr>
        <w:numPr>
          <w:ilvl w:val="0"/>
          <w:numId w:val="5"/>
        </w:numPr>
        <w:spacing w:before="100" w:beforeAutospacing="1" w:after="0" w:line="240" w:lineRule="auto"/>
        <w:rPr>
          <w:rFonts w:ascii="Century Gothic" w:hAnsi="Century Gothic"/>
        </w:rPr>
      </w:pPr>
      <w:r w:rsidRPr="00740815">
        <w:rPr>
          <w:rFonts w:ascii="Century Gothic" w:hAnsi="Century Gothic"/>
        </w:rPr>
        <w:t>Budgeted Income Statement:  This is an accumulation of data from the sales and manufacturing budgets, selling and administrative budget and any financing charges as found in the cash budget. The typical format will be:</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5"/>
        <w:gridCol w:w="5205"/>
      </w:tblGrid>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Sales</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from the sales budget</w:t>
            </w:r>
          </w:p>
        </w:tc>
      </w:tr>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Less: Cost of goods Sold</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the number of units sold x the unit  product cost</w:t>
            </w:r>
          </w:p>
        </w:tc>
      </w:tr>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Equals: Gross Margin</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Less:  Selling and Admin Costs</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-from selling and admin budget</w:t>
            </w:r>
          </w:p>
        </w:tc>
      </w:tr>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Interest Expense</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xml:space="preserve">- </w:t>
            </w:r>
            <w:proofErr w:type="gramStart"/>
            <w:r w:rsidRPr="00740815">
              <w:rPr>
                <w:rFonts w:ascii="Century Gothic" w:hAnsi="Century Gothic"/>
              </w:rPr>
              <w:t>from</w:t>
            </w:r>
            <w:proofErr w:type="gramEnd"/>
            <w:r w:rsidRPr="00740815">
              <w:rPr>
                <w:rFonts w:ascii="Century Gothic" w:hAnsi="Century Gothic"/>
              </w:rPr>
              <w:t xml:space="preserve"> Cash Budget.</w:t>
            </w:r>
          </w:p>
        </w:tc>
      </w:tr>
      <w:tr w:rsidR="00A766E0" w:rsidRPr="00740815" w:rsidTr="00A766E0">
        <w:trPr>
          <w:tblCellSpacing w:w="0" w:type="dxa"/>
        </w:trPr>
        <w:tc>
          <w:tcPr>
            <w:tcW w:w="328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Equals:  Net Income</w:t>
            </w:r>
          </w:p>
        </w:tc>
        <w:tc>
          <w:tcPr>
            <w:tcW w:w="5205" w:type="dxa"/>
            <w:tcBorders>
              <w:top w:val="outset" w:sz="6" w:space="0" w:color="auto"/>
              <w:left w:val="outset" w:sz="6" w:space="0" w:color="auto"/>
              <w:bottom w:val="outset" w:sz="6" w:space="0" w:color="auto"/>
              <w:right w:val="outset" w:sz="6" w:space="0" w:color="auto"/>
            </w:tcBorders>
            <w:hideMark/>
          </w:tcPr>
          <w:p w:rsidR="00A766E0" w:rsidRPr="00740815" w:rsidRDefault="00A766E0" w:rsidP="00A766E0">
            <w:pPr>
              <w:spacing w:after="0"/>
              <w:rPr>
                <w:rFonts w:ascii="Century Gothic" w:hAnsi="Century Gothic"/>
              </w:rPr>
            </w:pPr>
            <w:r w:rsidRPr="00740815">
              <w:rPr>
                <w:rFonts w:ascii="Century Gothic" w:hAnsi="Century Gothic"/>
              </w:rPr>
              <w:t> </w:t>
            </w:r>
          </w:p>
        </w:tc>
      </w:tr>
    </w:tbl>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3. Cash Budget: The cash budget shows expected cash flows over the course of the budget period.  It consists of the opening balance (from the close of the previous month), the expected cash receipts, the expected cash disbursements and financing for the business.  All of the data is obtained from the budget schedules previously prepared. Note that </w:t>
      </w:r>
      <w:proofErr w:type="spellStart"/>
      <w:r w:rsidRPr="00740815">
        <w:rPr>
          <w:rFonts w:ascii="Century Gothic" w:hAnsi="Century Gothic"/>
          <w:sz w:val="22"/>
          <w:szCs w:val="22"/>
        </w:rPr>
        <w:t>non cash</w:t>
      </w:r>
      <w:proofErr w:type="spellEnd"/>
      <w:r w:rsidRPr="00740815">
        <w:rPr>
          <w:rFonts w:ascii="Century Gothic" w:hAnsi="Century Gothic"/>
          <w:sz w:val="22"/>
          <w:szCs w:val="22"/>
        </w:rPr>
        <w:t xml:space="preserve"> items such as depreciation are NEVER included in a cash budget.</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A cash budget is necessary so that the company can predict if there will be excess cash available for investments or if they will need to negotiate for a line of credit, well before the need arises.</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The most effective budgeting system requires a sound organizational structure, research and analysis and acceptance by all levels of management.  Authority and responsibility for all parts of the business must be clearly defined.  Goals should be realistic but still allow for growth.  All levels of management must be accepting of the process in order to optimize the potential benefits.  This leads to what is </w:t>
      </w:r>
      <w:proofErr w:type="spellStart"/>
      <w:r w:rsidRPr="00740815">
        <w:rPr>
          <w:rFonts w:ascii="Century Gothic" w:hAnsi="Century Gothic"/>
          <w:sz w:val="22"/>
          <w:szCs w:val="22"/>
        </w:rPr>
        <w:t>know</w:t>
      </w:r>
      <w:proofErr w:type="spellEnd"/>
      <w:r w:rsidRPr="00740815">
        <w:rPr>
          <w:rFonts w:ascii="Century Gothic" w:hAnsi="Century Gothic"/>
          <w:sz w:val="22"/>
          <w:szCs w:val="22"/>
        </w:rPr>
        <w:t xml:space="preserve"> as a participative budget.  It has two disadvantages:  it is very time consuming and it can lead to managers underestimating revenues and/or overestimating expenses.  On the upside, it should yield a budget that managers see as fair and achievable.</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Often the responsibility for coordinating the preparation of the budget is assigned to a budget committee and is typically headed by the controllers’ office.</w:t>
      </w:r>
    </w:p>
    <w:p w:rsidR="00A766E0" w:rsidRPr="00740815" w:rsidRDefault="00A766E0" w:rsidP="00A766E0">
      <w:pPr>
        <w:pStyle w:val="Heading4"/>
        <w:rPr>
          <w:rFonts w:ascii="Century Gothic" w:hAnsi="Century Gothic"/>
          <w:b w:val="0"/>
          <w:i w:val="0"/>
          <w:color w:val="auto"/>
        </w:rPr>
      </w:pPr>
      <w:r w:rsidRPr="00740815">
        <w:rPr>
          <w:rFonts w:ascii="Century Gothic" w:hAnsi="Century Gothic"/>
          <w:b w:val="0"/>
          <w:i w:val="0"/>
          <w:color w:val="auto"/>
        </w:rPr>
        <w:lastRenderedPageBreak/>
        <w:t>LESSON NOTES</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Remember to proceed in a systematic order.  Do not try to jump ahead or you will likely have issues at the end.  It will likely be helpful to have your text open to a sample of the budget schedule you are working on in the assignment.</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bCs/>
        </w:rPr>
        <w:t>LESSON NOTES</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bCs/>
        </w:rPr>
        <w:t xml:space="preserve"> Key assumptions underlying CVP </w:t>
      </w:r>
    </w:p>
    <w:p w:rsidR="00A766E0" w:rsidRPr="00740815" w:rsidRDefault="00A766E0" w:rsidP="00A766E0">
      <w:pPr>
        <w:numPr>
          <w:ilvl w:val="0"/>
          <w:numId w:val="6"/>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 The behavior of both costs and revenues remain constant over the relevant range.</w:t>
      </w:r>
    </w:p>
    <w:p w:rsidR="00A766E0" w:rsidRPr="00740815" w:rsidRDefault="00A766E0" w:rsidP="00A766E0">
      <w:pPr>
        <w:numPr>
          <w:ilvl w:val="0"/>
          <w:numId w:val="6"/>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All costs can be classified as either variable or fixed.</w:t>
      </w:r>
    </w:p>
    <w:p w:rsidR="00A766E0" w:rsidRPr="00740815" w:rsidRDefault="00A766E0" w:rsidP="00A766E0">
      <w:pPr>
        <w:numPr>
          <w:ilvl w:val="0"/>
          <w:numId w:val="6"/>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All units produced are sold.</w:t>
      </w:r>
    </w:p>
    <w:p w:rsidR="00A766E0" w:rsidRPr="00740815" w:rsidRDefault="00A766E0" w:rsidP="00A766E0">
      <w:pPr>
        <w:numPr>
          <w:ilvl w:val="0"/>
          <w:numId w:val="6"/>
        </w:num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Sales mix will remain constant</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bCs/>
        </w:rPr>
        <w:t>Contribution Margin Approach</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CVP Income Statement is called the contribution margin approach.  It differs from the standard income statement in that all the variable costs are identified and subtracted from sales to yield what is called contribution margin.  The fixed costs are then identified and tallied, subtracted from the contribution margin resulting in net income.  Under both methods, net income will be the same.</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Contribution format is frequently used by managers because it allows for CVP analysis.</w:t>
      </w:r>
    </w:p>
    <w:p w:rsidR="00A766E0" w:rsidRPr="00740815" w:rsidRDefault="00A766E0" w:rsidP="00A766E0">
      <w:pPr>
        <w:spacing w:before="100" w:beforeAutospacing="1" w:after="0" w:line="240" w:lineRule="auto"/>
        <w:rPr>
          <w:rFonts w:ascii="Century Gothic" w:eastAsia="Times New Roman" w:hAnsi="Century Gothic" w:cs="Times New Roman"/>
        </w:rPr>
      </w:pPr>
      <w:r w:rsidRPr="00740815">
        <w:rPr>
          <w:rFonts w:ascii="Century Gothic" w:eastAsia="Times New Roman" w:hAnsi="Century Gothic" w:cs="Times New Roman"/>
        </w:rPr>
        <w:t>Typically on the Contribution format you will find three columns.  The first contains the total values for the line item.  The second identifies the Per Unit value of Sales, Variable Cost and Contribution Margin.  The third converts the per unit values into percentages where sales represents 100%, Variable cost is divided by the sales dollars and contribution margin is divided by the sales dollars.  This is then called the contribution margin ratio.  Providing the contribution margin ratio allows managers to easily determine the effect on profits of any changes to sales levels</w:t>
      </w:r>
    </w:p>
    <w:p w:rsidR="00A766E0" w:rsidRPr="00740815" w:rsidRDefault="00A766E0" w:rsidP="00A766E0">
      <w:pPr>
        <w:pStyle w:val="Heading2"/>
        <w:spacing w:after="0" w:afterAutospacing="0"/>
        <w:rPr>
          <w:rFonts w:ascii="Century Gothic" w:hAnsi="Century Gothic"/>
          <w:b w:val="0"/>
          <w:sz w:val="22"/>
          <w:szCs w:val="22"/>
        </w:rPr>
      </w:pPr>
      <w:r w:rsidRPr="00740815">
        <w:rPr>
          <w:rFonts w:ascii="Century Gothic" w:hAnsi="Century Gothic"/>
          <w:b w:val="0"/>
          <w:sz w:val="22"/>
          <w:szCs w:val="22"/>
        </w:rPr>
        <w:t>Summary</w:t>
      </w:r>
    </w:p>
    <w:p w:rsidR="00A766E0" w:rsidRPr="00740815" w:rsidRDefault="00A766E0" w:rsidP="00A766E0">
      <w:pPr>
        <w:pStyle w:val="NormalWeb"/>
        <w:spacing w:after="0" w:afterAutospacing="0"/>
        <w:rPr>
          <w:rFonts w:ascii="Century Gothic" w:hAnsi="Century Gothic"/>
          <w:sz w:val="22"/>
          <w:szCs w:val="22"/>
        </w:rPr>
      </w:pPr>
      <w:r w:rsidRPr="00740815">
        <w:rPr>
          <w:rFonts w:ascii="Century Gothic" w:hAnsi="Century Gothic"/>
          <w:sz w:val="22"/>
          <w:szCs w:val="22"/>
        </w:rPr>
        <w:t xml:space="preserve">Cost-Volume-Profit analysis studies the resulting effects on profits caused by changes in costs and </w:t>
      </w:r>
      <w:proofErr w:type="spellStart"/>
      <w:r w:rsidRPr="00740815">
        <w:rPr>
          <w:rFonts w:ascii="Century Gothic" w:hAnsi="Century Gothic"/>
          <w:sz w:val="22"/>
          <w:szCs w:val="22"/>
        </w:rPr>
        <w:t>flucuations</w:t>
      </w:r>
      <w:proofErr w:type="spellEnd"/>
      <w:r w:rsidRPr="00740815">
        <w:rPr>
          <w:rFonts w:ascii="Century Gothic" w:hAnsi="Century Gothic"/>
          <w:sz w:val="22"/>
          <w:szCs w:val="22"/>
        </w:rPr>
        <w:t xml:space="preserve"> in volume.  The Contribution Margin Approach to an income statement pools variable costs and fixed</w:t>
      </w:r>
      <w:proofErr w:type="gramStart"/>
      <w:r w:rsidRPr="00740815">
        <w:rPr>
          <w:rFonts w:ascii="Century Gothic" w:hAnsi="Century Gothic"/>
          <w:sz w:val="22"/>
          <w:szCs w:val="22"/>
        </w:rPr>
        <w:t>  costs</w:t>
      </w:r>
      <w:proofErr w:type="gramEnd"/>
      <w:r w:rsidRPr="00740815">
        <w:rPr>
          <w:rFonts w:ascii="Century Gothic" w:hAnsi="Century Gothic"/>
          <w:sz w:val="22"/>
          <w:szCs w:val="22"/>
        </w:rPr>
        <w:t xml:space="preserve"> allowing the most efficient way to prepare any  CVP analysis.</w:t>
      </w:r>
    </w:p>
    <w:p w:rsidR="00A766E0" w:rsidRPr="00740815" w:rsidRDefault="00A766E0" w:rsidP="00A766E0">
      <w:pPr>
        <w:spacing w:after="0"/>
        <w:rPr>
          <w:rFonts w:ascii="Century Gothic" w:hAnsi="Century Gothic"/>
        </w:rPr>
      </w:pPr>
    </w:p>
    <w:sectPr w:rsidR="00A766E0" w:rsidRPr="00740815" w:rsidSect="003A1600">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8BE" w:rsidRDefault="004F38BE" w:rsidP="00CD2333">
      <w:pPr>
        <w:spacing w:after="0" w:line="240" w:lineRule="auto"/>
      </w:pPr>
      <w:r>
        <w:separator/>
      </w:r>
    </w:p>
  </w:endnote>
  <w:endnote w:type="continuationSeparator" w:id="0">
    <w:p w:rsidR="004F38BE" w:rsidRDefault="004F38BE" w:rsidP="00CD2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248473"/>
      <w:docPartObj>
        <w:docPartGallery w:val="Page Numbers (Bottom of Page)"/>
        <w:docPartUnique/>
      </w:docPartObj>
    </w:sdtPr>
    <w:sdtEndPr>
      <w:rPr>
        <w:noProof/>
      </w:rPr>
    </w:sdtEndPr>
    <w:sdtContent>
      <w:p w:rsidR="00CD2333" w:rsidRDefault="00CD2333">
        <w:pPr>
          <w:pStyle w:val="Footer"/>
          <w:jc w:val="right"/>
        </w:pPr>
        <w:r>
          <w:fldChar w:fldCharType="begin"/>
        </w:r>
        <w:r>
          <w:instrText xml:space="preserve"> PAGE   \* MERGEFORMAT </w:instrText>
        </w:r>
        <w:r>
          <w:fldChar w:fldCharType="separate"/>
        </w:r>
        <w:r w:rsidR="00740815">
          <w:rPr>
            <w:noProof/>
          </w:rPr>
          <w:t>1</w:t>
        </w:r>
        <w:r>
          <w:rPr>
            <w:noProof/>
          </w:rPr>
          <w:fldChar w:fldCharType="end"/>
        </w:r>
      </w:p>
    </w:sdtContent>
  </w:sdt>
  <w:p w:rsidR="00CD2333" w:rsidRDefault="00CD23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8BE" w:rsidRDefault="004F38BE" w:rsidP="00CD2333">
      <w:pPr>
        <w:spacing w:after="0" w:line="240" w:lineRule="auto"/>
      </w:pPr>
      <w:r>
        <w:separator/>
      </w:r>
    </w:p>
  </w:footnote>
  <w:footnote w:type="continuationSeparator" w:id="0">
    <w:p w:rsidR="004F38BE" w:rsidRDefault="004F38BE" w:rsidP="00CD23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A0114"/>
    <w:multiLevelType w:val="multilevel"/>
    <w:tmpl w:val="25D0E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986C9B"/>
    <w:multiLevelType w:val="multilevel"/>
    <w:tmpl w:val="791C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5D205D"/>
    <w:multiLevelType w:val="multilevel"/>
    <w:tmpl w:val="A776E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C123AF"/>
    <w:multiLevelType w:val="multilevel"/>
    <w:tmpl w:val="5DCE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8A01A87"/>
    <w:multiLevelType w:val="multilevel"/>
    <w:tmpl w:val="EC4A5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971945"/>
    <w:multiLevelType w:val="multilevel"/>
    <w:tmpl w:val="25BC2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6E0"/>
    <w:rsid w:val="000007DF"/>
    <w:rsid w:val="00005B11"/>
    <w:rsid w:val="000232D7"/>
    <w:rsid w:val="000273AB"/>
    <w:rsid w:val="000308A4"/>
    <w:rsid w:val="00044800"/>
    <w:rsid w:val="00046083"/>
    <w:rsid w:val="0005287A"/>
    <w:rsid w:val="00063052"/>
    <w:rsid w:val="00064EBC"/>
    <w:rsid w:val="00075D10"/>
    <w:rsid w:val="000803C0"/>
    <w:rsid w:val="00081012"/>
    <w:rsid w:val="00082240"/>
    <w:rsid w:val="00084A71"/>
    <w:rsid w:val="00095F70"/>
    <w:rsid w:val="000964D4"/>
    <w:rsid w:val="00097E53"/>
    <w:rsid w:val="000A6628"/>
    <w:rsid w:val="000B3BCB"/>
    <w:rsid w:val="000C1A6F"/>
    <w:rsid w:val="000D6803"/>
    <w:rsid w:val="000E0967"/>
    <w:rsid w:val="000E3DA6"/>
    <w:rsid w:val="000F1C23"/>
    <w:rsid w:val="000F212B"/>
    <w:rsid w:val="001015B3"/>
    <w:rsid w:val="00101E3C"/>
    <w:rsid w:val="00103E21"/>
    <w:rsid w:val="00104C82"/>
    <w:rsid w:val="001310CC"/>
    <w:rsid w:val="00132A3C"/>
    <w:rsid w:val="00133184"/>
    <w:rsid w:val="00133952"/>
    <w:rsid w:val="00143BCA"/>
    <w:rsid w:val="001527D1"/>
    <w:rsid w:val="001531AA"/>
    <w:rsid w:val="001559CD"/>
    <w:rsid w:val="001712F5"/>
    <w:rsid w:val="00171E4B"/>
    <w:rsid w:val="00174DBA"/>
    <w:rsid w:val="00176A26"/>
    <w:rsid w:val="00182431"/>
    <w:rsid w:val="00184C29"/>
    <w:rsid w:val="001858E0"/>
    <w:rsid w:val="001A0FD0"/>
    <w:rsid w:val="001B0217"/>
    <w:rsid w:val="001B4B7F"/>
    <w:rsid w:val="001E070A"/>
    <w:rsid w:val="001E65A4"/>
    <w:rsid w:val="001F1C44"/>
    <w:rsid w:val="001F2721"/>
    <w:rsid w:val="00201656"/>
    <w:rsid w:val="00207303"/>
    <w:rsid w:val="00210A7D"/>
    <w:rsid w:val="00216B5D"/>
    <w:rsid w:val="00217976"/>
    <w:rsid w:val="002179D2"/>
    <w:rsid w:val="00236465"/>
    <w:rsid w:val="00240636"/>
    <w:rsid w:val="0024681E"/>
    <w:rsid w:val="00251F8D"/>
    <w:rsid w:val="00254A56"/>
    <w:rsid w:val="00254E89"/>
    <w:rsid w:val="00264F1D"/>
    <w:rsid w:val="00275837"/>
    <w:rsid w:val="002803A3"/>
    <w:rsid w:val="002900EE"/>
    <w:rsid w:val="00292D3B"/>
    <w:rsid w:val="002C3AD4"/>
    <w:rsid w:val="002C5722"/>
    <w:rsid w:val="002E04B0"/>
    <w:rsid w:val="002F4171"/>
    <w:rsid w:val="002F4822"/>
    <w:rsid w:val="002F76E0"/>
    <w:rsid w:val="00307C59"/>
    <w:rsid w:val="00324430"/>
    <w:rsid w:val="0032498F"/>
    <w:rsid w:val="00326650"/>
    <w:rsid w:val="00327C5B"/>
    <w:rsid w:val="00331125"/>
    <w:rsid w:val="00333E5D"/>
    <w:rsid w:val="00336B03"/>
    <w:rsid w:val="00352DDC"/>
    <w:rsid w:val="00353C9A"/>
    <w:rsid w:val="00365114"/>
    <w:rsid w:val="00381C3B"/>
    <w:rsid w:val="003926F5"/>
    <w:rsid w:val="003951D2"/>
    <w:rsid w:val="003A1600"/>
    <w:rsid w:val="003C3D7D"/>
    <w:rsid w:val="003C7577"/>
    <w:rsid w:val="003D030B"/>
    <w:rsid w:val="003F043B"/>
    <w:rsid w:val="004021C1"/>
    <w:rsid w:val="00404768"/>
    <w:rsid w:val="00410FD0"/>
    <w:rsid w:val="0041248B"/>
    <w:rsid w:val="00412753"/>
    <w:rsid w:val="004178DE"/>
    <w:rsid w:val="00422C87"/>
    <w:rsid w:val="00427370"/>
    <w:rsid w:val="00437271"/>
    <w:rsid w:val="004411F3"/>
    <w:rsid w:val="0045375B"/>
    <w:rsid w:val="00466808"/>
    <w:rsid w:val="004834D8"/>
    <w:rsid w:val="0049207B"/>
    <w:rsid w:val="004A66D1"/>
    <w:rsid w:val="004B02E5"/>
    <w:rsid w:val="004C00E6"/>
    <w:rsid w:val="004C54E1"/>
    <w:rsid w:val="004D53A5"/>
    <w:rsid w:val="004D5E86"/>
    <w:rsid w:val="004E39AC"/>
    <w:rsid w:val="004F38BE"/>
    <w:rsid w:val="004F54BD"/>
    <w:rsid w:val="00502733"/>
    <w:rsid w:val="0050369F"/>
    <w:rsid w:val="005044D9"/>
    <w:rsid w:val="00515A8C"/>
    <w:rsid w:val="00525C02"/>
    <w:rsid w:val="00541748"/>
    <w:rsid w:val="005632B1"/>
    <w:rsid w:val="00563432"/>
    <w:rsid w:val="00565AA1"/>
    <w:rsid w:val="005834B5"/>
    <w:rsid w:val="005834F8"/>
    <w:rsid w:val="00591305"/>
    <w:rsid w:val="00591624"/>
    <w:rsid w:val="005B1FC3"/>
    <w:rsid w:val="005B4322"/>
    <w:rsid w:val="005B562D"/>
    <w:rsid w:val="005B6444"/>
    <w:rsid w:val="005C0034"/>
    <w:rsid w:val="005C4A07"/>
    <w:rsid w:val="005E2CDA"/>
    <w:rsid w:val="005E749A"/>
    <w:rsid w:val="005F4DB9"/>
    <w:rsid w:val="005F56CC"/>
    <w:rsid w:val="006103E0"/>
    <w:rsid w:val="00611B64"/>
    <w:rsid w:val="00613132"/>
    <w:rsid w:val="0061401D"/>
    <w:rsid w:val="006330BE"/>
    <w:rsid w:val="00640EAE"/>
    <w:rsid w:val="00651755"/>
    <w:rsid w:val="00665D34"/>
    <w:rsid w:val="00677021"/>
    <w:rsid w:val="0067709F"/>
    <w:rsid w:val="00681AF3"/>
    <w:rsid w:val="006943A7"/>
    <w:rsid w:val="00697DE7"/>
    <w:rsid w:val="006C6B59"/>
    <w:rsid w:val="006D10E5"/>
    <w:rsid w:val="006D141E"/>
    <w:rsid w:val="006D64E6"/>
    <w:rsid w:val="006D72DB"/>
    <w:rsid w:val="006D7332"/>
    <w:rsid w:val="006F43CC"/>
    <w:rsid w:val="0070413A"/>
    <w:rsid w:val="00705B5E"/>
    <w:rsid w:val="007131A8"/>
    <w:rsid w:val="007132D8"/>
    <w:rsid w:val="00715021"/>
    <w:rsid w:val="00721FD5"/>
    <w:rsid w:val="00723B07"/>
    <w:rsid w:val="00726CA4"/>
    <w:rsid w:val="00740815"/>
    <w:rsid w:val="007475CB"/>
    <w:rsid w:val="007505DD"/>
    <w:rsid w:val="00750B14"/>
    <w:rsid w:val="00754EDA"/>
    <w:rsid w:val="00760823"/>
    <w:rsid w:val="00761330"/>
    <w:rsid w:val="00782619"/>
    <w:rsid w:val="00786020"/>
    <w:rsid w:val="0079206E"/>
    <w:rsid w:val="007953D1"/>
    <w:rsid w:val="00796509"/>
    <w:rsid w:val="007A6999"/>
    <w:rsid w:val="007A73C8"/>
    <w:rsid w:val="007C0B97"/>
    <w:rsid w:val="007C0C86"/>
    <w:rsid w:val="007C4DBF"/>
    <w:rsid w:val="007C52F0"/>
    <w:rsid w:val="007C6781"/>
    <w:rsid w:val="007E0D77"/>
    <w:rsid w:val="007F67FD"/>
    <w:rsid w:val="00803696"/>
    <w:rsid w:val="00805386"/>
    <w:rsid w:val="00807FAC"/>
    <w:rsid w:val="00812BB1"/>
    <w:rsid w:val="00814811"/>
    <w:rsid w:val="00822D9C"/>
    <w:rsid w:val="00833CE5"/>
    <w:rsid w:val="00852A2C"/>
    <w:rsid w:val="00854BE1"/>
    <w:rsid w:val="008565D8"/>
    <w:rsid w:val="00875C5E"/>
    <w:rsid w:val="00884C0B"/>
    <w:rsid w:val="00895B14"/>
    <w:rsid w:val="00896EA4"/>
    <w:rsid w:val="008A5CBC"/>
    <w:rsid w:val="008A75A7"/>
    <w:rsid w:val="008D667F"/>
    <w:rsid w:val="008F701B"/>
    <w:rsid w:val="009049DE"/>
    <w:rsid w:val="00926379"/>
    <w:rsid w:val="00927E34"/>
    <w:rsid w:val="00932B27"/>
    <w:rsid w:val="00933731"/>
    <w:rsid w:val="009417F0"/>
    <w:rsid w:val="009476C2"/>
    <w:rsid w:val="009519EE"/>
    <w:rsid w:val="0096098A"/>
    <w:rsid w:val="0096744D"/>
    <w:rsid w:val="00971790"/>
    <w:rsid w:val="009745B9"/>
    <w:rsid w:val="0098583A"/>
    <w:rsid w:val="009860A7"/>
    <w:rsid w:val="009A33CC"/>
    <w:rsid w:val="009B007E"/>
    <w:rsid w:val="009B4FEA"/>
    <w:rsid w:val="009C0AE0"/>
    <w:rsid w:val="009D0F3D"/>
    <w:rsid w:val="009D1245"/>
    <w:rsid w:val="009D2CB2"/>
    <w:rsid w:val="009D484A"/>
    <w:rsid w:val="009D6F6B"/>
    <w:rsid w:val="009D758D"/>
    <w:rsid w:val="009E3EAF"/>
    <w:rsid w:val="009F07F5"/>
    <w:rsid w:val="009F1C6E"/>
    <w:rsid w:val="00A03627"/>
    <w:rsid w:val="00A047EC"/>
    <w:rsid w:val="00A073CF"/>
    <w:rsid w:val="00A074C3"/>
    <w:rsid w:val="00A226E7"/>
    <w:rsid w:val="00A2691D"/>
    <w:rsid w:val="00A3718E"/>
    <w:rsid w:val="00A40756"/>
    <w:rsid w:val="00A411F9"/>
    <w:rsid w:val="00A46B61"/>
    <w:rsid w:val="00A475B9"/>
    <w:rsid w:val="00A6018B"/>
    <w:rsid w:val="00A64C84"/>
    <w:rsid w:val="00A665F8"/>
    <w:rsid w:val="00A67FA4"/>
    <w:rsid w:val="00A711F8"/>
    <w:rsid w:val="00A712AF"/>
    <w:rsid w:val="00A73346"/>
    <w:rsid w:val="00A766E0"/>
    <w:rsid w:val="00AA32EE"/>
    <w:rsid w:val="00AB3ED3"/>
    <w:rsid w:val="00AB4E31"/>
    <w:rsid w:val="00AB74EB"/>
    <w:rsid w:val="00AB7B2F"/>
    <w:rsid w:val="00AC3629"/>
    <w:rsid w:val="00AD11F5"/>
    <w:rsid w:val="00AE3B45"/>
    <w:rsid w:val="00AE4128"/>
    <w:rsid w:val="00AE51C3"/>
    <w:rsid w:val="00AE54A2"/>
    <w:rsid w:val="00AF5BCF"/>
    <w:rsid w:val="00B04CBA"/>
    <w:rsid w:val="00B05AF9"/>
    <w:rsid w:val="00B067D4"/>
    <w:rsid w:val="00B12497"/>
    <w:rsid w:val="00B1352E"/>
    <w:rsid w:val="00B22490"/>
    <w:rsid w:val="00B30738"/>
    <w:rsid w:val="00B46695"/>
    <w:rsid w:val="00B504C8"/>
    <w:rsid w:val="00B536D2"/>
    <w:rsid w:val="00B70D78"/>
    <w:rsid w:val="00B85E9C"/>
    <w:rsid w:val="00B9402B"/>
    <w:rsid w:val="00B94B42"/>
    <w:rsid w:val="00B961BC"/>
    <w:rsid w:val="00B965C7"/>
    <w:rsid w:val="00BA03A8"/>
    <w:rsid w:val="00BB1902"/>
    <w:rsid w:val="00BB2B0C"/>
    <w:rsid w:val="00BC01BA"/>
    <w:rsid w:val="00BF258B"/>
    <w:rsid w:val="00C00363"/>
    <w:rsid w:val="00C02107"/>
    <w:rsid w:val="00C039D1"/>
    <w:rsid w:val="00C12BE3"/>
    <w:rsid w:val="00C14B9F"/>
    <w:rsid w:val="00C162AA"/>
    <w:rsid w:val="00C223B5"/>
    <w:rsid w:val="00C253E3"/>
    <w:rsid w:val="00C259B5"/>
    <w:rsid w:val="00C263B7"/>
    <w:rsid w:val="00C34B07"/>
    <w:rsid w:val="00C60511"/>
    <w:rsid w:val="00C70BAF"/>
    <w:rsid w:val="00C70EEC"/>
    <w:rsid w:val="00C74971"/>
    <w:rsid w:val="00C84659"/>
    <w:rsid w:val="00C92E2A"/>
    <w:rsid w:val="00C93171"/>
    <w:rsid w:val="00C95704"/>
    <w:rsid w:val="00C95F56"/>
    <w:rsid w:val="00C96BA9"/>
    <w:rsid w:val="00CC34DF"/>
    <w:rsid w:val="00CC50B2"/>
    <w:rsid w:val="00CD2333"/>
    <w:rsid w:val="00CD4E54"/>
    <w:rsid w:val="00CD702B"/>
    <w:rsid w:val="00CF2465"/>
    <w:rsid w:val="00CF602F"/>
    <w:rsid w:val="00CF6ECD"/>
    <w:rsid w:val="00D17161"/>
    <w:rsid w:val="00D21E06"/>
    <w:rsid w:val="00D24146"/>
    <w:rsid w:val="00D31A28"/>
    <w:rsid w:val="00D335E3"/>
    <w:rsid w:val="00D3766D"/>
    <w:rsid w:val="00D40111"/>
    <w:rsid w:val="00D425C5"/>
    <w:rsid w:val="00D45B69"/>
    <w:rsid w:val="00D57F57"/>
    <w:rsid w:val="00D6118D"/>
    <w:rsid w:val="00D66550"/>
    <w:rsid w:val="00D717E9"/>
    <w:rsid w:val="00D72D2D"/>
    <w:rsid w:val="00D76089"/>
    <w:rsid w:val="00D76834"/>
    <w:rsid w:val="00D800D3"/>
    <w:rsid w:val="00D92612"/>
    <w:rsid w:val="00D92916"/>
    <w:rsid w:val="00DB4382"/>
    <w:rsid w:val="00DB6A83"/>
    <w:rsid w:val="00DC2BB5"/>
    <w:rsid w:val="00DC326B"/>
    <w:rsid w:val="00DC397E"/>
    <w:rsid w:val="00DC559C"/>
    <w:rsid w:val="00DF6A84"/>
    <w:rsid w:val="00DF6E4C"/>
    <w:rsid w:val="00E11633"/>
    <w:rsid w:val="00E1354F"/>
    <w:rsid w:val="00E13A3B"/>
    <w:rsid w:val="00E2139A"/>
    <w:rsid w:val="00E36C3C"/>
    <w:rsid w:val="00E40D90"/>
    <w:rsid w:val="00E4617B"/>
    <w:rsid w:val="00E60735"/>
    <w:rsid w:val="00E60C4F"/>
    <w:rsid w:val="00E627FF"/>
    <w:rsid w:val="00E63442"/>
    <w:rsid w:val="00E66DE0"/>
    <w:rsid w:val="00E85A78"/>
    <w:rsid w:val="00E97E6A"/>
    <w:rsid w:val="00EA46A6"/>
    <w:rsid w:val="00EC42FE"/>
    <w:rsid w:val="00ED07AE"/>
    <w:rsid w:val="00EE0206"/>
    <w:rsid w:val="00EF6BD8"/>
    <w:rsid w:val="00F26E53"/>
    <w:rsid w:val="00F32A22"/>
    <w:rsid w:val="00F40943"/>
    <w:rsid w:val="00F40AEB"/>
    <w:rsid w:val="00F44619"/>
    <w:rsid w:val="00F50CC4"/>
    <w:rsid w:val="00F50E0B"/>
    <w:rsid w:val="00F56287"/>
    <w:rsid w:val="00F61D08"/>
    <w:rsid w:val="00F72EB5"/>
    <w:rsid w:val="00F763E1"/>
    <w:rsid w:val="00FA2C6C"/>
    <w:rsid w:val="00FC2EE1"/>
    <w:rsid w:val="00FD1D61"/>
    <w:rsid w:val="00FD3143"/>
    <w:rsid w:val="00FD4349"/>
    <w:rsid w:val="00FE084E"/>
    <w:rsid w:val="00FE445B"/>
    <w:rsid w:val="00FE770E"/>
    <w:rsid w:val="00FF7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766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A766E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6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6E0"/>
    <w:rPr>
      <w:rFonts w:ascii="Tahoma" w:hAnsi="Tahoma" w:cs="Tahoma"/>
      <w:sz w:val="16"/>
      <w:szCs w:val="16"/>
    </w:rPr>
  </w:style>
  <w:style w:type="character" w:customStyle="1" w:styleId="Heading2Char">
    <w:name w:val="Heading 2 Char"/>
    <w:basedOn w:val="DefaultParagraphFont"/>
    <w:link w:val="Heading2"/>
    <w:uiPriority w:val="9"/>
    <w:rsid w:val="00A766E0"/>
    <w:rPr>
      <w:rFonts w:ascii="Times New Roman" w:eastAsia="Times New Roman" w:hAnsi="Times New Roman" w:cs="Times New Roman"/>
      <w:b/>
      <w:bCs/>
      <w:sz w:val="36"/>
      <w:szCs w:val="36"/>
    </w:rPr>
  </w:style>
  <w:style w:type="paragraph" w:styleId="NormalWeb">
    <w:name w:val="Normal (Web)"/>
    <w:basedOn w:val="Normal"/>
    <w:uiPriority w:val="99"/>
    <w:unhideWhenUsed/>
    <w:rsid w:val="00A766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A766E0"/>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A766E0"/>
    <w:rPr>
      <w:b/>
      <w:bCs/>
    </w:rPr>
  </w:style>
  <w:style w:type="character" w:styleId="Hyperlink">
    <w:name w:val="Hyperlink"/>
    <w:basedOn w:val="DefaultParagraphFont"/>
    <w:uiPriority w:val="99"/>
    <w:semiHidden/>
    <w:unhideWhenUsed/>
    <w:rsid w:val="00A766E0"/>
    <w:rPr>
      <w:color w:val="0000FF"/>
      <w:u w:val="single"/>
    </w:rPr>
  </w:style>
  <w:style w:type="paragraph" w:styleId="Header">
    <w:name w:val="header"/>
    <w:basedOn w:val="Normal"/>
    <w:link w:val="HeaderChar"/>
    <w:uiPriority w:val="99"/>
    <w:unhideWhenUsed/>
    <w:rsid w:val="00CD2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333"/>
  </w:style>
  <w:style w:type="paragraph" w:styleId="Footer">
    <w:name w:val="footer"/>
    <w:basedOn w:val="Normal"/>
    <w:link w:val="FooterChar"/>
    <w:uiPriority w:val="99"/>
    <w:unhideWhenUsed/>
    <w:rsid w:val="00CD2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3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766E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A766E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6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6E0"/>
    <w:rPr>
      <w:rFonts w:ascii="Tahoma" w:hAnsi="Tahoma" w:cs="Tahoma"/>
      <w:sz w:val="16"/>
      <w:szCs w:val="16"/>
    </w:rPr>
  </w:style>
  <w:style w:type="character" w:customStyle="1" w:styleId="Heading2Char">
    <w:name w:val="Heading 2 Char"/>
    <w:basedOn w:val="DefaultParagraphFont"/>
    <w:link w:val="Heading2"/>
    <w:uiPriority w:val="9"/>
    <w:rsid w:val="00A766E0"/>
    <w:rPr>
      <w:rFonts w:ascii="Times New Roman" w:eastAsia="Times New Roman" w:hAnsi="Times New Roman" w:cs="Times New Roman"/>
      <w:b/>
      <w:bCs/>
      <w:sz w:val="36"/>
      <w:szCs w:val="36"/>
    </w:rPr>
  </w:style>
  <w:style w:type="paragraph" w:styleId="NormalWeb">
    <w:name w:val="Normal (Web)"/>
    <w:basedOn w:val="Normal"/>
    <w:uiPriority w:val="99"/>
    <w:unhideWhenUsed/>
    <w:rsid w:val="00A766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A766E0"/>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A766E0"/>
    <w:rPr>
      <w:b/>
      <w:bCs/>
    </w:rPr>
  </w:style>
  <w:style w:type="character" w:styleId="Hyperlink">
    <w:name w:val="Hyperlink"/>
    <w:basedOn w:val="DefaultParagraphFont"/>
    <w:uiPriority w:val="99"/>
    <w:semiHidden/>
    <w:unhideWhenUsed/>
    <w:rsid w:val="00A766E0"/>
    <w:rPr>
      <w:color w:val="0000FF"/>
      <w:u w:val="single"/>
    </w:rPr>
  </w:style>
  <w:style w:type="paragraph" w:styleId="Header">
    <w:name w:val="header"/>
    <w:basedOn w:val="Normal"/>
    <w:link w:val="HeaderChar"/>
    <w:uiPriority w:val="99"/>
    <w:unhideWhenUsed/>
    <w:rsid w:val="00CD2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333"/>
  </w:style>
  <w:style w:type="paragraph" w:styleId="Footer">
    <w:name w:val="footer"/>
    <w:basedOn w:val="Normal"/>
    <w:link w:val="FooterChar"/>
    <w:uiPriority w:val="99"/>
    <w:unhideWhenUsed/>
    <w:rsid w:val="00CD2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9541">
      <w:bodyDiv w:val="1"/>
      <w:marLeft w:val="0"/>
      <w:marRight w:val="0"/>
      <w:marTop w:val="0"/>
      <w:marBottom w:val="0"/>
      <w:divBdr>
        <w:top w:val="none" w:sz="0" w:space="0" w:color="auto"/>
        <w:left w:val="none" w:sz="0" w:space="0" w:color="auto"/>
        <w:bottom w:val="none" w:sz="0" w:space="0" w:color="auto"/>
        <w:right w:val="none" w:sz="0" w:space="0" w:color="auto"/>
      </w:divBdr>
    </w:div>
    <w:div w:id="180945022">
      <w:bodyDiv w:val="1"/>
      <w:marLeft w:val="0"/>
      <w:marRight w:val="0"/>
      <w:marTop w:val="0"/>
      <w:marBottom w:val="0"/>
      <w:divBdr>
        <w:top w:val="none" w:sz="0" w:space="0" w:color="auto"/>
        <w:left w:val="none" w:sz="0" w:space="0" w:color="auto"/>
        <w:bottom w:val="none" w:sz="0" w:space="0" w:color="auto"/>
        <w:right w:val="none" w:sz="0" w:space="0" w:color="auto"/>
      </w:divBdr>
      <w:divsChild>
        <w:div w:id="770859379">
          <w:marLeft w:val="0"/>
          <w:marRight w:val="0"/>
          <w:marTop w:val="0"/>
          <w:marBottom w:val="0"/>
          <w:divBdr>
            <w:top w:val="none" w:sz="0" w:space="0" w:color="auto"/>
            <w:left w:val="none" w:sz="0" w:space="0" w:color="auto"/>
            <w:bottom w:val="none" w:sz="0" w:space="0" w:color="auto"/>
            <w:right w:val="none" w:sz="0" w:space="0" w:color="auto"/>
          </w:divBdr>
        </w:div>
      </w:divsChild>
    </w:div>
    <w:div w:id="182862302">
      <w:bodyDiv w:val="1"/>
      <w:marLeft w:val="0"/>
      <w:marRight w:val="0"/>
      <w:marTop w:val="0"/>
      <w:marBottom w:val="0"/>
      <w:divBdr>
        <w:top w:val="none" w:sz="0" w:space="0" w:color="auto"/>
        <w:left w:val="none" w:sz="0" w:space="0" w:color="auto"/>
        <w:bottom w:val="none" w:sz="0" w:space="0" w:color="auto"/>
        <w:right w:val="none" w:sz="0" w:space="0" w:color="auto"/>
      </w:divBdr>
      <w:divsChild>
        <w:div w:id="2142771060">
          <w:marLeft w:val="0"/>
          <w:marRight w:val="0"/>
          <w:marTop w:val="0"/>
          <w:marBottom w:val="0"/>
          <w:divBdr>
            <w:top w:val="none" w:sz="0" w:space="0" w:color="auto"/>
            <w:left w:val="none" w:sz="0" w:space="0" w:color="auto"/>
            <w:bottom w:val="none" w:sz="0" w:space="0" w:color="auto"/>
            <w:right w:val="none" w:sz="0" w:space="0" w:color="auto"/>
          </w:divBdr>
        </w:div>
      </w:divsChild>
    </w:div>
    <w:div w:id="220754132">
      <w:bodyDiv w:val="1"/>
      <w:marLeft w:val="0"/>
      <w:marRight w:val="0"/>
      <w:marTop w:val="0"/>
      <w:marBottom w:val="0"/>
      <w:divBdr>
        <w:top w:val="none" w:sz="0" w:space="0" w:color="auto"/>
        <w:left w:val="none" w:sz="0" w:space="0" w:color="auto"/>
        <w:bottom w:val="none" w:sz="0" w:space="0" w:color="auto"/>
        <w:right w:val="none" w:sz="0" w:space="0" w:color="auto"/>
      </w:divBdr>
    </w:div>
    <w:div w:id="253166910">
      <w:bodyDiv w:val="1"/>
      <w:marLeft w:val="0"/>
      <w:marRight w:val="0"/>
      <w:marTop w:val="0"/>
      <w:marBottom w:val="0"/>
      <w:divBdr>
        <w:top w:val="none" w:sz="0" w:space="0" w:color="auto"/>
        <w:left w:val="none" w:sz="0" w:space="0" w:color="auto"/>
        <w:bottom w:val="none" w:sz="0" w:space="0" w:color="auto"/>
        <w:right w:val="none" w:sz="0" w:space="0" w:color="auto"/>
      </w:divBdr>
      <w:divsChild>
        <w:div w:id="874122114">
          <w:marLeft w:val="0"/>
          <w:marRight w:val="0"/>
          <w:marTop w:val="0"/>
          <w:marBottom w:val="0"/>
          <w:divBdr>
            <w:top w:val="none" w:sz="0" w:space="0" w:color="auto"/>
            <w:left w:val="none" w:sz="0" w:space="0" w:color="auto"/>
            <w:bottom w:val="none" w:sz="0" w:space="0" w:color="auto"/>
            <w:right w:val="none" w:sz="0" w:space="0" w:color="auto"/>
          </w:divBdr>
        </w:div>
      </w:divsChild>
    </w:div>
    <w:div w:id="292759959">
      <w:bodyDiv w:val="1"/>
      <w:marLeft w:val="0"/>
      <w:marRight w:val="0"/>
      <w:marTop w:val="0"/>
      <w:marBottom w:val="0"/>
      <w:divBdr>
        <w:top w:val="none" w:sz="0" w:space="0" w:color="auto"/>
        <w:left w:val="none" w:sz="0" w:space="0" w:color="auto"/>
        <w:bottom w:val="none" w:sz="0" w:space="0" w:color="auto"/>
        <w:right w:val="none" w:sz="0" w:space="0" w:color="auto"/>
      </w:divBdr>
      <w:divsChild>
        <w:div w:id="1978222844">
          <w:marLeft w:val="0"/>
          <w:marRight w:val="0"/>
          <w:marTop w:val="0"/>
          <w:marBottom w:val="0"/>
          <w:divBdr>
            <w:top w:val="none" w:sz="0" w:space="0" w:color="auto"/>
            <w:left w:val="none" w:sz="0" w:space="0" w:color="auto"/>
            <w:bottom w:val="none" w:sz="0" w:space="0" w:color="auto"/>
            <w:right w:val="none" w:sz="0" w:space="0" w:color="auto"/>
          </w:divBdr>
        </w:div>
      </w:divsChild>
    </w:div>
    <w:div w:id="372853330">
      <w:bodyDiv w:val="1"/>
      <w:marLeft w:val="0"/>
      <w:marRight w:val="0"/>
      <w:marTop w:val="0"/>
      <w:marBottom w:val="0"/>
      <w:divBdr>
        <w:top w:val="none" w:sz="0" w:space="0" w:color="auto"/>
        <w:left w:val="none" w:sz="0" w:space="0" w:color="auto"/>
        <w:bottom w:val="none" w:sz="0" w:space="0" w:color="auto"/>
        <w:right w:val="none" w:sz="0" w:space="0" w:color="auto"/>
      </w:divBdr>
      <w:divsChild>
        <w:div w:id="1056662504">
          <w:marLeft w:val="0"/>
          <w:marRight w:val="0"/>
          <w:marTop w:val="0"/>
          <w:marBottom w:val="0"/>
          <w:divBdr>
            <w:top w:val="none" w:sz="0" w:space="0" w:color="auto"/>
            <w:left w:val="none" w:sz="0" w:space="0" w:color="auto"/>
            <w:bottom w:val="none" w:sz="0" w:space="0" w:color="auto"/>
            <w:right w:val="none" w:sz="0" w:space="0" w:color="auto"/>
          </w:divBdr>
        </w:div>
      </w:divsChild>
    </w:div>
    <w:div w:id="429008163">
      <w:bodyDiv w:val="1"/>
      <w:marLeft w:val="0"/>
      <w:marRight w:val="0"/>
      <w:marTop w:val="0"/>
      <w:marBottom w:val="0"/>
      <w:divBdr>
        <w:top w:val="none" w:sz="0" w:space="0" w:color="auto"/>
        <w:left w:val="none" w:sz="0" w:space="0" w:color="auto"/>
        <w:bottom w:val="none" w:sz="0" w:space="0" w:color="auto"/>
        <w:right w:val="none" w:sz="0" w:space="0" w:color="auto"/>
      </w:divBdr>
      <w:divsChild>
        <w:div w:id="256256057">
          <w:marLeft w:val="0"/>
          <w:marRight w:val="0"/>
          <w:marTop w:val="0"/>
          <w:marBottom w:val="0"/>
          <w:divBdr>
            <w:top w:val="none" w:sz="0" w:space="0" w:color="auto"/>
            <w:left w:val="none" w:sz="0" w:space="0" w:color="auto"/>
            <w:bottom w:val="none" w:sz="0" w:space="0" w:color="auto"/>
            <w:right w:val="none" w:sz="0" w:space="0" w:color="auto"/>
          </w:divBdr>
        </w:div>
      </w:divsChild>
    </w:div>
    <w:div w:id="527259820">
      <w:bodyDiv w:val="1"/>
      <w:marLeft w:val="0"/>
      <w:marRight w:val="0"/>
      <w:marTop w:val="0"/>
      <w:marBottom w:val="0"/>
      <w:divBdr>
        <w:top w:val="none" w:sz="0" w:space="0" w:color="auto"/>
        <w:left w:val="none" w:sz="0" w:space="0" w:color="auto"/>
        <w:bottom w:val="none" w:sz="0" w:space="0" w:color="auto"/>
        <w:right w:val="none" w:sz="0" w:space="0" w:color="auto"/>
      </w:divBdr>
      <w:divsChild>
        <w:div w:id="1890609620">
          <w:marLeft w:val="0"/>
          <w:marRight w:val="0"/>
          <w:marTop w:val="0"/>
          <w:marBottom w:val="0"/>
          <w:divBdr>
            <w:top w:val="none" w:sz="0" w:space="0" w:color="auto"/>
            <w:left w:val="none" w:sz="0" w:space="0" w:color="auto"/>
            <w:bottom w:val="none" w:sz="0" w:space="0" w:color="auto"/>
            <w:right w:val="none" w:sz="0" w:space="0" w:color="auto"/>
          </w:divBdr>
        </w:div>
      </w:divsChild>
    </w:div>
    <w:div w:id="639506668">
      <w:bodyDiv w:val="1"/>
      <w:marLeft w:val="0"/>
      <w:marRight w:val="0"/>
      <w:marTop w:val="0"/>
      <w:marBottom w:val="0"/>
      <w:divBdr>
        <w:top w:val="none" w:sz="0" w:space="0" w:color="auto"/>
        <w:left w:val="none" w:sz="0" w:space="0" w:color="auto"/>
        <w:bottom w:val="none" w:sz="0" w:space="0" w:color="auto"/>
        <w:right w:val="none" w:sz="0" w:space="0" w:color="auto"/>
      </w:divBdr>
      <w:divsChild>
        <w:div w:id="553807904">
          <w:marLeft w:val="0"/>
          <w:marRight w:val="0"/>
          <w:marTop w:val="0"/>
          <w:marBottom w:val="0"/>
          <w:divBdr>
            <w:top w:val="none" w:sz="0" w:space="0" w:color="auto"/>
            <w:left w:val="none" w:sz="0" w:space="0" w:color="auto"/>
            <w:bottom w:val="none" w:sz="0" w:space="0" w:color="auto"/>
            <w:right w:val="none" w:sz="0" w:space="0" w:color="auto"/>
          </w:divBdr>
        </w:div>
      </w:divsChild>
    </w:div>
    <w:div w:id="775977997">
      <w:bodyDiv w:val="1"/>
      <w:marLeft w:val="0"/>
      <w:marRight w:val="0"/>
      <w:marTop w:val="0"/>
      <w:marBottom w:val="0"/>
      <w:divBdr>
        <w:top w:val="none" w:sz="0" w:space="0" w:color="auto"/>
        <w:left w:val="none" w:sz="0" w:space="0" w:color="auto"/>
        <w:bottom w:val="none" w:sz="0" w:space="0" w:color="auto"/>
        <w:right w:val="none" w:sz="0" w:space="0" w:color="auto"/>
      </w:divBdr>
      <w:divsChild>
        <w:div w:id="1365398241">
          <w:marLeft w:val="0"/>
          <w:marRight w:val="0"/>
          <w:marTop w:val="0"/>
          <w:marBottom w:val="0"/>
          <w:divBdr>
            <w:top w:val="none" w:sz="0" w:space="0" w:color="auto"/>
            <w:left w:val="none" w:sz="0" w:space="0" w:color="auto"/>
            <w:bottom w:val="none" w:sz="0" w:space="0" w:color="auto"/>
            <w:right w:val="none" w:sz="0" w:space="0" w:color="auto"/>
          </w:divBdr>
        </w:div>
      </w:divsChild>
    </w:div>
    <w:div w:id="805465315">
      <w:bodyDiv w:val="1"/>
      <w:marLeft w:val="0"/>
      <w:marRight w:val="0"/>
      <w:marTop w:val="0"/>
      <w:marBottom w:val="0"/>
      <w:divBdr>
        <w:top w:val="none" w:sz="0" w:space="0" w:color="auto"/>
        <w:left w:val="none" w:sz="0" w:space="0" w:color="auto"/>
        <w:bottom w:val="none" w:sz="0" w:space="0" w:color="auto"/>
        <w:right w:val="none" w:sz="0" w:space="0" w:color="auto"/>
      </w:divBdr>
      <w:divsChild>
        <w:div w:id="1466240976">
          <w:marLeft w:val="0"/>
          <w:marRight w:val="0"/>
          <w:marTop w:val="0"/>
          <w:marBottom w:val="0"/>
          <w:divBdr>
            <w:top w:val="none" w:sz="0" w:space="0" w:color="auto"/>
            <w:left w:val="none" w:sz="0" w:space="0" w:color="auto"/>
            <w:bottom w:val="none" w:sz="0" w:space="0" w:color="auto"/>
            <w:right w:val="none" w:sz="0" w:space="0" w:color="auto"/>
          </w:divBdr>
        </w:div>
      </w:divsChild>
    </w:div>
    <w:div w:id="987435858">
      <w:bodyDiv w:val="1"/>
      <w:marLeft w:val="0"/>
      <w:marRight w:val="0"/>
      <w:marTop w:val="0"/>
      <w:marBottom w:val="0"/>
      <w:divBdr>
        <w:top w:val="none" w:sz="0" w:space="0" w:color="auto"/>
        <w:left w:val="none" w:sz="0" w:space="0" w:color="auto"/>
        <w:bottom w:val="none" w:sz="0" w:space="0" w:color="auto"/>
        <w:right w:val="none" w:sz="0" w:space="0" w:color="auto"/>
      </w:divBdr>
      <w:divsChild>
        <w:div w:id="711809806">
          <w:marLeft w:val="0"/>
          <w:marRight w:val="0"/>
          <w:marTop w:val="0"/>
          <w:marBottom w:val="0"/>
          <w:divBdr>
            <w:top w:val="none" w:sz="0" w:space="0" w:color="auto"/>
            <w:left w:val="none" w:sz="0" w:space="0" w:color="auto"/>
            <w:bottom w:val="none" w:sz="0" w:space="0" w:color="auto"/>
            <w:right w:val="none" w:sz="0" w:space="0" w:color="auto"/>
          </w:divBdr>
        </w:div>
      </w:divsChild>
    </w:div>
    <w:div w:id="1066804220">
      <w:bodyDiv w:val="1"/>
      <w:marLeft w:val="0"/>
      <w:marRight w:val="0"/>
      <w:marTop w:val="0"/>
      <w:marBottom w:val="0"/>
      <w:divBdr>
        <w:top w:val="none" w:sz="0" w:space="0" w:color="auto"/>
        <w:left w:val="none" w:sz="0" w:space="0" w:color="auto"/>
        <w:bottom w:val="none" w:sz="0" w:space="0" w:color="auto"/>
        <w:right w:val="none" w:sz="0" w:space="0" w:color="auto"/>
      </w:divBdr>
      <w:divsChild>
        <w:div w:id="1147089288">
          <w:marLeft w:val="0"/>
          <w:marRight w:val="0"/>
          <w:marTop w:val="0"/>
          <w:marBottom w:val="0"/>
          <w:divBdr>
            <w:top w:val="none" w:sz="0" w:space="0" w:color="auto"/>
            <w:left w:val="none" w:sz="0" w:space="0" w:color="auto"/>
            <w:bottom w:val="none" w:sz="0" w:space="0" w:color="auto"/>
            <w:right w:val="none" w:sz="0" w:space="0" w:color="auto"/>
          </w:divBdr>
        </w:div>
      </w:divsChild>
    </w:div>
    <w:div w:id="1067341566">
      <w:bodyDiv w:val="1"/>
      <w:marLeft w:val="0"/>
      <w:marRight w:val="0"/>
      <w:marTop w:val="0"/>
      <w:marBottom w:val="0"/>
      <w:divBdr>
        <w:top w:val="none" w:sz="0" w:space="0" w:color="auto"/>
        <w:left w:val="none" w:sz="0" w:space="0" w:color="auto"/>
        <w:bottom w:val="none" w:sz="0" w:space="0" w:color="auto"/>
        <w:right w:val="none" w:sz="0" w:space="0" w:color="auto"/>
      </w:divBdr>
      <w:divsChild>
        <w:div w:id="2141025043">
          <w:marLeft w:val="0"/>
          <w:marRight w:val="0"/>
          <w:marTop w:val="0"/>
          <w:marBottom w:val="0"/>
          <w:divBdr>
            <w:top w:val="none" w:sz="0" w:space="0" w:color="auto"/>
            <w:left w:val="none" w:sz="0" w:space="0" w:color="auto"/>
            <w:bottom w:val="none" w:sz="0" w:space="0" w:color="auto"/>
            <w:right w:val="none" w:sz="0" w:space="0" w:color="auto"/>
          </w:divBdr>
        </w:div>
      </w:divsChild>
    </w:div>
    <w:div w:id="1327126208">
      <w:bodyDiv w:val="1"/>
      <w:marLeft w:val="0"/>
      <w:marRight w:val="0"/>
      <w:marTop w:val="0"/>
      <w:marBottom w:val="0"/>
      <w:divBdr>
        <w:top w:val="none" w:sz="0" w:space="0" w:color="auto"/>
        <w:left w:val="none" w:sz="0" w:space="0" w:color="auto"/>
        <w:bottom w:val="none" w:sz="0" w:space="0" w:color="auto"/>
        <w:right w:val="none" w:sz="0" w:space="0" w:color="auto"/>
      </w:divBdr>
      <w:divsChild>
        <w:div w:id="802693595">
          <w:marLeft w:val="0"/>
          <w:marRight w:val="0"/>
          <w:marTop w:val="0"/>
          <w:marBottom w:val="0"/>
          <w:divBdr>
            <w:top w:val="none" w:sz="0" w:space="0" w:color="auto"/>
            <w:left w:val="none" w:sz="0" w:space="0" w:color="auto"/>
            <w:bottom w:val="none" w:sz="0" w:space="0" w:color="auto"/>
            <w:right w:val="none" w:sz="0" w:space="0" w:color="auto"/>
          </w:divBdr>
        </w:div>
      </w:divsChild>
    </w:div>
    <w:div w:id="1442140006">
      <w:bodyDiv w:val="1"/>
      <w:marLeft w:val="0"/>
      <w:marRight w:val="0"/>
      <w:marTop w:val="0"/>
      <w:marBottom w:val="0"/>
      <w:divBdr>
        <w:top w:val="none" w:sz="0" w:space="0" w:color="auto"/>
        <w:left w:val="none" w:sz="0" w:space="0" w:color="auto"/>
        <w:bottom w:val="none" w:sz="0" w:space="0" w:color="auto"/>
        <w:right w:val="none" w:sz="0" w:space="0" w:color="auto"/>
      </w:divBdr>
      <w:divsChild>
        <w:div w:id="245383148">
          <w:marLeft w:val="0"/>
          <w:marRight w:val="0"/>
          <w:marTop w:val="0"/>
          <w:marBottom w:val="0"/>
          <w:divBdr>
            <w:top w:val="none" w:sz="0" w:space="0" w:color="auto"/>
            <w:left w:val="none" w:sz="0" w:space="0" w:color="auto"/>
            <w:bottom w:val="none" w:sz="0" w:space="0" w:color="auto"/>
            <w:right w:val="none" w:sz="0" w:space="0" w:color="auto"/>
          </w:divBdr>
        </w:div>
      </w:divsChild>
    </w:div>
    <w:div w:id="1490294111">
      <w:bodyDiv w:val="1"/>
      <w:marLeft w:val="0"/>
      <w:marRight w:val="0"/>
      <w:marTop w:val="0"/>
      <w:marBottom w:val="0"/>
      <w:divBdr>
        <w:top w:val="none" w:sz="0" w:space="0" w:color="auto"/>
        <w:left w:val="none" w:sz="0" w:space="0" w:color="auto"/>
        <w:bottom w:val="none" w:sz="0" w:space="0" w:color="auto"/>
        <w:right w:val="none" w:sz="0" w:space="0" w:color="auto"/>
      </w:divBdr>
      <w:divsChild>
        <w:div w:id="36006049">
          <w:marLeft w:val="0"/>
          <w:marRight w:val="0"/>
          <w:marTop w:val="0"/>
          <w:marBottom w:val="0"/>
          <w:divBdr>
            <w:top w:val="none" w:sz="0" w:space="0" w:color="auto"/>
            <w:left w:val="none" w:sz="0" w:space="0" w:color="auto"/>
            <w:bottom w:val="none" w:sz="0" w:space="0" w:color="auto"/>
            <w:right w:val="none" w:sz="0" w:space="0" w:color="auto"/>
          </w:divBdr>
        </w:div>
      </w:divsChild>
    </w:div>
    <w:div w:id="1597979130">
      <w:bodyDiv w:val="1"/>
      <w:marLeft w:val="0"/>
      <w:marRight w:val="0"/>
      <w:marTop w:val="0"/>
      <w:marBottom w:val="0"/>
      <w:divBdr>
        <w:top w:val="none" w:sz="0" w:space="0" w:color="auto"/>
        <w:left w:val="none" w:sz="0" w:space="0" w:color="auto"/>
        <w:bottom w:val="none" w:sz="0" w:space="0" w:color="auto"/>
        <w:right w:val="none" w:sz="0" w:space="0" w:color="auto"/>
      </w:divBdr>
      <w:divsChild>
        <w:div w:id="370692254">
          <w:marLeft w:val="0"/>
          <w:marRight w:val="0"/>
          <w:marTop w:val="0"/>
          <w:marBottom w:val="0"/>
          <w:divBdr>
            <w:top w:val="none" w:sz="0" w:space="0" w:color="auto"/>
            <w:left w:val="none" w:sz="0" w:space="0" w:color="auto"/>
            <w:bottom w:val="none" w:sz="0" w:space="0" w:color="auto"/>
            <w:right w:val="none" w:sz="0" w:space="0" w:color="auto"/>
          </w:divBdr>
        </w:div>
      </w:divsChild>
    </w:div>
    <w:div w:id="1656759910">
      <w:bodyDiv w:val="1"/>
      <w:marLeft w:val="0"/>
      <w:marRight w:val="0"/>
      <w:marTop w:val="0"/>
      <w:marBottom w:val="0"/>
      <w:divBdr>
        <w:top w:val="none" w:sz="0" w:space="0" w:color="auto"/>
        <w:left w:val="none" w:sz="0" w:space="0" w:color="auto"/>
        <w:bottom w:val="none" w:sz="0" w:space="0" w:color="auto"/>
        <w:right w:val="none" w:sz="0" w:space="0" w:color="auto"/>
      </w:divBdr>
      <w:divsChild>
        <w:div w:id="129448320">
          <w:marLeft w:val="0"/>
          <w:marRight w:val="0"/>
          <w:marTop w:val="0"/>
          <w:marBottom w:val="0"/>
          <w:divBdr>
            <w:top w:val="none" w:sz="0" w:space="0" w:color="auto"/>
            <w:left w:val="none" w:sz="0" w:space="0" w:color="auto"/>
            <w:bottom w:val="none" w:sz="0" w:space="0" w:color="auto"/>
            <w:right w:val="none" w:sz="0" w:space="0" w:color="auto"/>
          </w:divBdr>
        </w:div>
      </w:divsChild>
    </w:div>
    <w:div w:id="1666057586">
      <w:bodyDiv w:val="1"/>
      <w:marLeft w:val="0"/>
      <w:marRight w:val="0"/>
      <w:marTop w:val="0"/>
      <w:marBottom w:val="0"/>
      <w:divBdr>
        <w:top w:val="none" w:sz="0" w:space="0" w:color="auto"/>
        <w:left w:val="none" w:sz="0" w:space="0" w:color="auto"/>
        <w:bottom w:val="none" w:sz="0" w:space="0" w:color="auto"/>
        <w:right w:val="none" w:sz="0" w:space="0" w:color="auto"/>
      </w:divBdr>
      <w:divsChild>
        <w:div w:id="2030596430">
          <w:marLeft w:val="0"/>
          <w:marRight w:val="0"/>
          <w:marTop w:val="0"/>
          <w:marBottom w:val="0"/>
          <w:divBdr>
            <w:top w:val="none" w:sz="0" w:space="0" w:color="auto"/>
            <w:left w:val="none" w:sz="0" w:space="0" w:color="auto"/>
            <w:bottom w:val="none" w:sz="0" w:space="0" w:color="auto"/>
            <w:right w:val="none" w:sz="0" w:space="0" w:color="auto"/>
          </w:divBdr>
        </w:div>
      </w:divsChild>
    </w:div>
    <w:div w:id="1775974794">
      <w:bodyDiv w:val="1"/>
      <w:marLeft w:val="0"/>
      <w:marRight w:val="0"/>
      <w:marTop w:val="0"/>
      <w:marBottom w:val="0"/>
      <w:divBdr>
        <w:top w:val="none" w:sz="0" w:space="0" w:color="auto"/>
        <w:left w:val="none" w:sz="0" w:space="0" w:color="auto"/>
        <w:bottom w:val="none" w:sz="0" w:space="0" w:color="auto"/>
        <w:right w:val="none" w:sz="0" w:space="0" w:color="auto"/>
      </w:divBdr>
      <w:divsChild>
        <w:div w:id="262107370">
          <w:marLeft w:val="0"/>
          <w:marRight w:val="0"/>
          <w:marTop w:val="0"/>
          <w:marBottom w:val="0"/>
          <w:divBdr>
            <w:top w:val="none" w:sz="0" w:space="0" w:color="auto"/>
            <w:left w:val="none" w:sz="0" w:space="0" w:color="auto"/>
            <w:bottom w:val="none" w:sz="0" w:space="0" w:color="auto"/>
            <w:right w:val="none" w:sz="0" w:space="0" w:color="auto"/>
          </w:divBdr>
        </w:div>
      </w:divsChild>
    </w:div>
    <w:div w:id="1991397824">
      <w:bodyDiv w:val="1"/>
      <w:marLeft w:val="0"/>
      <w:marRight w:val="0"/>
      <w:marTop w:val="0"/>
      <w:marBottom w:val="0"/>
      <w:divBdr>
        <w:top w:val="none" w:sz="0" w:space="0" w:color="auto"/>
        <w:left w:val="none" w:sz="0" w:space="0" w:color="auto"/>
        <w:bottom w:val="none" w:sz="0" w:space="0" w:color="auto"/>
        <w:right w:val="none" w:sz="0" w:space="0" w:color="auto"/>
      </w:divBdr>
    </w:div>
    <w:div w:id="2020157215">
      <w:bodyDiv w:val="1"/>
      <w:marLeft w:val="0"/>
      <w:marRight w:val="0"/>
      <w:marTop w:val="0"/>
      <w:marBottom w:val="0"/>
      <w:divBdr>
        <w:top w:val="none" w:sz="0" w:space="0" w:color="auto"/>
        <w:left w:val="none" w:sz="0" w:space="0" w:color="auto"/>
        <w:bottom w:val="none" w:sz="0" w:space="0" w:color="auto"/>
        <w:right w:val="none" w:sz="0" w:space="0" w:color="auto"/>
      </w:divBdr>
      <w:divsChild>
        <w:div w:id="624046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nect.mcgrawhill.ca/app/mod/resource/view.php?id=232773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16</Pages>
  <Words>4625</Words>
  <Characters>26369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dc:creator>
  <cp:lastModifiedBy>Meghan</cp:lastModifiedBy>
  <cp:revision>1</cp:revision>
  <dcterms:created xsi:type="dcterms:W3CDTF">2013-02-09T22:23:00Z</dcterms:created>
  <dcterms:modified xsi:type="dcterms:W3CDTF">2013-02-09T23:12:00Z</dcterms:modified>
</cp:coreProperties>
</file>