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93"/>
        <w:gridCol w:w="4111"/>
        <w:gridCol w:w="4812"/>
      </w:tblGrid>
      <w:tr w:rsidR="00FD1150" w14:paraId="1316E915" w14:textId="77777777" w:rsidTr="003159C8">
        <w:trPr>
          <w:trHeight w:val="564"/>
        </w:trPr>
        <w:tc>
          <w:tcPr>
            <w:tcW w:w="950" w:type="pct"/>
            <w:vAlign w:val="center"/>
          </w:tcPr>
          <w:p w14:paraId="4DA558DE" w14:textId="77777777" w:rsidR="00346C0C" w:rsidRPr="00C251EB" w:rsidRDefault="00346C0C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C251EB">
              <w:rPr>
                <w:rFonts w:asciiTheme="majorHAnsi" w:hAnsiTheme="majorHAnsi"/>
                <w:b/>
                <w:sz w:val="20"/>
                <w:szCs w:val="20"/>
              </w:rPr>
              <w:t>RATIO</w:t>
            </w:r>
          </w:p>
        </w:tc>
        <w:tc>
          <w:tcPr>
            <w:tcW w:w="1866" w:type="pct"/>
            <w:vAlign w:val="center"/>
          </w:tcPr>
          <w:p w14:paraId="5B4F1463" w14:textId="77777777" w:rsidR="00346C0C" w:rsidRPr="00C251EB" w:rsidRDefault="00346C0C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C251EB">
              <w:rPr>
                <w:rFonts w:asciiTheme="majorHAnsi" w:hAnsiTheme="majorHAnsi"/>
                <w:b/>
                <w:sz w:val="20"/>
                <w:szCs w:val="20"/>
              </w:rPr>
              <w:t>COMPUTATION</w:t>
            </w:r>
          </w:p>
        </w:tc>
        <w:tc>
          <w:tcPr>
            <w:tcW w:w="2184" w:type="pct"/>
            <w:vAlign w:val="center"/>
          </w:tcPr>
          <w:p w14:paraId="03CE0EB5" w14:textId="77777777" w:rsidR="00346C0C" w:rsidRPr="00C251EB" w:rsidRDefault="00346C0C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C251EB">
              <w:rPr>
                <w:rFonts w:asciiTheme="majorHAnsi" w:hAnsiTheme="majorHAnsi"/>
                <w:b/>
                <w:sz w:val="20"/>
                <w:szCs w:val="20"/>
              </w:rPr>
              <w:t>EXPLANATION</w:t>
            </w:r>
          </w:p>
        </w:tc>
      </w:tr>
      <w:tr w:rsidR="0063075E" w14:paraId="0A7A676C" w14:textId="77777777" w:rsidTr="003159C8">
        <w:trPr>
          <w:trHeight w:val="417"/>
        </w:trPr>
        <w:tc>
          <w:tcPr>
            <w:tcW w:w="5000" w:type="pct"/>
            <w:gridSpan w:val="3"/>
            <w:vAlign w:val="center"/>
          </w:tcPr>
          <w:p w14:paraId="70F88E5D" w14:textId="77777777" w:rsidR="0063075E" w:rsidRPr="00C251EB" w:rsidRDefault="0063075E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C251EB">
              <w:rPr>
                <w:rFonts w:asciiTheme="majorHAnsi" w:hAnsiTheme="majorHAnsi"/>
                <w:b/>
                <w:sz w:val="20"/>
                <w:szCs w:val="20"/>
              </w:rPr>
              <w:t>Test</w:t>
            </w:r>
            <w:r w:rsidR="001E7BE4" w:rsidRPr="00C251EB">
              <w:rPr>
                <w:rFonts w:asciiTheme="majorHAnsi" w:hAnsiTheme="majorHAnsi"/>
                <w:b/>
                <w:sz w:val="20"/>
                <w:szCs w:val="20"/>
              </w:rPr>
              <w:t>s</w:t>
            </w:r>
            <w:r w:rsidRPr="00C251EB">
              <w:rPr>
                <w:rFonts w:asciiTheme="majorHAnsi" w:hAnsiTheme="majorHAnsi"/>
                <w:b/>
                <w:sz w:val="20"/>
                <w:szCs w:val="20"/>
              </w:rPr>
              <w:t xml:space="preserve"> of profitability</w:t>
            </w:r>
          </w:p>
        </w:tc>
      </w:tr>
      <w:tr w:rsidR="00FD1150" w14:paraId="7DCC01C4" w14:textId="77777777" w:rsidTr="003159C8">
        <w:tc>
          <w:tcPr>
            <w:tcW w:w="950" w:type="pct"/>
            <w:vAlign w:val="center"/>
          </w:tcPr>
          <w:p w14:paraId="14DE416D" w14:textId="77777777" w:rsidR="00346C0C" w:rsidRPr="00C251EB" w:rsidRDefault="00D44A38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Return on equity</w:t>
            </w:r>
          </w:p>
        </w:tc>
        <w:tc>
          <w:tcPr>
            <w:tcW w:w="1866" w:type="pct"/>
            <w:vAlign w:val="center"/>
          </w:tcPr>
          <w:p w14:paraId="2D80A600" w14:textId="77777777" w:rsidR="00346C0C" w:rsidRPr="00C251EB" w:rsidRDefault="00D44A38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Profit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Average Shareholde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'</m:t>
                        </m:r>
                      </m:sup>
                    </m:s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s equity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3B6D18B4" w14:textId="77777777" w:rsidR="00346C0C" w:rsidRDefault="00FD1150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Measures </w:t>
            </w:r>
            <w:r w:rsidR="00171DD5">
              <w:rPr>
                <w:rFonts w:asciiTheme="majorHAnsi" w:hAnsiTheme="majorHAnsi"/>
                <w:sz w:val="20"/>
                <w:szCs w:val="20"/>
              </w:rPr>
              <w:t>how much the firm earned as a percentage of the investments made by shareholders.</w:t>
            </w:r>
          </w:p>
          <w:p w14:paraId="63598EE6" w14:textId="77777777" w:rsidR="00171DD5" w:rsidRPr="00C251EB" w:rsidRDefault="00171DD5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High ratio = Effective management of its shareholders investments, rising share price.</w:t>
            </w:r>
          </w:p>
        </w:tc>
      </w:tr>
      <w:tr w:rsidR="00FD1150" w14:paraId="6EBAD0D2" w14:textId="77777777" w:rsidTr="003159C8">
        <w:tc>
          <w:tcPr>
            <w:tcW w:w="950" w:type="pct"/>
            <w:vAlign w:val="center"/>
          </w:tcPr>
          <w:p w14:paraId="166CB1D8" w14:textId="77777777" w:rsidR="00346C0C" w:rsidRPr="00C251EB" w:rsidRDefault="00D6587D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Return on assets</w:t>
            </w:r>
          </w:p>
        </w:tc>
        <w:tc>
          <w:tcPr>
            <w:tcW w:w="1866" w:type="pct"/>
            <w:vAlign w:val="center"/>
          </w:tcPr>
          <w:p w14:paraId="62EF65D6" w14:textId="77777777" w:rsidR="00346C0C" w:rsidRPr="00C251EB" w:rsidRDefault="00D6587D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Profit+Interest expense (net of tax)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Average total assets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1522AFB1" w14:textId="77777777" w:rsidR="00346C0C" w:rsidRPr="00C251EB" w:rsidRDefault="00AD2893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Measures how much the firm has earned from the use of its total assets.</w:t>
            </w:r>
          </w:p>
        </w:tc>
      </w:tr>
      <w:tr w:rsidR="006116E9" w14:paraId="0A81CA30" w14:textId="77777777" w:rsidTr="003159C8">
        <w:tc>
          <w:tcPr>
            <w:tcW w:w="950" w:type="pct"/>
            <w:vAlign w:val="center"/>
          </w:tcPr>
          <w:p w14:paraId="0FE9F8FC" w14:textId="77777777" w:rsidR="006116E9" w:rsidRPr="00C251EB" w:rsidRDefault="006116E9" w:rsidP="006116E9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Financial leverage ratio</w:t>
            </w:r>
          </w:p>
        </w:tc>
        <w:tc>
          <w:tcPr>
            <w:tcW w:w="1866" w:type="pct"/>
            <w:vAlign w:val="center"/>
          </w:tcPr>
          <w:p w14:paraId="1E019638" w14:textId="77777777" w:rsidR="006116E9" w:rsidRPr="00C251EB" w:rsidRDefault="006116E9" w:rsidP="006116E9">
            <w:pPr>
              <w:tabs>
                <w:tab w:val="left" w:pos="709"/>
              </w:tabs>
              <w:jc w:val="center"/>
              <w:rPr>
                <w:rFonts w:ascii="Calibri" w:eastAsia="ＭＳ 明朝" w:hAnsi="Calibri" w:cs="Times New Roman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Average total assets</m:t>
                    </m:r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Average shareholder</m:t>
                    </m:r>
                    <m:sSup>
                      <m:sSupPr>
                        <m:ctrlPr>
                          <w:rPr>
                            <w:rFonts w:ascii="Cambria Math" w:eastAsia="ＭＳ 明朝" w:hAnsi="Cambria Math" w:cs="Times New Roman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ＭＳ 明朝" w:hAnsi="Cambria Math" w:cs="Times New Roman"/>
                            <w:sz w:val="20"/>
                            <w:szCs w:val="20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eastAsia="ＭＳ 明朝" w:hAnsi="Cambria Math" w:cs="Times New Roman"/>
                            <w:sz w:val="20"/>
                            <w:szCs w:val="20"/>
                          </w:rPr>
                          <m:t>'</m:t>
                        </m:r>
                      </m:sup>
                    </m:sSup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equity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3DEC9E70" w14:textId="77777777" w:rsidR="006116E9" w:rsidRDefault="006116E9" w:rsidP="006116E9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Measures the relationship between the assets and the investments made by shareholders to finance them.</w:t>
            </w:r>
          </w:p>
          <w:p w14:paraId="3986FC17" w14:textId="77777777" w:rsidR="006116E9" w:rsidRPr="00C251EB" w:rsidRDefault="006116E9" w:rsidP="006116E9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Low ratio = A high proportion of assets is financed with shareholder’s equity</w:t>
            </w:r>
          </w:p>
        </w:tc>
      </w:tr>
      <w:tr w:rsidR="006116E9" w14:paraId="6A149B84" w14:textId="77777777" w:rsidTr="003159C8">
        <w:tc>
          <w:tcPr>
            <w:tcW w:w="950" w:type="pct"/>
            <w:vAlign w:val="center"/>
          </w:tcPr>
          <w:p w14:paraId="30364005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Earnings per share</w:t>
            </w:r>
          </w:p>
        </w:tc>
        <w:tc>
          <w:tcPr>
            <w:tcW w:w="1866" w:type="pct"/>
            <w:vAlign w:val="center"/>
          </w:tcPr>
          <w:p w14:paraId="2C42DC94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Profit available to 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 xml:space="preserve">common 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shareholders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Average number of common shares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1C14EEA9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Measures the return on investment based on the number of shares outstanding. Determines if the company if profitable or not.</w:t>
            </w:r>
          </w:p>
        </w:tc>
      </w:tr>
      <w:tr w:rsidR="006116E9" w14:paraId="47FD180F" w14:textId="77777777" w:rsidTr="003159C8">
        <w:tc>
          <w:tcPr>
            <w:tcW w:w="950" w:type="pct"/>
            <w:vAlign w:val="center"/>
          </w:tcPr>
          <w:p w14:paraId="339EF3CA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Quality of earnings</w:t>
            </w:r>
          </w:p>
        </w:tc>
        <w:tc>
          <w:tcPr>
            <w:tcW w:w="1866" w:type="pct"/>
            <w:vAlign w:val="center"/>
          </w:tcPr>
          <w:p w14:paraId="73FB683E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Cash flows from operating activities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Profit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0EDB06E4" w14:textId="77777777" w:rsidR="006116E9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Measures how much cash each dollar of profit generates.</w:t>
            </w:r>
          </w:p>
          <w:p w14:paraId="03A40FC1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High ratio = A greater ability to finance operating and other cash needs from operating cash inflows.</w:t>
            </w:r>
          </w:p>
        </w:tc>
      </w:tr>
      <w:tr w:rsidR="006116E9" w14:paraId="7B1B02D6" w14:textId="77777777" w:rsidTr="003159C8">
        <w:tc>
          <w:tcPr>
            <w:tcW w:w="950" w:type="pct"/>
            <w:vAlign w:val="center"/>
          </w:tcPr>
          <w:p w14:paraId="5390D316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Profit margin</w:t>
            </w:r>
          </w:p>
        </w:tc>
        <w:tc>
          <w:tcPr>
            <w:tcW w:w="1866" w:type="pct"/>
            <w:vAlign w:val="center"/>
          </w:tcPr>
          <w:p w14:paraId="75FED273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Profit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Net sales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4BDC6F5A" w14:textId="77777777" w:rsidR="006116E9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Measures how much profit is earned as a percentage of revenues generated during the period.</w:t>
            </w:r>
          </w:p>
          <w:p w14:paraId="62A8A6FC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High ratio = Effective management of sales and expenses</w:t>
            </w:r>
          </w:p>
        </w:tc>
      </w:tr>
      <w:tr w:rsidR="006116E9" w14:paraId="64D10BE8" w14:textId="77777777" w:rsidTr="003159C8">
        <w:tc>
          <w:tcPr>
            <w:tcW w:w="950" w:type="pct"/>
            <w:vAlign w:val="center"/>
          </w:tcPr>
          <w:p w14:paraId="5648BE28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Fixed asset turnover</w:t>
            </w:r>
          </w:p>
        </w:tc>
        <w:tc>
          <w:tcPr>
            <w:tcW w:w="1866" w:type="pct"/>
            <w:vAlign w:val="center"/>
          </w:tcPr>
          <w:p w14:paraId="3FB3EC75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Net sales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Average net fixed assets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74831BDE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Measures the sales generated by the use of fixed assets (property, plant and equipment, net of accumulated depreciation)</w:t>
            </w:r>
          </w:p>
        </w:tc>
      </w:tr>
      <w:tr w:rsidR="006116E9" w14:paraId="42261C80" w14:textId="77777777" w:rsidTr="003159C8">
        <w:trPr>
          <w:trHeight w:val="421"/>
        </w:trPr>
        <w:tc>
          <w:tcPr>
            <w:tcW w:w="5000" w:type="pct"/>
            <w:gridSpan w:val="3"/>
            <w:vAlign w:val="center"/>
          </w:tcPr>
          <w:p w14:paraId="42C2B1A7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C251EB">
              <w:rPr>
                <w:rFonts w:asciiTheme="majorHAnsi" w:hAnsiTheme="majorHAnsi"/>
                <w:b/>
                <w:sz w:val="20"/>
                <w:szCs w:val="20"/>
              </w:rPr>
              <w:t>Tests of liquidity</w:t>
            </w:r>
          </w:p>
        </w:tc>
      </w:tr>
      <w:tr w:rsidR="006116E9" w14:paraId="3E6FCB12" w14:textId="77777777" w:rsidTr="003159C8">
        <w:tc>
          <w:tcPr>
            <w:tcW w:w="950" w:type="pct"/>
            <w:vAlign w:val="center"/>
          </w:tcPr>
          <w:p w14:paraId="4B202341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Cash ratio</w:t>
            </w:r>
          </w:p>
        </w:tc>
        <w:tc>
          <w:tcPr>
            <w:tcW w:w="1866" w:type="pct"/>
            <w:vAlign w:val="center"/>
          </w:tcPr>
          <w:p w14:paraId="2AF55CC4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Cash+Cash equivalents</m:t>
                    </m:r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Current liabilities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21F4911D" w14:textId="77777777" w:rsidR="006116E9" w:rsidRPr="00C251EB" w:rsidRDefault="00D6362A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Measures the adequacy of available cash by comparing the cash reserve to the current liabilities. The ratio should not be too high because holding too much cash</w:t>
            </w:r>
            <w:r w:rsidR="00040EE8">
              <w:rPr>
                <w:rFonts w:asciiTheme="majorHAnsi" w:hAnsiTheme="majorHAnsi"/>
                <w:sz w:val="20"/>
                <w:szCs w:val="20"/>
              </w:rPr>
              <w:t xml:space="preserve"> is uneconomical (it should be invested instead)</w:t>
            </w:r>
          </w:p>
        </w:tc>
      </w:tr>
      <w:tr w:rsidR="006116E9" w14:paraId="61F76D3C" w14:textId="77777777" w:rsidTr="003159C8">
        <w:tc>
          <w:tcPr>
            <w:tcW w:w="950" w:type="pct"/>
            <w:vAlign w:val="center"/>
          </w:tcPr>
          <w:p w14:paraId="61CE3A98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Current ratio</w:t>
            </w:r>
          </w:p>
        </w:tc>
        <w:tc>
          <w:tcPr>
            <w:tcW w:w="1866" w:type="pct"/>
            <w:vAlign w:val="center"/>
          </w:tcPr>
          <w:p w14:paraId="3FAAB6E1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Current assets</m:t>
                    </m:r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Current liabilities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1336B187" w14:textId="77777777" w:rsidR="006116E9" w:rsidRDefault="009A00B2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Shows a firm’s ability to repay current liabilities with current assets.</w:t>
            </w:r>
          </w:p>
          <w:p w14:paraId="34454F13" w14:textId="77777777" w:rsidR="009A00B2" w:rsidRPr="00C251EB" w:rsidRDefault="009A00B2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High ratio = High ability to repay current liabilities.</w:t>
            </w:r>
          </w:p>
        </w:tc>
      </w:tr>
      <w:tr w:rsidR="006116E9" w14:paraId="22D4D196" w14:textId="77777777" w:rsidTr="003159C8">
        <w:tc>
          <w:tcPr>
            <w:tcW w:w="950" w:type="pct"/>
            <w:vAlign w:val="center"/>
          </w:tcPr>
          <w:p w14:paraId="6C266EC3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Quick ratio</w:t>
            </w:r>
          </w:p>
        </w:tc>
        <w:tc>
          <w:tcPr>
            <w:tcW w:w="1866" w:type="pct"/>
            <w:vAlign w:val="center"/>
          </w:tcPr>
          <w:p w14:paraId="1974121F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Quick assets</m:t>
                    </m:r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Current liabilities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14E7FCAA" w14:textId="77777777" w:rsidR="006116E9" w:rsidRPr="00C251EB" w:rsidRDefault="008A36C1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Compares quick assets (cash and near-cash assets</w:t>
            </w:r>
            <w:r w:rsidR="008978DB">
              <w:rPr>
                <w:rFonts w:asciiTheme="majorHAnsi" w:hAnsiTheme="majorHAnsi"/>
                <w:sz w:val="20"/>
                <w:szCs w:val="20"/>
              </w:rPr>
              <w:t>: cash, short-term investments, trade receivables</w:t>
            </w:r>
            <w:r>
              <w:rPr>
                <w:rFonts w:asciiTheme="majorHAnsi" w:hAnsiTheme="majorHAnsi"/>
                <w:sz w:val="20"/>
                <w:szCs w:val="20"/>
              </w:rPr>
              <w:t>) to current liabilities to</w:t>
            </w:r>
            <w:r w:rsidR="008978DB">
              <w:rPr>
                <w:rFonts w:asciiTheme="majorHAnsi" w:hAnsiTheme="majorHAnsi"/>
                <w:sz w:val="20"/>
                <w:szCs w:val="20"/>
              </w:rPr>
              <w:t xml:space="preserve"> give a more stringent test of short-term liquidity.</w:t>
            </w:r>
          </w:p>
        </w:tc>
      </w:tr>
      <w:tr w:rsidR="006116E9" w14:paraId="7638179A" w14:textId="77777777" w:rsidTr="003159C8">
        <w:tc>
          <w:tcPr>
            <w:tcW w:w="950" w:type="pct"/>
            <w:vAlign w:val="center"/>
          </w:tcPr>
          <w:p w14:paraId="59793A70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Receivables turnover</w:t>
            </w:r>
          </w:p>
        </w:tc>
        <w:tc>
          <w:tcPr>
            <w:tcW w:w="1866" w:type="pct"/>
            <w:vAlign w:val="center"/>
          </w:tcPr>
          <w:p w14:paraId="50819B76" w14:textId="77777777" w:rsidR="006116E9" w:rsidRPr="003121F8" w:rsidRDefault="006116E9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Net credit sales</m:t>
                    </m:r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Average net trade receivables</m:t>
                    </m:r>
                  </m:den>
                </m:f>
              </m:oMath>
            </m:oMathPara>
          </w:p>
          <w:p w14:paraId="1AC3B774" w14:textId="3E108EB6" w:rsidR="003121F8" w:rsidRPr="00C251EB" w:rsidRDefault="003121F8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w:r w:rsidRPr="003F52EE">
              <w:rPr>
                <w:rFonts w:asciiTheme="majorHAnsi" w:eastAsia="ＭＳ 明朝" w:hAnsiTheme="majorHAnsi" w:cs="Times New Roman"/>
                <w:sz w:val="20"/>
                <w:szCs w:val="20"/>
              </w:rPr>
              <w:t>Average collection period:</w:t>
            </w:r>
            <w:r>
              <w:rPr>
                <w:rFonts w:asciiTheme="majorHAnsi" w:eastAsia="ＭＳ 明朝" w:hAnsiTheme="majorHAnsi" w:cs="Times New Roman"/>
                <w:i/>
                <w:sz w:val="20"/>
                <w:szCs w:val="20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ＭＳ 明朝" w:hAnsi="Cambria Math" w:cs="Times New Roman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="ＭＳ 明朝" w:hAnsi="Cambria Math" w:cs="Times New Roman"/>
                      <w:sz w:val="20"/>
                      <w:szCs w:val="20"/>
                    </w:rPr>
                    <m:t>365</m:t>
                  </m:r>
                </m:num>
                <m:den>
                  <m:r>
                    <w:rPr>
                      <w:rFonts w:ascii="Cambria Math" w:eastAsia="ＭＳ 明朝" w:hAnsi="Cambria Math" w:cs="Times New Roman"/>
                      <w:sz w:val="20"/>
                      <w:szCs w:val="20"/>
                    </w:rPr>
                    <m:t>Receivables turnover</m:t>
                  </m:r>
                </m:den>
              </m:f>
            </m:oMath>
          </w:p>
        </w:tc>
        <w:tc>
          <w:tcPr>
            <w:tcW w:w="2184" w:type="pct"/>
            <w:vAlign w:val="center"/>
          </w:tcPr>
          <w:p w14:paraId="75E34399" w14:textId="77777777" w:rsidR="006116E9" w:rsidRDefault="00207A95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Reflects how many times average trade receivables were recorded and collected during the period.</w:t>
            </w:r>
          </w:p>
          <w:p w14:paraId="61618BAB" w14:textId="229A15C4" w:rsidR="00207A95" w:rsidRPr="00C251EB" w:rsidRDefault="00207A95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High ratio = Fast collection of receivables</w:t>
            </w:r>
          </w:p>
        </w:tc>
      </w:tr>
      <w:tr w:rsidR="006116E9" w14:paraId="58300958" w14:textId="77777777" w:rsidTr="003159C8">
        <w:tc>
          <w:tcPr>
            <w:tcW w:w="950" w:type="pct"/>
            <w:vAlign w:val="center"/>
          </w:tcPr>
          <w:p w14:paraId="60EE7225" w14:textId="5F7775F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Payables turnover</w:t>
            </w:r>
          </w:p>
        </w:tc>
        <w:tc>
          <w:tcPr>
            <w:tcW w:w="1866" w:type="pct"/>
            <w:vAlign w:val="center"/>
          </w:tcPr>
          <w:p w14:paraId="41615DDD" w14:textId="77777777" w:rsidR="006116E9" w:rsidRPr="003F52EE" w:rsidRDefault="006116E9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Net credit purchases</m:t>
                    </m:r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Average net trade payables</m:t>
                    </m:r>
                  </m:den>
                </m:f>
              </m:oMath>
            </m:oMathPara>
          </w:p>
          <w:p w14:paraId="369DD161" w14:textId="32C4E93B" w:rsidR="003F52EE" w:rsidRPr="00C251EB" w:rsidRDefault="003F52EE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w:r>
              <w:rPr>
                <w:rFonts w:asciiTheme="majorHAnsi" w:eastAsia="ＭＳ 明朝" w:hAnsiTheme="majorHAnsi" w:cs="Times New Roman"/>
                <w:sz w:val="20"/>
                <w:szCs w:val="20"/>
              </w:rPr>
              <w:t xml:space="preserve">Average age of payables: </w:t>
            </w:r>
            <m:oMath>
              <m:f>
                <m:fPr>
                  <m:ctrlPr>
                    <w:rPr>
                      <w:rFonts w:ascii="Cambria Math" w:eastAsia="ＭＳ 明朝" w:hAnsi="Cambria Math" w:cs="Times New Roman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="ＭＳ 明朝" w:hAnsi="Cambria Math" w:cs="Times New Roman"/>
                      <w:sz w:val="20"/>
                      <w:szCs w:val="20"/>
                    </w:rPr>
                    <m:t>365</m:t>
                  </m:r>
                </m:num>
                <m:den>
                  <m:r>
                    <w:rPr>
                      <w:rFonts w:ascii="Cambria Math" w:eastAsia="ＭＳ 明朝" w:hAnsi="Cambria Math" w:cs="Times New Roman"/>
                      <w:sz w:val="20"/>
                      <w:szCs w:val="20"/>
                    </w:rPr>
                    <m:t>Payables turnover</m:t>
                  </m:r>
                </m:den>
              </m:f>
            </m:oMath>
          </w:p>
        </w:tc>
        <w:tc>
          <w:tcPr>
            <w:tcW w:w="2184" w:type="pct"/>
            <w:vAlign w:val="center"/>
          </w:tcPr>
          <w:p w14:paraId="6D67F420" w14:textId="77777777" w:rsidR="006116E9" w:rsidRDefault="004153A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Measures how quickly management is paying its trade creditors.</w:t>
            </w:r>
          </w:p>
          <w:p w14:paraId="5F764B35" w14:textId="480D6C4E" w:rsidR="00741414" w:rsidRPr="00C251EB" w:rsidRDefault="00741414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High ratio = The company is paying its suppliers in a timely manner.</w:t>
            </w:r>
          </w:p>
        </w:tc>
      </w:tr>
      <w:tr w:rsidR="006116E9" w14:paraId="4053CA9A" w14:textId="77777777" w:rsidTr="003159C8">
        <w:tc>
          <w:tcPr>
            <w:tcW w:w="950" w:type="pct"/>
            <w:vAlign w:val="center"/>
          </w:tcPr>
          <w:p w14:paraId="45E34DAF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Inventory turnover</w:t>
            </w:r>
          </w:p>
        </w:tc>
        <w:tc>
          <w:tcPr>
            <w:tcW w:w="1866" w:type="pct"/>
            <w:vAlign w:val="center"/>
          </w:tcPr>
          <w:p w14:paraId="7CC8241B" w14:textId="77777777" w:rsidR="006116E9" w:rsidRPr="00333B5F" w:rsidRDefault="006116E9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Cost of sales</m:t>
                    </m:r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Average net inventory</m:t>
                    </m:r>
                  </m:den>
                </m:f>
              </m:oMath>
            </m:oMathPara>
          </w:p>
          <w:p w14:paraId="3C280ED0" w14:textId="6A672BAD" w:rsidR="00333B5F" w:rsidRPr="00C251EB" w:rsidRDefault="00333B5F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w:r>
              <w:rPr>
                <w:rFonts w:asciiTheme="majorHAnsi" w:eastAsia="ＭＳ 明朝" w:hAnsiTheme="majorHAnsi" w:cs="Times New Roman"/>
                <w:sz w:val="20"/>
                <w:szCs w:val="20"/>
              </w:rPr>
              <w:t xml:space="preserve">Average days in inventory: </w:t>
            </w:r>
            <m:oMath>
              <m:f>
                <m:fPr>
                  <m:ctrlPr>
                    <w:rPr>
                      <w:rFonts w:ascii="Cambria Math" w:eastAsia="ＭＳ 明朝" w:hAnsi="Cambria Math" w:cs="Times New Roman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="ＭＳ 明朝" w:hAnsi="Cambria Math" w:cs="Times New Roman"/>
                      <w:sz w:val="20"/>
                      <w:szCs w:val="20"/>
                    </w:rPr>
                    <m:t>365</m:t>
                  </m:r>
                </m:num>
                <m:den>
                  <m:r>
                    <w:rPr>
                      <w:rFonts w:ascii="Cambria Math" w:eastAsia="ＭＳ 明朝" w:hAnsi="Cambria Math" w:cs="Times New Roman"/>
                      <w:sz w:val="20"/>
                      <w:szCs w:val="20"/>
                    </w:rPr>
                    <m:t>Inventory turnover</m:t>
                  </m:r>
                </m:den>
              </m:f>
            </m:oMath>
          </w:p>
        </w:tc>
        <w:tc>
          <w:tcPr>
            <w:tcW w:w="2184" w:type="pct"/>
            <w:vAlign w:val="center"/>
          </w:tcPr>
          <w:p w14:paraId="1053ECB1" w14:textId="77777777" w:rsidR="006116E9" w:rsidRDefault="0000282F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Reflects how many times the average inventory was produced and sold during the period.</w:t>
            </w:r>
          </w:p>
          <w:p w14:paraId="67CD0C0A" w14:textId="7EAC068F" w:rsidR="00427B3C" w:rsidRPr="00C251EB" w:rsidRDefault="00427B3C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High ratio = Inventory moves quickly through the production process to the customer</w:t>
            </w:r>
          </w:p>
        </w:tc>
      </w:tr>
    </w:tbl>
    <w:p w14:paraId="49F7F7EF" w14:textId="77777777" w:rsidR="00333B5F" w:rsidRDefault="00333B5F">
      <w:r>
        <w:br w:type="page"/>
      </w:r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93"/>
        <w:gridCol w:w="4111"/>
        <w:gridCol w:w="4812"/>
      </w:tblGrid>
      <w:tr w:rsidR="006116E9" w14:paraId="6060030B" w14:textId="77777777" w:rsidTr="003159C8">
        <w:trPr>
          <w:trHeight w:val="506"/>
        </w:trPr>
        <w:tc>
          <w:tcPr>
            <w:tcW w:w="5000" w:type="pct"/>
            <w:gridSpan w:val="3"/>
            <w:vAlign w:val="center"/>
          </w:tcPr>
          <w:p w14:paraId="69905028" w14:textId="65640A9C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C251EB"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Tests of solvency</w:t>
            </w:r>
          </w:p>
        </w:tc>
      </w:tr>
      <w:tr w:rsidR="006116E9" w14:paraId="402ABC9F" w14:textId="77777777" w:rsidTr="00333B5F">
        <w:trPr>
          <w:cantSplit/>
        </w:trPr>
        <w:tc>
          <w:tcPr>
            <w:tcW w:w="950" w:type="pct"/>
            <w:vAlign w:val="center"/>
          </w:tcPr>
          <w:p w14:paraId="5E61A824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Times interest earned</w:t>
            </w:r>
          </w:p>
        </w:tc>
        <w:tc>
          <w:tcPr>
            <w:tcW w:w="1866" w:type="pct"/>
            <w:vAlign w:val="center"/>
          </w:tcPr>
          <w:p w14:paraId="637C638A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Profit (before i</m:t>
                    </m:r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nterest and taxes)</m:t>
                    </m:r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Interest expense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360385A4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Shows the amount of profit before interest and tax that is generated relative to interest expense. Its measures the ability for a firm to meet its required interest payments.</w:t>
            </w:r>
          </w:p>
        </w:tc>
      </w:tr>
      <w:tr w:rsidR="006116E9" w14:paraId="21A2A033" w14:textId="77777777" w:rsidTr="003159C8">
        <w:tc>
          <w:tcPr>
            <w:tcW w:w="950" w:type="pct"/>
            <w:vAlign w:val="center"/>
          </w:tcPr>
          <w:p w14:paraId="4292E3A6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Cash coverage</w:t>
            </w:r>
          </w:p>
        </w:tc>
        <w:tc>
          <w:tcPr>
            <w:tcW w:w="1866" w:type="pct"/>
            <w:vAlign w:val="center"/>
          </w:tcPr>
          <w:p w14:paraId="18342083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Cash flows from operating activities</m:t>
                    </m:r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Interest paid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22AC3DAB" w14:textId="77777777" w:rsidR="006116E9" w:rsidRDefault="00847F61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Compares the cash generated with the cash obligations of the period.</w:t>
            </w:r>
          </w:p>
          <w:p w14:paraId="22D006D3" w14:textId="44C69E9D" w:rsidR="00435F66" w:rsidRPr="00C251EB" w:rsidRDefault="00435F66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High ratio = The company generates more cash than it pays interest</w:t>
            </w:r>
          </w:p>
        </w:tc>
      </w:tr>
      <w:tr w:rsidR="006116E9" w14:paraId="39172271" w14:textId="77777777" w:rsidTr="003159C8">
        <w:tc>
          <w:tcPr>
            <w:tcW w:w="950" w:type="pct"/>
            <w:vAlign w:val="center"/>
          </w:tcPr>
          <w:p w14:paraId="76E88C4E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Debt-to-equity</w:t>
            </w:r>
          </w:p>
        </w:tc>
        <w:tc>
          <w:tcPr>
            <w:tcW w:w="1866" w:type="pct"/>
            <w:vAlign w:val="center"/>
          </w:tcPr>
          <w:p w14:paraId="525B8CFD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Tot</m:t>
                    </m:r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al liabilities</m:t>
                    </m:r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Shareholde</m:t>
                    </m:r>
                    <m:sSup>
                      <m:sSupPr>
                        <m:ctrlPr>
                          <w:rPr>
                            <w:rFonts w:ascii="Cambria Math" w:eastAsia="ＭＳ 明朝" w:hAnsi="Cambria Math" w:cs="Times New Roman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ＭＳ 明朝" w:hAnsi="Cambria Math" w:cs="Times New Roman"/>
                            <w:sz w:val="20"/>
                            <w:szCs w:val="20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="ＭＳ 明朝" w:hAnsi="Cambria Math" w:cs="Times New Roman"/>
                            <w:sz w:val="20"/>
                            <w:szCs w:val="20"/>
                          </w:rPr>
                          <m:t>'</m:t>
                        </m:r>
                      </m:sup>
                    </m:sSup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s equity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3C1FF149" w14:textId="77777777" w:rsidR="006116E9" w:rsidRDefault="00435F66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Expresses the company’s debt as a percentage of its shareholders’ equity.</w:t>
            </w:r>
          </w:p>
          <w:p w14:paraId="1D3C9B1B" w14:textId="307843CE" w:rsidR="00A452CD" w:rsidRPr="00C251EB" w:rsidRDefault="00A452CD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High ratio = The company relies heavily on funds provided by creditors</w:t>
            </w:r>
          </w:p>
        </w:tc>
      </w:tr>
      <w:tr w:rsidR="006116E9" w14:paraId="23EEEDC8" w14:textId="77777777" w:rsidTr="003159C8">
        <w:trPr>
          <w:trHeight w:val="422"/>
        </w:trPr>
        <w:tc>
          <w:tcPr>
            <w:tcW w:w="5000" w:type="pct"/>
            <w:gridSpan w:val="3"/>
            <w:vAlign w:val="center"/>
          </w:tcPr>
          <w:p w14:paraId="47911567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C251EB">
              <w:rPr>
                <w:rFonts w:asciiTheme="majorHAnsi" w:hAnsiTheme="majorHAnsi"/>
                <w:b/>
                <w:sz w:val="20"/>
                <w:szCs w:val="20"/>
              </w:rPr>
              <w:t>Market tests</w:t>
            </w:r>
          </w:p>
        </w:tc>
      </w:tr>
      <w:tr w:rsidR="006116E9" w14:paraId="6769A6EC" w14:textId="77777777" w:rsidTr="003159C8">
        <w:tc>
          <w:tcPr>
            <w:tcW w:w="950" w:type="pct"/>
            <w:vAlign w:val="center"/>
          </w:tcPr>
          <w:p w14:paraId="2024D193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Price/earnings</w:t>
            </w:r>
          </w:p>
        </w:tc>
        <w:tc>
          <w:tcPr>
            <w:tcW w:w="1866" w:type="pct"/>
            <w:vAlign w:val="center"/>
          </w:tcPr>
          <w:p w14:paraId="3F88A58E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Current market price per share</m:t>
                    </m:r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Earnings per share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153E1181" w14:textId="09322E99" w:rsidR="00CD48A9" w:rsidRDefault="00CD48A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Measures the relationship between the current market price per share and its earnings per share.</w:t>
            </w:r>
          </w:p>
          <w:p w14:paraId="7844186B" w14:textId="40CD0B7A" w:rsidR="006116E9" w:rsidRPr="00C251EB" w:rsidRDefault="00CD48A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High ratio = The market expects earnings to grow rapidly.</w:t>
            </w:r>
          </w:p>
        </w:tc>
      </w:tr>
      <w:tr w:rsidR="006116E9" w14:paraId="0B8C98D7" w14:textId="77777777" w:rsidTr="003159C8">
        <w:tc>
          <w:tcPr>
            <w:tcW w:w="950" w:type="pct"/>
            <w:vAlign w:val="center"/>
          </w:tcPr>
          <w:p w14:paraId="5B3594DC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C251EB">
              <w:rPr>
                <w:rFonts w:asciiTheme="majorHAnsi" w:hAnsiTheme="majorHAnsi"/>
                <w:sz w:val="20"/>
                <w:szCs w:val="20"/>
              </w:rPr>
              <w:t>Dividend yield</w:t>
            </w:r>
          </w:p>
        </w:tc>
        <w:tc>
          <w:tcPr>
            <w:tcW w:w="1866" w:type="pct"/>
            <w:vAlign w:val="center"/>
          </w:tcPr>
          <w:p w14:paraId="319C8FB1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eastAsia="ＭＳ 明朝" w:hAnsiTheme="majorHAnsi" w:cs="Times New Roman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ＭＳ 明朝" w:hAnsi="Cambria Math" w:cs="Times New Roman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Di</m:t>
                    </m:r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vidends per share</m:t>
                    </m:r>
                  </m:num>
                  <m:den>
                    <m:r>
                      <w:rPr>
                        <w:rFonts w:ascii="Cambria Math" w:eastAsia="ＭＳ 明朝" w:hAnsi="Cambria Math" w:cs="Times New Roman"/>
                        <w:sz w:val="20"/>
                        <w:szCs w:val="20"/>
                      </w:rPr>
                      <m:t>Market price per share</m:t>
                    </m:r>
                  </m:den>
                </m:f>
              </m:oMath>
            </m:oMathPara>
          </w:p>
        </w:tc>
        <w:tc>
          <w:tcPr>
            <w:tcW w:w="2184" w:type="pct"/>
            <w:vAlign w:val="center"/>
          </w:tcPr>
          <w:p w14:paraId="5E4155FC" w14:textId="77777777" w:rsidR="006116E9" w:rsidRPr="00C251EB" w:rsidRDefault="006116E9" w:rsidP="00FD1150">
            <w:pPr>
              <w:tabs>
                <w:tab w:val="left" w:pos="709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Measures how much investors earn based on the dividends they receive.</w:t>
            </w:r>
          </w:p>
        </w:tc>
      </w:tr>
    </w:tbl>
    <w:p w14:paraId="1A89ECA2" w14:textId="77777777" w:rsidR="007C35DD" w:rsidRDefault="007C35DD"/>
    <w:sectPr w:rsidR="007C35DD" w:rsidSect="002459F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 Light">
    <w:panose1 w:val="02000403000000020004"/>
    <w:charset w:val="00"/>
    <w:family w:val="auto"/>
    <w:pitch w:val="variable"/>
    <w:sig w:usb0="80000067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Helvetica Neue">
    <w:panose1 w:val="02000503000000020004"/>
    <w:charset w:val="00"/>
    <w:family w:val="auto"/>
    <w:pitch w:val="variable"/>
    <w:sig w:usb0="80000067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1EA996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C0C"/>
    <w:rsid w:val="0000282F"/>
    <w:rsid w:val="00040EE8"/>
    <w:rsid w:val="001113D6"/>
    <w:rsid w:val="00171DD5"/>
    <w:rsid w:val="001C66EE"/>
    <w:rsid w:val="001E7BE4"/>
    <w:rsid w:val="00207A95"/>
    <w:rsid w:val="002459FE"/>
    <w:rsid w:val="00255D8D"/>
    <w:rsid w:val="003121F8"/>
    <w:rsid w:val="003159C8"/>
    <w:rsid w:val="00333B5F"/>
    <w:rsid w:val="00346C0C"/>
    <w:rsid w:val="003A0970"/>
    <w:rsid w:val="003D61BF"/>
    <w:rsid w:val="003F52EE"/>
    <w:rsid w:val="004153A9"/>
    <w:rsid w:val="00427B3C"/>
    <w:rsid w:val="00435F66"/>
    <w:rsid w:val="004B5DFC"/>
    <w:rsid w:val="005F7195"/>
    <w:rsid w:val="006116E9"/>
    <w:rsid w:val="0063075E"/>
    <w:rsid w:val="00634ACF"/>
    <w:rsid w:val="0064190C"/>
    <w:rsid w:val="006C25D8"/>
    <w:rsid w:val="00707904"/>
    <w:rsid w:val="00713C49"/>
    <w:rsid w:val="00741414"/>
    <w:rsid w:val="007C35DD"/>
    <w:rsid w:val="008046EB"/>
    <w:rsid w:val="00847F61"/>
    <w:rsid w:val="0087342C"/>
    <w:rsid w:val="0088663A"/>
    <w:rsid w:val="008978DB"/>
    <w:rsid w:val="008A36C1"/>
    <w:rsid w:val="008B357B"/>
    <w:rsid w:val="008B614B"/>
    <w:rsid w:val="008D0D72"/>
    <w:rsid w:val="00912BB4"/>
    <w:rsid w:val="00957FD9"/>
    <w:rsid w:val="009A00B2"/>
    <w:rsid w:val="009F10F7"/>
    <w:rsid w:val="00A11DC0"/>
    <w:rsid w:val="00A452CD"/>
    <w:rsid w:val="00A53EE0"/>
    <w:rsid w:val="00A97090"/>
    <w:rsid w:val="00AD2893"/>
    <w:rsid w:val="00B65110"/>
    <w:rsid w:val="00BC76D4"/>
    <w:rsid w:val="00C251EB"/>
    <w:rsid w:val="00C43492"/>
    <w:rsid w:val="00CD48A9"/>
    <w:rsid w:val="00D21762"/>
    <w:rsid w:val="00D44A38"/>
    <w:rsid w:val="00D6362A"/>
    <w:rsid w:val="00D6587D"/>
    <w:rsid w:val="00E73C64"/>
    <w:rsid w:val="00F750E0"/>
    <w:rsid w:val="00FA6EDD"/>
    <w:rsid w:val="00FB63FF"/>
    <w:rsid w:val="00FD1150"/>
    <w:rsid w:val="00FE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976A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vetica Neue Light" w:eastAsiaTheme="minorEastAsia" w:hAnsi="Helvetica Neue Light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4B5DFC"/>
    <w:pPr>
      <w:keepNext/>
      <w:numPr>
        <w:numId w:val="1"/>
      </w:numPr>
      <w:contextualSpacing/>
      <w:outlineLvl w:val="0"/>
    </w:pPr>
    <w:rPr>
      <w:rFonts w:ascii="Helvetica Neue" w:eastAsia="ＭＳ ゴシック" w:hAnsi="Helvetica Neue"/>
    </w:rPr>
  </w:style>
  <w:style w:type="paragraph" w:styleId="NoteLevel2">
    <w:name w:val="Note Level 2"/>
    <w:basedOn w:val="Normal"/>
    <w:uiPriority w:val="99"/>
    <w:semiHidden/>
    <w:unhideWhenUsed/>
    <w:rsid w:val="004B5DFC"/>
    <w:pPr>
      <w:keepNext/>
      <w:numPr>
        <w:ilvl w:val="1"/>
        <w:numId w:val="1"/>
      </w:numPr>
      <w:contextualSpacing/>
      <w:outlineLvl w:val="1"/>
    </w:pPr>
    <w:rPr>
      <w:rFonts w:ascii="Helvetica Neue" w:eastAsia="ＭＳ ゴシック" w:hAnsi="Helvetica Neue"/>
    </w:rPr>
  </w:style>
  <w:style w:type="paragraph" w:styleId="NoteLevel3">
    <w:name w:val="Note Level 3"/>
    <w:basedOn w:val="Normal"/>
    <w:uiPriority w:val="99"/>
    <w:semiHidden/>
    <w:unhideWhenUsed/>
    <w:rsid w:val="004B5DFC"/>
    <w:pPr>
      <w:keepNext/>
      <w:numPr>
        <w:ilvl w:val="2"/>
        <w:numId w:val="1"/>
      </w:numPr>
      <w:contextualSpacing/>
      <w:outlineLvl w:val="2"/>
    </w:pPr>
    <w:rPr>
      <w:rFonts w:ascii="Helvetica Neue" w:eastAsia="ＭＳ ゴシック" w:hAnsi="Helvetica Neue"/>
    </w:rPr>
  </w:style>
  <w:style w:type="paragraph" w:styleId="NoteLevel4">
    <w:name w:val="Note Level 4"/>
    <w:basedOn w:val="Normal"/>
    <w:uiPriority w:val="99"/>
    <w:semiHidden/>
    <w:unhideWhenUsed/>
    <w:rsid w:val="004B5DFC"/>
    <w:pPr>
      <w:keepNext/>
      <w:numPr>
        <w:ilvl w:val="3"/>
        <w:numId w:val="1"/>
      </w:numPr>
      <w:contextualSpacing/>
      <w:outlineLvl w:val="3"/>
    </w:pPr>
    <w:rPr>
      <w:rFonts w:ascii="Helvetica Neue" w:eastAsia="ＭＳ ゴシック" w:hAnsi="Helvetica Neue"/>
    </w:rPr>
  </w:style>
  <w:style w:type="paragraph" w:styleId="NoteLevel5">
    <w:name w:val="Note Level 5"/>
    <w:basedOn w:val="Normal"/>
    <w:uiPriority w:val="99"/>
    <w:semiHidden/>
    <w:unhideWhenUsed/>
    <w:rsid w:val="004B5DFC"/>
    <w:pPr>
      <w:keepNext/>
      <w:numPr>
        <w:ilvl w:val="4"/>
        <w:numId w:val="1"/>
      </w:numPr>
      <w:contextualSpacing/>
      <w:outlineLvl w:val="4"/>
    </w:pPr>
    <w:rPr>
      <w:rFonts w:ascii="Helvetica Neue" w:eastAsia="ＭＳ ゴシック" w:hAnsi="Helvetica Neue"/>
    </w:rPr>
  </w:style>
  <w:style w:type="paragraph" w:styleId="NoteLevel6">
    <w:name w:val="Note Level 6"/>
    <w:basedOn w:val="Normal"/>
    <w:uiPriority w:val="99"/>
    <w:semiHidden/>
    <w:unhideWhenUsed/>
    <w:rsid w:val="004B5DFC"/>
    <w:pPr>
      <w:keepNext/>
      <w:numPr>
        <w:ilvl w:val="5"/>
        <w:numId w:val="1"/>
      </w:numPr>
      <w:contextualSpacing/>
      <w:outlineLvl w:val="5"/>
    </w:pPr>
    <w:rPr>
      <w:rFonts w:ascii="Helvetica Neue" w:eastAsia="ＭＳ ゴシック" w:hAnsi="Helvetica Neue"/>
    </w:rPr>
  </w:style>
  <w:style w:type="paragraph" w:styleId="NoteLevel7">
    <w:name w:val="Note Level 7"/>
    <w:basedOn w:val="Normal"/>
    <w:uiPriority w:val="99"/>
    <w:semiHidden/>
    <w:unhideWhenUsed/>
    <w:rsid w:val="004B5DFC"/>
    <w:pPr>
      <w:keepNext/>
      <w:numPr>
        <w:ilvl w:val="6"/>
        <w:numId w:val="1"/>
      </w:numPr>
      <w:contextualSpacing/>
      <w:outlineLvl w:val="6"/>
    </w:pPr>
    <w:rPr>
      <w:rFonts w:ascii="Helvetica Neue" w:eastAsia="ＭＳ ゴシック" w:hAnsi="Helvetica Neue"/>
    </w:rPr>
  </w:style>
  <w:style w:type="paragraph" w:styleId="NoteLevel8">
    <w:name w:val="Note Level 8"/>
    <w:basedOn w:val="Normal"/>
    <w:uiPriority w:val="99"/>
    <w:semiHidden/>
    <w:unhideWhenUsed/>
    <w:rsid w:val="004B5DFC"/>
    <w:pPr>
      <w:keepNext/>
      <w:numPr>
        <w:ilvl w:val="7"/>
        <w:numId w:val="1"/>
      </w:numPr>
      <w:contextualSpacing/>
      <w:outlineLvl w:val="7"/>
    </w:pPr>
    <w:rPr>
      <w:rFonts w:ascii="Helvetica Neue" w:eastAsia="ＭＳ ゴシック" w:hAnsi="Helvetica Neue"/>
    </w:rPr>
  </w:style>
  <w:style w:type="paragraph" w:styleId="NoteLevel9">
    <w:name w:val="Note Level 9"/>
    <w:basedOn w:val="Normal"/>
    <w:uiPriority w:val="99"/>
    <w:semiHidden/>
    <w:unhideWhenUsed/>
    <w:rsid w:val="004B5DFC"/>
    <w:pPr>
      <w:keepNext/>
      <w:numPr>
        <w:ilvl w:val="8"/>
        <w:numId w:val="1"/>
      </w:numPr>
      <w:contextualSpacing/>
      <w:outlineLvl w:val="8"/>
    </w:pPr>
    <w:rPr>
      <w:rFonts w:ascii="Helvetica Neue" w:eastAsia="ＭＳ ゴシック" w:hAnsi="Helvetica Neue"/>
    </w:rPr>
  </w:style>
  <w:style w:type="table" w:styleId="TableGrid">
    <w:name w:val="Table Grid"/>
    <w:basedOn w:val="TableNormal"/>
    <w:uiPriority w:val="59"/>
    <w:rsid w:val="00346C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44A3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A3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A38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vetica Neue Light" w:eastAsiaTheme="minorEastAsia" w:hAnsi="Helvetica Neue Light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4B5DFC"/>
    <w:pPr>
      <w:keepNext/>
      <w:numPr>
        <w:numId w:val="1"/>
      </w:numPr>
      <w:contextualSpacing/>
      <w:outlineLvl w:val="0"/>
    </w:pPr>
    <w:rPr>
      <w:rFonts w:ascii="Helvetica Neue" w:eastAsia="ＭＳ ゴシック" w:hAnsi="Helvetica Neue"/>
    </w:rPr>
  </w:style>
  <w:style w:type="paragraph" w:styleId="NoteLevel2">
    <w:name w:val="Note Level 2"/>
    <w:basedOn w:val="Normal"/>
    <w:uiPriority w:val="99"/>
    <w:semiHidden/>
    <w:unhideWhenUsed/>
    <w:rsid w:val="004B5DFC"/>
    <w:pPr>
      <w:keepNext/>
      <w:numPr>
        <w:ilvl w:val="1"/>
        <w:numId w:val="1"/>
      </w:numPr>
      <w:contextualSpacing/>
      <w:outlineLvl w:val="1"/>
    </w:pPr>
    <w:rPr>
      <w:rFonts w:ascii="Helvetica Neue" w:eastAsia="ＭＳ ゴシック" w:hAnsi="Helvetica Neue"/>
    </w:rPr>
  </w:style>
  <w:style w:type="paragraph" w:styleId="NoteLevel3">
    <w:name w:val="Note Level 3"/>
    <w:basedOn w:val="Normal"/>
    <w:uiPriority w:val="99"/>
    <w:semiHidden/>
    <w:unhideWhenUsed/>
    <w:rsid w:val="004B5DFC"/>
    <w:pPr>
      <w:keepNext/>
      <w:numPr>
        <w:ilvl w:val="2"/>
        <w:numId w:val="1"/>
      </w:numPr>
      <w:contextualSpacing/>
      <w:outlineLvl w:val="2"/>
    </w:pPr>
    <w:rPr>
      <w:rFonts w:ascii="Helvetica Neue" w:eastAsia="ＭＳ ゴシック" w:hAnsi="Helvetica Neue"/>
    </w:rPr>
  </w:style>
  <w:style w:type="paragraph" w:styleId="NoteLevel4">
    <w:name w:val="Note Level 4"/>
    <w:basedOn w:val="Normal"/>
    <w:uiPriority w:val="99"/>
    <w:semiHidden/>
    <w:unhideWhenUsed/>
    <w:rsid w:val="004B5DFC"/>
    <w:pPr>
      <w:keepNext/>
      <w:numPr>
        <w:ilvl w:val="3"/>
        <w:numId w:val="1"/>
      </w:numPr>
      <w:contextualSpacing/>
      <w:outlineLvl w:val="3"/>
    </w:pPr>
    <w:rPr>
      <w:rFonts w:ascii="Helvetica Neue" w:eastAsia="ＭＳ ゴシック" w:hAnsi="Helvetica Neue"/>
    </w:rPr>
  </w:style>
  <w:style w:type="paragraph" w:styleId="NoteLevel5">
    <w:name w:val="Note Level 5"/>
    <w:basedOn w:val="Normal"/>
    <w:uiPriority w:val="99"/>
    <w:semiHidden/>
    <w:unhideWhenUsed/>
    <w:rsid w:val="004B5DFC"/>
    <w:pPr>
      <w:keepNext/>
      <w:numPr>
        <w:ilvl w:val="4"/>
        <w:numId w:val="1"/>
      </w:numPr>
      <w:contextualSpacing/>
      <w:outlineLvl w:val="4"/>
    </w:pPr>
    <w:rPr>
      <w:rFonts w:ascii="Helvetica Neue" w:eastAsia="ＭＳ ゴシック" w:hAnsi="Helvetica Neue"/>
    </w:rPr>
  </w:style>
  <w:style w:type="paragraph" w:styleId="NoteLevel6">
    <w:name w:val="Note Level 6"/>
    <w:basedOn w:val="Normal"/>
    <w:uiPriority w:val="99"/>
    <w:semiHidden/>
    <w:unhideWhenUsed/>
    <w:rsid w:val="004B5DFC"/>
    <w:pPr>
      <w:keepNext/>
      <w:numPr>
        <w:ilvl w:val="5"/>
        <w:numId w:val="1"/>
      </w:numPr>
      <w:contextualSpacing/>
      <w:outlineLvl w:val="5"/>
    </w:pPr>
    <w:rPr>
      <w:rFonts w:ascii="Helvetica Neue" w:eastAsia="ＭＳ ゴシック" w:hAnsi="Helvetica Neue"/>
    </w:rPr>
  </w:style>
  <w:style w:type="paragraph" w:styleId="NoteLevel7">
    <w:name w:val="Note Level 7"/>
    <w:basedOn w:val="Normal"/>
    <w:uiPriority w:val="99"/>
    <w:semiHidden/>
    <w:unhideWhenUsed/>
    <w:rsid w:val="004B5DFC"/>
    <w:pPr>
      <w:keepNext/>
      <w:numPr>
        <w:ilvl w:val="6"/>
        <w:numId w:val="1"/>
      </w:numPr>
      <w:contextualSpacing/>
      <w:outlineLvl w:val="6"/>
    </w:pPr>
    <w:rPr>
      <w:rFonts w:ascii="Helvetica Neue" w:eastAsia="ＭＳ ゴシック" w:hAnsi="Helvetica Neue"/>
    </w:rPr>
  </w:style>
  <w:style w:type="paragraph" w:styleId="NoteLevel8">
    <w:name w:val="Note Level 8"/>
    <w:basedOn w:val="Normal"/>
    <w:uiPriority w:val="99"/>
    <w:semiHidden/>
    <w:unhideWhenUsed/>
    <w:rsid w:val="004B5DFC"/>
    <w:pPr>
      <w:keepNext/>
      <w:numPr>
        <w:ilvl w:val="7"/>
        <w:numId w:val="1"/>
      </w:numPr>
      <w:contextualSpacing/>
      <w:outlineLvl w:val="7"/>
    </w:pPr>
    <w:rPr>
      <w:rFonts w:ascii="Helvetica Neue" w:eastAsia="ＭＳ ゴシック" w:hAnsi="Helvetica Neue"/>
    </w:rPr>
  </w:style>
  <w:style w:type="paragraph" w:styleId="NoteLevel9">
    <w:name w:val="Note Level 9"/>
    <w:basedOn w:val="Normal"/>
    <w:uiPriority w:val="99"/>
    <w:semiHidden/>
    <w:unhideWhenUsed/>
    <w:rsid w:val="004B5DFC"/>
    <w:pPr>
      <w:keepNext/>
      <w:numPr>
        <w:ilvl w:val="8"/>
        <w:numId w:val="1"/>
      </w:numPr>
      <w:contextualSpacing/>
      <w:outlineLvl w:val="8"/>
    </w:pPr>
    <w:rPr>
      <w:rFonts w:ascii="Helvetica Neue" w:eastAsia="ＭＳ ゴシック" w:hAnsi="Helvetica Neue"/>
    </w:rPr>
  </w:style>
  <w:style w:type="table" w:styleId="TableGrid">
    <w:name w:val="Table Grid"/>
    <w:basedOn w:val="TableNormal"/>
    <w:uiPriority w:val="59"/>
    <w:rsid w:val="00346C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44A3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A3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A38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EBE02EA-58C4-524E-ACE6-C80044B94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695</TotalTime>
  <Pages>2</Pages>
  <Words>709</Words>
  <Characters>4044</Characters>
  <Application>Microsoft Macintosh Word</Application>
  <DocSecurity>0</DocSecurity>
  <Lines>33</Lines>
  <Paragraphs>9</Paragraphs>
  <ScaleCrop>false</ScaleCrop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Andreanne Jalbert</dc:creator>
  <cp:keywords/>
  <dc:description/>
  <cp:lastModifiedBy>Andreanne Jalbert</cp:lastModifiedBy>
  <cp:revision>4</cp:revision>
  <dcterms:created xsi:type="dcterms:W3CDTF">2013-04-18T02:32:00Z</dcterms:created>
  <dcterms:modified xsi:type="dcterms:W3CDTF">2013-04-18T14:12:00Z</dcterms:modified>
</cp:coreProperties>
</file>