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E86" w:rsidRDefault="00491E86">
      <w:pPr>
        <w:rPr>
          <w:lang w:val="en-US"/>
        </w:rPr>
      </w:pPr>
      <w:r>
        <w:rPr>
          <w:lang w:val="en-US"/>
        </w:rPr>
        <w:t>Chapter 2: theory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Church modes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Differentiated by arrangement of tones and semitones in relation TO THE FINAL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The final is the main note of the mode and typically the last note of a melody.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Four finals (D, E, F, G)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Each has 2 modes (Authentic and Plagal)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Each mode has a unique combination of T</w:t>
      </w:r>
      <w:r>
        <w:t>’</w:t>
      </w:r>
      <w:r>
        <w:rPr>
          <w:lang w:val="en-US"/>
        </w:rPr>
        <w:t>s and S</w:t>
      </w:r>
      <w:r>
        <w:t>’</w:t>
      </w:r>
      <w:r>
        <w:rPr>
          <w:lang w:val="en-US"/>
        </w:rPr>
        <w:t>s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1&amp;2 share finals; 3&amp;4; 5&amp;6; 7&amp;8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Developed out of chant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Reciting tones - fifth/third above the final, often the most repeated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Finals - D, E, F, G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Authentic: reciting tone 5</w:t>
      </w:r>
      <w:r>
        <w:rPr>
          <w:vertAlign w:val="superscript"/>
          <w:lang w:val="en-US"/>
        </w:rPr>
        <w:t>th</w:t>
      </w:r>
      <w:r>
        <w:rPr>
          <w:lang w:val="en-US"/>
        </w:rPr>
        <w:t xml:space="preserve"> above final; </w:t>
      </w:r>
    </w:p>
    <w:p w:rsidR="00491E86" w:rsidRDefault="00491E86">
      <w:pPr>
        <w:rPr>
          <w:lang w:val="en-US"/>
        </w:rPr>
      </w:pPr>
      <w:r>
        <w:rPr>
          <w:lang w:val="en-US"/>
        </w:rPr>
        <w:t>Plagal: reciting tone 3</w:t>
      </w:r>
      <w:r>
        <w:rPr>
          <w:vertAlign w:val="superscript"/>
          <w:lang w:val="en-US"/>
        </w:rPr>
        <w:t>rd</w:t>
      </w:r>
      <w:r>
        <w:rPr>
          <w:lang w:val="en-US"/>
        </w:rPr>
        <w:t xml:space="preserve"> above final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If Reciting Tone falls on a B, moved to C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Authenic mode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Odd-numbered modes (1,3,5,7)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Range: one tone below the final to an octave above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RT:fifth above final (or sixth when it lands on a B)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Plagal Mode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Even-numbered modes (2,4,6,8)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Range: a fourth or fifth below the final to a fifth or sixth above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RT: third above final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Guido d</w:t>
      </w:r>
      <w:r>
        <w:t>’</w:t>
      </w:r>
      <w:r>
        <w:rPr>
          <w:lang w:val="en-US"/>
        </w:rPr>
        <w:t>Arezzo introduces syllables to name scale steps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- ut, re, I, fa, sol, la</w:t>
      </w:r>
    </w:p>
    <w:p w:rsidR="00491E86" w:rsidRDefault="00491E86">
      <w:pPr>
        <w:rPr>
          <w:lang w:val="en-US"/>
        </w:rPr>
      </w:pPr>
      <w:r>
        <w:rPr>
          <w:lang w:val="en-US"/>
        </w:rPr>
        <w:t xml:space="preserve">- today: do, re, mi, fa, sol, la, ti 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Hexachords: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- an interval pattern of six notes (ut to la) with a semi-tone between mi and fa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Three types: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Natural - begins on C (d, e, f, g, a)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Hard - begins on G (a, b , c, d, e)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Soft - begins on F (g, a, Bb, c, d)</w:t>
      </w:r>
    </w:p>
    <w:p w:rsidR="00491E86" w:rsidRDefault="00491E86">
      <w:pPr>
        <w:rPr>
          <w:lang w:val="en-US"/>
        </w:rPr>
      </w:pPr>
      <w:r>
        <w:rPr>
          <w:lang w:val="en-US"/>
        </w:rPr>
        <w:t>-------------------------------------------------------------------------------------------------------------------------------------</w:t>
      </w:r>
    </w:p>
    <w:p w:rsidR="00491E86" w:rsidRDefault="00491E86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Chapter 2: Music in the Church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History of music intertwined with history of the Christian Church in EU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Music played a large role in religious services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Services were sung/chanted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Early activites of jesus et al. documented to sing psalms and hymns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development of musicians, composers, notation took place in the church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Monks lived a consant life of parying, chanting, singing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Christians also believed music had the power to influence ethos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Instruments banned from church service, no need without being able to convey religious messages through text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 xml:space="preserve">each christian section creates its own set of practices, </w:t>
      </w:r>
      <w:r>
        <w:rPr>
          <w:i/>
          <w:iCs/>
          <w:lang w:val="en-US"/>
        </w:rPr>
        <w:t>rites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- church calendar: schedule of celebrated individuals and events in the church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- liturgy - body of texts and rituals assigned to each service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- plainchant/chant - repertory of song w/ melody for prescribed texts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 xml:space="preserve">Each region had its own form of repertoire </w:t>
      </w:r>
      <w:r>
        <w:t>‘</w:t>
      </w:r>
      <w:r>
        <w:rPr>
          <w:lang w:val="en-US"/>
        </w:rPr>
        <w:t>chant dialect</w:t>
      </w:r>
      <w:r>
        <w:t>’</w:t>
      </w:r>
    </w:p>
    <w:p w:rsidR="00491E86" w:rsidRDefault="00491E86">
      <w:pPr>
        <w:rPr>
          <w:rFonts w:ascii="TwCenMT-Regular" w:eastAsia="Times New Roman" w:hAnsi="TwCenMT-Regular" w:cs="TwCenMT-Regular"/>
          <w:color w:val="000000"/>
          <w:lang w:val="en-US"/>
        </w:rPr>
      </w:pPr>
      <w:r>
        <w:rPr>
          <w:lang w:val="en-US"/>
        </w:rPr>
        <w:tab/>
        <w:t xml:space="preserve">- </w:t>
      </w:r>
      <w:r>
        <w:rPr>
          <w:rFonts w:ascii="TwCenMT-BoldItalic" w:eastAsia="Times New Roman" w:hAnsi="TwCenMT-BoldItalic" w:cs="TwCenMT-BoldItalic"/>
          <w:b/>
          <w:bCs/>
          <w:i/>
          <w:iCs/>
          <w:color w:val="000000"/>
          <w:lang w:val="en-US"/>
        </w:rPr>
        <w:t xml:space="preserve">Byzantine Chant, </w:t>
      </w:r>
      <w:r>
        <w:rPr>
          <w:rFonts w:ascii="TwCenMT-Regular" w:eastAsia="Times New Roman" w:hAnsi="TwCenMT-Regular" w:cs="TwCenMT-Regular"/>
          <w:color w:val="000000"/>
          <w:lang w:val="en-US"/>
        </w:rPr>
        <w:t>earliest collection of chant and emerged as</w:t>
      </w:r>
    </w:p>
    <w:p w:rsidR="00491E86" w:rsidRDefault="00491E86">
      <w:pPr>
        <w:rPr>
          <w:rFonts w:ascii="TwCenMT-Regular" w:eastAsia="Times New Roman" w:hAnsi="TwCenMT-Regular" w:cs="TwCenMT-Regular"/>
          <w:color w:val="000000"/>
          <w:lang w:val="en-US"/>
        </w:rPr>
      </w:pPr>
      <w:r>
        <w:rPr>
          <w:rFonts w:ascii="TwCenMT-Regular" w:eastAsia="Times New Roman" w:hAnsi="TwCenMT-Regular" w:cs="TwCenMT-Regular"/>
          <w:color w:val="000000"/>
          <w:lang w:val="en-US"/>
        </w:rPr>
        <w:t>a result of the establishment of the Eastern church by</w:t>
      </w:r>
    </w:p>
    <w:p w:rsidR="00491E86" w:rsidRDefault="00491E86">
      <w:pPr>
        <w:rPr>
          <w:rFonts w:ascii="TwCenMT-Regular" w:eastAsia="Times New Roman" w:hAnsi="TwCenMT-Regular" w:cs="TwCenMT-Regular"/>
          <w:color w:val="000000"/>
          <w:lang w:val="en-US"/>
        </w:rPr>
      </w:pPr>
      <w:r>
        <w:rPr>
          <w:rFonts w:ascii="TwCenMT-Regular" w:eastAsia="Times New Roman" w:hAnsi="TwCenMT-Regular" w:cs="TwCenMT-Regular"/>
          <w:color w:val="000000"/>
          <w:lang w:val="en-US"/>
        </w:rPr>
        <w:t>Constantine</w:t>
      </w:r>
    </w:p>
    <w:p w:rsidR="00491E86" w:rsidRDefault="00491E86">
      <w:pPr>
        <w:rPr>
          <w:rFonts w:ascii="TwCenMT-Regular" w:eastAsia="Times New Roman" w:hAnsi="TwCenMT-Regular" w:cs="TwCenMT-Regular"/>
          <w:color w:val="000000"/>
          <w:lang w:val="en-US"/>
        </w:rPr>
      </w:pPr>
      <w:r>
        <w:rPr>
          <w:rFonts w:ascii="Wingdings2" w:eastAsia="Times New Roman" w:hAnsi="Wingdings2" w:cs="Wingdings2"/>
          <w:color w:val="797B7E"/>
          <w:lang w:val="en-US"/>
        </w:rPr>
        <w:tab/>
        <w:t xml:space="preserve">- </w:t>
      </w:r>
      <w:r>
        <w:rPr>
          <w:rFonts w:ascii="TwCenMT-BoldItalic" w:eastAsia="Times New Roman" w:hAnsi="TwCenMT-BoldItalic" w:cs="TwCenMT-BoldItalic"/>
          <w:b/>
          <w:bCs/>
          <w:i/>
          <w:iCs/>
          <w:color w:val="000000"/>
          <w:lang w:val="en-US"/>
        </w:rPr>
        <w:t xml:space="preserve">Ambrosian Chant, </w:t>
      </w:r>
      <w:r>
        <w:rPr>
          <w:rFonts w:ascii="TwCenMT-Regular" w:eastAsia="Times New Roman" w:hAnsi="TwCenMT-Regular" w:cs="TwCenMT-Regular"/>
          <w:color w:val="000000"/>
          <w:lang w:val="en-US"/>
        </w:rPr>
        <w:t>collection of chant organized by Ambrose,</w:t>
      </w:r>
    </w:p>
    <w:p w:rsidR="00491E86" w:rsidRDefault="00491E86">
      <w:pPr>
        <w:rPr>
          <w:rFonts w:ascii="TwCenMT-Regular" w:eastAsia="Times New Roman" w:hAnsi="TwCenMT-Regular" w:cs="TwCenMT-Regular"/>
          <w:color w:val="000000"/>
          <w:lang w:val="en-US"/>
        </w:rPr>
      </w:pPr>
      <w:r>
        <w:rPr>
          <w:rFonts w:ascii="TwCenMT-Regular" w:eastAsia="Times New Roman" w:hAnsi="TwCenMT-Regular" w:cs="TwCenMT-Regular"/>
          <w:color w:val="000000"/>
          <w:lang w:val="en-US"/>
        </w:rPr>
        <w:t>Bishop of Milan during the latter half of the fourth century</w:t>
      </w:r>
    </w:p>
    <w:p w:rsidR="00491E86" w:rsidRDefault="00491E86">
      <w:pPr>
        <w:rPr>
          <w:rFonts w:ascii="TwCenMT-Regular" w:eastAsia="Times New Roman" w:hAnsi="TwCenMT-Regular" w:cs="TwCenMT-Regular"/>
          <w:color w:val="000000"/>
          <w:lang w:val="en-US"/>
        </w:rPr>
      </w:pPr>
      <w:r>
        <w:rPr>
          <w:rFonts w:ascii="Wingdings2" w:eastAsia="Times New Roman" w:hAnsi="Wingdings2" w:cs="Wingdings2"/>
          <w:color w:val="797B7E"/>
          <w:lang w:val="en-US"/>
        </w:rPr>
        <w:tab/>
        <w:t xml:space="preserve">- </w:t>
      </w:r>
      <w:r>
        <w:rPr>
          <w:rFonts w:ascii="TwCenMT-BoldItalic" w:eastAsia="Times New Roman" w:hAnsi="TwCenMT-BoldItalic" w:cs="TwCenMT-BoldItalic"/>
          <w:b/>
          <w:bCs/>
          <w:i/>
          <w:iCs/>
          <w:color w:val="000000"/>
          <w:lang w:val="en-US"/>
        </w:rPr>
        <w:t xml:space="preserve">Gallic Chant, </w:t>
      </w:r>
      <w:r>
        <w:rPr>
          <w:rFonts w:ascii="TwCenMT-Regular" w:eastAsia="Times New Roman" w:hAnsi="TwCenMT-Regular" w:cs="TwCenMT-Regular"/>
          <w:color w:val="000000"/>
          <w:lang w:val="en-US"/>
        </w:rPr>
        <w:t>used in France until 800</w:t>
      </w:r>
    </w:p>
    <w:p w:rsidR="00491E86" w:rsidRDefault="00491E86">
      <w:pPr>
        <w:rPr>
          <w:rFonts w:ascii="TwCenMT-Regular" w:eastAsia="Times New Roman" w:hAnsi="TwCenMT-Regular" w:cs="TwCenMT-Regular"/>
          <w:color w:val="000000"/>
          <w:lang w:val="en-US"/>
        </w:rPr>
      </w:pPr>
      <w:r>
        <w:rPr>
          <w:rFonts w:ascii="Wingdings2" w:eastAsia="Times New Roman" w:hAnsi="Wingdings2" w:cs="Wingdings2"/>
          <w:color w:val="797B7E"/>
          <w:lang w:val="en-US"/>
        </w:rPr>
        <w:tab/>
        <w:t xml:space="preserve">- </w:t>
      </w:r>
      <w:r>
        <w:rPr>
          <w:rFonts w:ascii="TwCenMT-BoldItalic" w:eastAsia="Times New Roman" w:hAnsi="TwCenMT-BoldItalic" w:cs="TwCenMT-BoldItalic"/>
          <w:b/>
          <w:bCs/>
          <w:i/>
          <w:iCs/>
          <w:color w:val="000000"/>
          <w:lang w:val="en-US"/>
        </w:rPr>
        <w:t xml:space="preserve">Mozarabic Chant, </w:t>
      </w:r>
      <w:r>
        <w:rPr>
          <w:rFonts w:ascii="TwCenMT-Regular" w:eastAsia="Times New Roman" w:hAnsi="TwCenMT-Regular" w:cs="TwCenMT-Regular"/>
          <w:color w:val="000000"/>
          <w:lang w:val="en-US"/>
        </w:rPr>
        <w:t>prominent in Spain from about 900</w:t>
      </w:r>
    </w:p>
    <w:p w:rsidR="00491E86" w:rsidRDefault="00491E86">
      <w:pPr>
        <w:rPr>
          <w:rFonts w:ascii="TwCenMT-Regular" w:eastAsia="Times New Roman" w:hAnsi="TwCenMT-Regular" w:cs="TwCenMT-Regular"/>
          <w:color w:val="000000"/>
          <w:lang w:val="en-US"/>
        </w:rPr>
      </w:pPr>
      <w:r>
        <w:rPr>
          <w:rFonts w:ascii="Wingdings2" w:eastAsia="Times New Roman" w:hAnsi="Wingdings2" w:cs="Wingdings2"/>
          <w:color w:val="797B7E"/>
          <w:lang w:val="en-US"/>
        </w:rPr>
        <w:tab/>
        <w:t xml:space="preserve">- </w:t>
      </w:r>
      <w:r>
        <w:rPr>
          <w:rFonts w:ascii="TwCenMT-BoldItalic" w:eastAsia="Times New Roman" w:hAnsi="TwCenMT-BoldItalic" w:cs="TwCenMT-BoldItalic"/>
          <w:b/>
          <w:bCs/>
          <w:i/>
          <w:iCs/>
          <w:color w:val="000000"/>
          <w:lang w:val="en-US"/>
        </w:rPr>
        <w:t xml:space="preserve">Old Roman Chant, </w:t>
      </w:r>
      <w:r>
        <w:rPr>
          <w:rFonts w:ascii="TwCenMT-Regular" w:eastAsia="Times New Roman" w:hAnsi="TwCenMT-Regular" w:cs="TwCenMT-Regular"/>
          <w:color w:val="000000"/>
          <w:lang w:val="en-US"/>
        </w:rPr>
        <w:t>uses same texts as Gregorian chant.</w:t>
      </w:r>
    </w:p>
    <w:p w:rsidR="00491E86" w:rsidRDefault="00491E86">
      <w:pPr>
        <w:rPr>
          <w:rFonts w:ascii="TwCenMT-Regular" w:eastAsia="Times New Roman" w:hAnsi="TwCenMT-Regular" w:cs="TwCenMT-Regular"/>
          <w:color w:val="000000"/>
          <w:lang w:val="en-US"/>
        </w:rPr>
      </w:pPr>
      <w:r>
        <w:rPr>
          <w:rFonts w:ascii="TwCenMT-Regular" w:eastAsia="Times New Roman" w:hAnsi="TwCenMT-Regular" w:cs="TwCenMT-Regular"/>
          <w:color w:val="000000"/>
          <w:lang w:val="en-US"/>
        </w:rPr>
        <w:t>Melodies resemble Gregorian chant, but are more ornate.</w:t>
      </w:r>
    </w:p>
    <w:p w:rsidR="00491E86" w:rsidRDefault="00491E86">
      <w:pPr>
        <w:rPr>
          <w:rFonts w:ascii="TwCenMT-Regular" w:eastAsia="Times New Roman" w:hAnsi="TwCenMT-Regular" w:cs="TwCenMT-Regular"/>
          <w:color w:val="000000"/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Notation needed to regulate chants from region to region, keep them consistent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Neumes: earliest notation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Signs placed above words to indicate a melodic gesture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Melodies still learned by ear, neumes used as a reference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Resemled what we know as French accents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Diastematic neumes: 10</w:t>
      </w:r>
      <w:r>
        <w:rPr>
          <w:vertAlign w:val="superscript"/>
          <w:lang w:val="en-US"/>
        </w:rPr>
        <w:t>th</w:t>
      </w:r>
      <w:r>
        <w:rPr>
          <w:lang w:val="en-US"/>
        </w:rPr>
        <w:t>/11</w:t>
      </w:r>
      <w:r>
        <w:rPr>
          <w:vertAlign w:val="superscript"/>
          <w:lang w:val="en-US"/>
        </w:rPr>
        <w:t>th</w:t>
      </w:r>
      <w:r>
        <w:rPr>
          <w:lang w:val="en-US"/>
        </w:rPr>
        <w:t xml:space="preserve"> century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Neumes placed at varying heights above text to hepl indicate the size of intervals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 xml:space="preserve">Rhythm still not developed, still thought in long and short syllables 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  <w:r>
        <w:rPr>
          <w:lang w:val="en-US"/>
        </w:rPr>
        <w:t>Boethius: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- believed equations determined notes, scales, intervals, tuning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- believed music infulenced character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  <w:t>- music divided into: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musica mundana (music of the universe) # relations controlling star &amp; plantet movement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musica humana (human music) harmonizes and unifies body and soul</w:t>
      </w:r>
    </w:p>
    <w:p w:rsidR="00491E86" w:rsidRDefault="00491E86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musica instrumentalis (instrumental music) audible music [instruments/voices]</w:t>
      </w: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</w:p>
    <w:p w:rsidR="00491E86" w:rsidRDefault="00491E86">
      <w:pPr>
        <w:rPr>
          <w:lang w:val="en-US"/>
        </w:rPr>
      </w:pPr>
    </w:p>
    <w:sectPr w:rsidR="00491E86" w:rsidSect="00491E86">
      <w:headerReference w:type="default" r:id="rId6"/>
      <w:footerReference w:type="default" r:id="rId7"/>
      <w:pgSz w:w="12240" w:h="15840"/>
      <w:pgMar w:top="1440" w:right="1800" w:bottom="1440" w:left="1800" w:header="720" w:footer="864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E86" w:rsidRDefault="00491E86" w:rsidP="00491E86">
      <w:r>
        <w:separator/>
      </w:r>
    </w:p>
  </w:endnote>
  <w:endnote w:type="continuationSeparator" w:id="0">
    <w:p w:rsidR="00491E86" w:rsidRDefault="00491E86" w:rsidP="00491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wCenMT-Regular"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TwCenMT-BoldItalic"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Wingdings2"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E86" w:rsidRDefault="00491E86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E86" w:rsidRDefault="00491E86" w:rsidP="00491E86">
      <w:r>
        <w:separator/>
      </w:r>
    </w:p>
  </w:footnote>
  <w:footnote w:type="continuationSeparator" w:id="0">
    <w:p w:rsidR="00491E86" w:rsidRDefault="00491E86" w:rsidP="00491E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E86" w:rsidRDefault="00491E86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lorPos" w:val="-1"/>
    <w:docVar w:name="ColorSet" w:val="-1"/>
    <w:docVar w:name="StylePos" w:val="-1"/>
    <w:docVar w:name="StyleSet" w:val="-1"/>
  </w:docVars>
  <w:rsids>
    <w:rsidRoot w:val="00491E86"/>
    <w:rsid w:val="00491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0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0</cp:revision>
</cp:coreProperties>
</file>