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C36" w:rsidRDefault="00792C36" w:rsidP="00792C36">
      <w:r>
        <w:t xml:space="preserve">4.1) </w:t>
      </w:r>
    </w:p>
    <w:p w:rsidR="0062066C" w:rsidRDefault="007F2867" w:rsidP="00792C36">
      <w:pPr>
        <w:ind w:firstLine="720"/>
      </w:pPr>
      <w:r>
        <w:t>W</w:t>
      </w:r>
      <w:r w:rsidR="00C7191A">
        <w:t>ater Quality trading is a means of meeting</w:t>
      </w:r>
      <w:r>
        <w:t xml:space="preserve"> water quality goals efficiently. It consists of having firms that produce high amounts of pollution into bodies of water be offset by paying other sources of pollutions to lower their quantity of pollution. The high quantity producer of pollutants often pay at a lower cost, so efficiency is reached at an overall lower cost.  This method works because different sources </w:t>
      </w:r>
      <w:r w:rsidR="00792C36">
        <w:t>of polluters in the watershed have</w:t>
      </w:r>
      <w:r>
        <w:t xml:space="preserve"> different costs associated with controlling pollutions. This makes it efficient for those with high costs to pay those with lower costs to reduce pollution since it would be cheaper than the cost of their </w:t>
      </w:r>
      <w:r w:rsidR="00792C36">
        <w:t xml:space="preserve">pollution control. This method works best when circumstances present it to favour trading and it is an efficient way to lower costs and reduce pollutions faster. Apparently Water quality trading does not work everywhere. There needs to be a driver, in this case, the quota or maximum daily load, or even a stricter water-quality requirement.  The different sources of pollutants need to have significantly different costs associated with pollution controls to make it attractive for firms to pursuit this method. The necessary levels of pollutions cannot be too large so that not all sources of the watershed need to reduce a lot, and finally the stakeholders of the firms need to embrace this innovative approach and engage in </w:t>
      </w:r>
      <w:r w:rsidR="00C7191A">
        <w:t>trading for overall efficiency (</w:t>
      </w:r>
      <w:r w:rsidR="00C7191A">
        <w:rPr>
          <w:rFonts w:ascii="Times New Roman" w:hAnsi="Times New Roman" w:cs="Times New Roman"/>
          <w:color w:val="0000FF"/>
          <w:sz w:val="24"/>
          <w:szCs w:val="24"/>
        </w:rPr>
        <w:t>http://water.epa.gov/type/watersheds/trading.cfm).</w:t>
      </w:r>
    </w:p>
    <w:p w:rsidR="00C7191A" w:rsidRDefault="00792C36" w:rsidP="00792C36">
      <w:r>
        <w:t>4.2)</w:t>
      </w:r>
    </w:p>
    <w:p w:rsidR="00792C36" w:rsidRDefault="00C7191A" w:rsidP="00792C36">
      <w:r>
        <w:t>Because of a permit</w:t>
      </w:r>
      <w:r w:rsidR="003A17E6">
        <w:t xml:space="preserve"> cap on the discharge of phosphorus in the basin, costs have increased. In an attempt to offset the costs associated with the permit cap Ministry of the Environment has designed a scheme that allows new development to discharge phosphorus so long as it is offset by mitigation activities elsewhere on the basin. The South Nation Conservative Authorities (SNCA) allows for the purchase of offsets by new development. After the purchase of the offset, the SNCA issues grants to rural landowners around the basin to conduct mitigating activities to offset the phosphorous discharged by the new development. A feature of this scheme is that for each 1kg of phosphorus discharge, 4kg of non-point source phosphorus needs to be mitigated. This high ratio is a buffer that in the event the offset activity is not 100% effective, it can deal. </w:t>
      </w:r>
      <w:r w:rsidR="00584DBA">
        <w:t xml:space="preserve">Those who purchase offsets are still legally </w:t>
      </w:r>
      <w:proofErr w:type="spellStart"/>
      <w:r>
        <w:t>responsibl</w:t>
      </w:r>
      <w:proofErr w:type="spellEnd"/>
      <w:r w:rsidR="00584DBA">
        <w:t xml:space="preserve"> if </w:t>
      </w:r>
      <w:r>
        <w:t>phosphorus targets are not met (</w:t>
      </w:r>
      <w:hyperlink r:id="rId4" w:history="1">
        <w:r>
          <w:rPr>
            <w:rStyle w:val="Hyperlink"/>
          </w:rPr>
          <w:t>http://www.sustainableprosperity.ca/dl709%26display</w:t>
        </w:r>
      </w:hyperlink>
      <w:r>
        <w:t>).</w:t>
      </w:r>
    </w:p>
    <w:p w:rsidR="00584DBA" w:rsidRDefault="00584DBA" w:rsidP="00792C36">
      <w:r>
        <w:t>4.3)</w:t>
      </w:r>
    </w:p>
    <w:p w:rsidR="00584DBA" w:rsidRDefault="00C7191A" w:rsidP="00792C36">
      <w:r>
        <w:t xml:space="preserve">We picked up the state of California to compare with the South Nation Program. </w:t>
      </w:r>
      <w:r w:rsidR="00584DBA">
        <w:t xml:space="preserve">California has designed an innovative tradable loads program to create economic incentives to help improve water quality. </w:t>
      </w:r>
      <w:r w:rsidR="00AD2BD4">
        <w:t>In contrast to the south nation basin, Selenium is the chemical that is over abundant in the water supply in California as opposed to the phosphorus issue in Ontario. California’s program is more centered on farmers and governments have little to do with the reduction of total load. Farmers in the grassland area have incorporated a wide variety of practices including the formation of a regional drainage entity, creating a source of communication between the farmers and a monitoring program, installation of an improved irrigation system, and subsurface drainage</w:t>
      </w:r>
      <w:bookmarkStart w:id="0" w:name="_GoBack"/>
      <w:bookmarkEnd w:id="0"/>
      <w:r w:rsidR="00AD2BD4">
        <w:t xml:space="preserve"> on salt tolerant crops. The Grassland Area Farmers have also developed and adopted a tradable loads program to help achieve regional water quality targets. This is similar is somewhat different to the Ontario offset scheme as Ontario would transfer the </w:t>
      </w:r>
      <w:r w:rsidR="00AD2BD4">
        <w:lastRenderedPageBreak/>
        <w:t>purchase of permits as grants from new development programs to farmers. Ontario is simply point sources to non-point sources, while the California program is unique as it also establishes trading between nonpoint sources. Under the tradable loads program in California, farmers can either meet their selenium load or buy/sell load allocations. Under this scheme they can meet the selenium load target at the lowest possible cost as measures will be taken wher</w:t>
      </w:r>
      <w:r>
        <w:t xml:space="preserve">e they are cheapest to achieve </w:t>
      </w:r>
      <w:proofErr w:type="gramStart"/>
      <w:r>
        <w:t xml:space="preserve">( </w:t>
      </w:r>
      <w:proofErr w:type="gramEnd"/>
      <w:hyperlink r:id="rId5" w:history="1">
        <w:r>
          <w:rPr>
            <w:rStyle w:val="Hyperlink"/>
          </w:rPr>
          <w:t>http://www.sustainableprosperity.ca/dl709%26display</w:t>
        </w:r>
      </w:hyperlink>
      <w:r>
        <w:t xml:space="preserve">  and </w:t>
      </w:r>
      <w:hyperlink r:id="rId6" w:history="1">
        <w:r>
          <w:rPr>
            <w:rStyle w:val="Hyperlink"/>
          </w:rPr>
          <w:t>http://www.epa.gov/owow/nps/Section319III/CA.htm</w:t>
        </w:r>
      </w:hyperlink>
      <w:r>
        <w:t>).</w:t>
      </w:r>
    </w:p>
    <w:sectPr w:rsidR="00584DBA" w:rsidSect="0067462C">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F2867"/>
    <w:rsid w:val="00116121"/>
    <w:rsid w:val="003A17E6"/>
    <w:rsid w:val="00584DBA"/>
    <w:rsid w:val="0062066C"/>
    <w:rsid w:val="0067462C"/>
    <w:rsid w:val="00792C36"/>
    <w:rsid w:val="007F2867"/>
    <w:rsid w:val="00AD2BD4"/>
    <w:rsid w:val="00C7191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191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pa.gov/owow/nps/Section319III/CA.htm" TargetMode="External"/><Relationship Id="rId5" Type="http://schemas.openxmlformats.org/officeDocument/2006/relationships/hyperlink" Target="http://www.sustainableprosperity.ca/dl709%26display" TargetMode="External"/><Relationship Id="rId4" Type="http://schemas.openxmlformats.org/officeDocument/2006/relationships/hyperlink" Target="http://www.sustainableprosperity.ca/dl709%26display" TargetMode="Externa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642</Words>
  <Characters>3661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shadow</dc:creator>
  <cp:lastModifiedBy>Teddy</cp:lastModifiedBy>
  <cp:revision>3</cp:revision>
  <dcterms:created xsi:type="dcterms:W3CDTF">2013-04-08T23:38:00Z</dcterms:created>
  <dcterms:modified xsi:type="dcterms:W3CDTF">2013-04-08T23:55:00Z</dcterms:modified>
</cp:coreProperties>
</file>