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BBC" w:rsidRDefault="003B4BBC" w:rsidP="00D422F6">
      <w:pPr>
        <w:widowControl w:val="0"/>
        <w:autoSpaceDE w:val="0"/>
        <w:autoSpaceDN w:val="0"/>
        <w:adjustRightInd w:val="0"/>
        <w:jc w:val="both"/>
        <w:rPr>
          <w:b/>
          <w:bCs/>
          <w:sz w:val="28"/>
          <w:szCs w:val="28"/>
          <w:u w:val="single"/>
        </w:rPr>
      </w:pPr>
      <w:r>
        <w:rPr>
          <w:b/>
          <w:bCs/>
          <w:sz w:val="28"/>
          <w:szCs w:val="28"/>
          <w:u w:val="single"/>
        </w:rPr>
        <w:t>The Atomic Age (</w:t>
      </w:r>
      <w:r w:rsidR="00133EEB">
        <w:rPr>
          <w:b/>
          <w:bCs/>
          <w:sz w:val="28"/>
          <w:szCs w:val="28"/>
          <w:u w:val="single"/>
        </w:rPr>
        <w:t>March</w:t>
      </w:r>
      <w:r w:rsidR="00736219">
        <w:rPr>
          <w:b/>
          <w:bCs/>
          <w:sz w:val="28"/>
          <w:szCs w:val="28"/>
          <w:u w:val="single"/>
        </w:rPr>
        <w:t xml:space="preserve"> 1</w:t>
      </w:r>
      <w:r w:rsidR="00133EEB">
        <w:rPr>
          <w:b/>
          <w:bCs/>
          <w:sz w:val="28"/>
          <w:szCs w:val="28"/>
          <w:u w:val="single"/>
        </w:rPr>
        <w:t>4</w:t>
      </w:r>
      <w:r w:rsidR="00736219" w:rsidRPr="00736219">
        <w:rPr>
          <w:b/>
          <w:bCs/>
          <w:sz w:val="28"/>
          <w:szCs w:val="28"/>
          <w:u w:val="single"/>
          <w:vertAlign w:val="superscript"/>
        </w:rPr>
        <w:t>th</w:t>
      </w:r>
      <w:r w:rsidRPr="00CD4B84">
        <w:rPr>
          <w:b/>
          <w:bCs/>
          <w:sz w:val="28"/>
          <w:szCs w:val="28"/>
          <w:u w:val="single"/>
        </w:rPr>
        <w:t>, 201</w:t>
      </w:r>
      <w:r w:rsidR="00133EEB">
        <w:rPr>
          <w:b/>
          <w:bCs/>
          <w:sz w:val="28"/>
          <w:szCs w:val="28"/>
          <w:u w:val="single"/>
        </w:rPr>
        <w:t>2</w:t>
      </w:r>
      <w:r>
        <w:rPr>
          <w:b/>
          <w:bCs/>
          <w:sz w:val="28"/>
          <w:szCs w:val="28"/>
          <w:u w:val="single"/>
        </w:rPr>
        <w:t>)</w:t>
      </w:r>
    </w:p>
    <w:p w:rsidR="003B4BBC" w:rsidRDefault="003B4BBC" w:rsidP="00D422F6">
      <w:pPr>
        <w:widowControl w:val="0"/>
        <w:autoSpaceDE w:val="0"/>
        <w:autoSpaceDN w:val="0"/>
        <w:adjustRightInd w:val="0"/>
        <w:jc w:val="both"/>
        <w:rPr>
          <w:b/>
          <w:bCs/>
          <w:sz w:val="28"/>
          <w:szCs w:val="28"/>
        </w:rPr>
      </w:pPr>
    </w:p>
    <w:p w:rsidR="003B4BBC" w:rsidRDefault="003B4BBC" w:rsidP="00D422F6">
      <w:pPr>
        <w:widowControl w:val="0"/>
        <w:autoSpaceDE w:val="0"/>
        <w:autoSpaceDN w:val="0"/>
        <w:adjustRightInd w:val="0"/>
        <w:jc w:val="both"/>
        <w:rPr>
          <w:b/>
          <w:bCs/>
          <w:sz w:val="28"/>
          <w:szCs w:val="28"/>
        </w:rPr>
      </w:pPr>
      <w:r>
        <w:rPr>
          <w:b/>
          <w:bCs/>
          <w:sz w:val="28"/>
          <w:szCs w:val="28"/>
        </w:rPr>
        <w:t>A. Planning and Preparing the Future</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mass mechanization ushered in by the First World War quickly extended beyond transportation.  Technologies that became widely available for the first time (cars, aircraft, mechanical refrigerators for the home) combined with new media (radio, movies that were no longer silent, even television by 1939) to foster a new sense of the possible.  The ground was also laid for the acceptance of change and novelty through other means.  In mid-century North America, both advertising, popular fiction, and forward-thinking visionaries proposed captivating conceptions of the future, embodied in the 1939-1940 New York World's Fair.  These visions heralded the success of a new breed of innovator:  the </w:t>
      </w:r>
      <w:r>
        <w:rPr>
          <w:sz w:val="28"/>
          <w:szCs w:val="28"/>
          <w:u w:val="single"/>
        </w:rPr>
        <w:t>industrial designer</w:t>
      </w:r>
      <w:r>
        <w:rPr>
          <w:sz w:val="28"/>
          <w:szCs w:val="28"/>
        </w:rPr>
        <w:t xml:space="preserve">.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Design is often thought to influence only the appearances of objects, but for many everyday objects, form cannot be separated from function.  A standalone bungalow, a townhouse, and an apartment in a high-rise building are all places to live in, but they offer different experiences and affect their surroundings in different ways.  A high-rise development can be served by public transit, but suburban split-levels are usually associated with personal cars, garages, and freeways.  There are so many possible ways to build even the simplest of objects, that designers are free to place more weight on some factors than others, and select some outcomes at the expense of others.  In particular, industrial designers juggle with trade-offs affecting directly the performance of their creations.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discipline of design did start with nothing more than a preoccupation for esthetics.  In </w:t>
      </w:r>
      <w:smartTag w:uri="urn:schemas-microsoft-com:office:smarttags" w:element="place">
        <w:smartTag w:uri="urn:schemas-microsoft-com:office:smarttags" w:element="country-region">
          <w:r>
            <w:rPr>
              <w:sz w:val="28"/>
              <w:szCs w:val="28"/>
            </w:rPr>
            <w:t>England</w:t>
          </w:r>
        </w:smartTag>
      </w:smartTag>
      <w:r>
        <w:rPr>
          <w:sz w:val="28"/>
          <w:szCs w:val="28"/>
        </w:rPr>
        <w:t xml:space="preserve">, Christopher Dresser (1834-1904) was a designer influenced by the reform of the British decorative arts, but his work grew to include work on the shape and appearance of manufactured objects.  By 1889, his studio functioned in essence as an industrial design firm.  The British example inspired German designers through Hermann Muthesius, who had been to </w:t>
      </w:r>
      <w:smartTag w:uri="urn:schemas-microsoft-com:office:smarttags" w:element="place">
        <w:smartTag w:uri="urn:schemas-microsoft-com:office:smarttags" w:element="country-region">
          <w:r>
            <w:rPr>
              <w:sz w:val="28"/>
              <w:szCs w:val="28"/>
            </w:rPr>
            <w:t>England</w:t>
          </w:r>
        </w:smartTag>
      </w:smartTag>
      <w:r>
        <w:rPr>
          <w:sz w:val="28"/>
          <w:szCs w:val="28"/>
        </w:rPr>
        <w:t xml:space="preserve">.  Along with Peter Behrens, the first industrial designer employed by a large corporation (AEG), Muthesius created in 1907 the </w:t>
      </w:r>
      <w:r>
        <w:rPr>
          <w:i/>
          <w:iCs/>
          <w:sz w:val="28"/>
          <w:szCs w:val="28"/>
        </w:rPr>
        <w:t>Deutscher Werkbund</w:t>
      </w:r>
      <w:r>
        <w:rPr>
          <w:sz w:val="28"/>
          <w:szCs w:val="28"/>
        </w:rPr>
        <w:t xml:space="preserve">, an association dedicated to combining art, craft, and industry in order to create "artistic" industrial products that could be exported abroad.  In </w:t>
      </w:r>
      <w:smartTag w:uri="urn:schemas-microsoft-com:office:smarttags" w:element="place">
        <w:smartTag w:uri="urn:schemas-microsoft-com:office:smarttags" w:element="country-region">
          <w:r>
            <w:rPr>
              <w:sz w:val="28"/>
              <w:szCs w:val="28"/>
            </w:rPr>
            <w:t>Great Britain</w:t>
          </w:r>
        </w:smartTag>
      </w:smartTag>
      <w:r>
        <w:rPr>
          <w:sz w:val="28"/>
          <w:szCs w:val="28"/>
        </w:rPr>
        <w:t xml:space="preserve">, the 1915 Design and Industries Association gathered all those involved with industrial design: designers, manufacturers, architects, advertisers, and merchants.  By 1937, the </w:t>
      </w:r>
      <w:smartTag w:uri="urn:schemas-microsoft-com:office:smarttags" w:element="place">
        <w:smartTag w:uri="urn:schemas-microsoft-com:office:smarttags" w:element="country-region">
          <w:r>
            <w:rPr>
              <w:sz w:val="28"/>
              <w:szCs w:val="28"/>
            </w:rPr>
            <w:t xml:space="preserve">United </w:t>
          </w:r>
          <w:r>
            <w:rPr>
              <w:sz w:val="28"/>
              <w:szCs w:val="28"/>
            </w:rPr>
            <w:lastRenderedPageBreak/>
            <w:t>Kingdom</w:t>
          </w:r>
        </w:smartTag>
      </w:smartTag>
      <w:r>
        <w:rPr>
          <w:sz w:val="28"/>
          <w:szCs w:val="28"/>
        </w:rPr>
        <w:t xml:space="preserve"> had a national register of industrial designers.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A past member of the </w:t>
      </w:r>
      <w:r>
        <w:rPr>
          <w:i/>
          <w:iCs/>
          <w:sz w:val="28"/>
          <w:szCs w:val="28"/>
        </w:rPr>
        <w:t>Werkbund</w:t>
      </w:r>
      <w:r>
        <w:rPr>
          <w:sz w:val="28"/>
          <w:szCs w:val="28"/>
        </w:rPr>
        <w:t xml:space="preserve">, Walter Gropius launched the enormously influential </w:t>
      </w:r>
      <w:r>
        <w:rPr>
          <w:sz w:val="28"/>
          <w:szCs w:val="28"/>
          <w:u w:val="single"/>
        </w:rPr>
        <w:t>Bauhaus</w:t>
      </w:r>
      <w:r>
        <w:rPr>
          <w:sz w:val="28"/>
          <w:szCs w:val="28"/>
        </w:rPr>
        <w:t xml:space="preserve"> movement in </w:t>
      </w:r>
      <w:smartTag w:uri="urn:schemas-microsoft-com:office:smarttags" w:element="place">
        <w:smartTag w:uri="urn:schemas-microsoft-com:office:smarttags" w:element="country-region">
          <w:r>
            <w:rPr>
              <w:sz w:val="28"/>
              <w:szCs w:val="28"/>
            </w:rPr>
            <w:t>Germany</w:t>
          </w:r>
        </w:smartTag>
      </w:smartTag>
      <w:r>
        <w:rPr>
          <w:sz w:val="28"/>
          <w:szCs w:val="28"/>
        </w:rPr>
        <w:t xml:space="preserve"> after World War I, with the idea of applying design to everything:  architecture, posters, furniture, paintings, sculpture, household implements…  If British design was all about lending practical devices a suitable and functional form, the Bauhaus tended to impose a general look on all objects.</w:t>
      </w:r>
    </w:p>
    <w:p w:rsidR="003B4BBC" w:rsidRDefault="003B4BBC" w:rsidP="00D422F6">
      <w:pPr>
        <w:widowControl w:val="0"/>
        <w:autoSpaceDE w:val="0"/>
        <w:autoSpaceDN w:val="0"/>
        <w:adjustRightInd w:val="0"/>
        <w:jc w:val="both"/>
        <w:rPr>
          <w:sz w:val="28"/>
          <w:szCs w:val="28"/>
        </w:rPr>
      </w:pPr>
    </w:p>
    <w:p w:rsidR="003B4BBC" w:rsidRPr="00CD4B84" w:rsidRDefault="003B4BBC" w:rsidP="00D422F6">
      <w:pPr>
        <w:widowControl w:val="0"/>
        <w:autoSpaceDE w:val="0"/>
        <w:autoSpaceDN w:val="0"/>
        <w:adjustRightInd w:val="0"/>
        <w:jc w:val="both"/>
        <w:rPr>
          <w:b/>
          <w:bCs/>
          <w:sz w:val="28"/>
          <w:szCs w:val="28"/>
          <w:lang w:val="fr-FR"/>
        </w:rPr>
      </w:pPr>
      <w:r w:rsidRPr="00CD4B84">
        <w:rPr>
          <w:b/>
          <w:bCs/>
          <w:sz w:val="28"/>
          <w:szCs w:val="28"/>
          <w:lang w:val="fr-FR"/>
        </w:rPr>
        <w:t>B.1 Document — Letter, 1911 (in French)</w:t>
      </w:r>
    </w:p>
    <w:p w:rsidR="003B4BBC" w:rsidRPr="00CD4B84" w:rsidRDefault="003B4BBC" w:rsidP="00D422F6">
      <w:pPr>
        <w:widowControl w:val="0"/>
        <w:autoSpaceDE w:val="0"/>
        <w:autoSpaceDN w:val="0"/>
        <w:adjustRightInd w:val="0"/>
        <w:jc w:val="both"/>
        <w:rPr>
          <w:b/>
          <w:bCs/>
          <w:sz w:val="28"/>
          <w:szCs w:val="28"/>
          <w:lang w:val="fr-FR"/>
        </w:rPr>
      </w:pPr>
    </w:p>
    <w:p w:rsidR="003B4BBC" w:rsidRPr="00CD4B84" w:rsidRDefault="003B4BBC" w:rsidP="00D422F6">
      <w:pPr>
        <w:widowControl w:val="0"/>
        <w:autoSpaceDE w:val="0"/>
        <w:autoSpaceDN w:val="0"/>
        <w:adjustRightInd w:val="0"/>
        <w:jc w:val="both"/>
        <w:rPr>
          <w:sz w:val="28"/>
          <w:szCs w:val="28"/>
          <w:lang w:val="fr-FR"/>
        </w:rPr>
      </w:pPr>
      <w:r w:rsidRPr="00CD4B84">
        <w:rPr>
          <w:sz w:val="28"/>
          <w:szCs w:val="28"/>
          <w:lang w:val="fr-FR"/>
        </w:rPr>
        <w:t>Charles-Édouard Jeanneret (1887-1965), alias Le Corbusier, to William Ritter (1/11/1911):</w:t>
      </w:r>
    </w:p>
    <w:p w:rsidR="003B4BBC" w:rsidRPr="00CD4B84" w:rsidRDefault="003B4BBC" w:rsidP="00D422F6">
      <w:pPr>
        <w:widowControl w:val="0"/>
        <w:autoSpaceDE w:val="0"/>
        <w:autoSpaceDN w:val="0"/>
        <w:adjustRightInd w:val="0"/>
        <w:jc w:val="both"/>
        <w:rPr>
          <w:sz w:val="28"/>
          <w:szCs w:val="28"/>
          <w:lang w:val="fr-FR"/>
        </w:rPr>
      </w:pPr>
    </w:p>
    <w:p w:rsidR="003B4BBC" w:rsidRPr="00CD4B84" w:rsidRDefault="003B4BBC" w:rsidP="00D422F6">
      <w:pPr>
        <w:widowControl w:val="0"/>
        <w:autoSpaceDE w:val="0"/>
        <w:autoSpaceDN w:val="0"/>
        <w:adjustRightInd w:val="0"/>
        <w:jc w:val="both"/>
        <w:rPr>
          <w:sz w:val="28"/>
          <w:szCs w:val="28"/>
          <w:lang w:val="fr-FR"/>
        </w:rPr>
      </w:pPr>
      <w:r w:rsidRPr="00CD4B84">
        <w:rPr>
          <w:sz w:val="28"/>
          <w:szCs w:val="28"/>
          <w:lang w:val="fr-FR"/>
        </w:rPr>
        <w:t>"Je veux vous dire mes dogmes nouveaux : Nous sommes remarquables — grands et dignes des époques passées.  Nous ferons mieux.  C'est là mon credo.  Les primitifs sont des hommes à la mode.  Ils ont passé.  C'était des sauvages et nous sommes des civilisés."</w:t>
      </w:r>
    </w:p>
    <w:p w:rsidR="003B4BBC" w:rsidRPr="00CD4B84" w:rsidRDefault="003B4BBC" w:rsidP="00D422F6">
      <w:pPr>
        <w:widowControl w:val="0"/>
        <w:autoSpaceDE w:val="0"/>
        <w:autoSpaceDN w:val="0"/>
        <w:adjustRightInd w:val="0"/>
        <w:jc w:val="both"/>
        <w:rPr>
          <w:sz w:val="28"/>
          <w:szCs w:val="28"/>
          <w:lang w:val="fr-FR"/>
        </w:rPr>
      </w:pPr>
    </w:p>
    <w:p w:rsidR="003B4BBC" w:rsidRPr="00CD4B84" w:rsidRDefault="003B4BBC" w:rsidP="00D422F6">
      <w:pPr>
        <w:widowControl w:val="0"/>
        <w:autoSpaceDE w:val="0"/>
        <w:autoSpaceDN w:val="0"/>
        <w:adjustRightInd w:val="0"/>
        <w:jc w:val="both"/>
        <w:rPr>
          <w:sz w:val="28"/>
          <w:szCs w:val="28"/>
          <w:lang w:val="fr-FR"/>
        </w:rPr>
      </w:pPr>
      <w:r w:rsidRPr="00CD4B84">
        <w:rPr>
          <w:sz w:val="28"/>
          <w:szCs w:val="28"/>
          <w:lang w:val="fr-FR"/>
        </w:rPr>
        <w:t>(...)</w:t>
      </w:r>
    </w:p>
    <w:p w:rsidR="003B4BBC" w:rsidRPr="00CD4B84" w:rsidRDefault="003B4BBC" w:rsidP="00D422F6">
      <w:pPr>
        <w:widowControl w:val="0"/>
        <w:autoSpaceDE w:val="0"/>
        <w:autoSpaceDN w:val="0"/>
        <w:adjustRightInd w:val="0"/>
        <w:jc w:val="both"/>
        <w:rPr>
          <w:sz w:val="28"/>
          <w:szCs w:val="28"/>
          <w:lang w:val="fr-FR"/>
        </w:rPr>
      </w:pPr>
    </w:p>
    <w:p w:rsidR="003B4BBC" w:rsidRPr="00CD4B84" w:rsidRDefault="003B4BBC" w:rsidP="00D422F6">
      <w:pPr>
        <w:widowControl w:val="0"/>
        <w:autoSpaceDE w:val="0"/>
        <w:autoSpaceDN w:val="0"/>
        <w:adjustRightInd w:val="0"/>
        <w:jc w:val="both"/>
        <w:rPr>
          <w:sz w:val="28"/>
          <w:szCs w:val="28"/>
          <w:lang w:val="fr-FR"/>
        </w:rPr>
      </w:pPr>
      <w:r w:rsidRPr="00CD4B84">
        <w:rPr>
          <w:sz w:val="28"/>
          <w:szCs w:val="28"/>
          <w:lang w:val="fr-FR"/>
        </w:rPr>
        <w:t xml:space="preserve">"Il faut détruire tous les critiques d'art et ne sauver que ceux qui révèlent l'art contemporain.  Il faut les porter à la tribune, ceux-là.  Il faut blanchir le monde et couper les </w:t>
      </w:r>
      <w:r w:rsidRPr="00CD4B84">
        <w:rPr>
          <w:i/>
          <w:iCs/>
          <w:sz w:val="28"/>
          <w:szCs w:val="28"/>
          <w:lang w:val="fr-FR"/>
        </w:rPr>
        <w:t>Giebels</w:t>
      </w:r>
      <w:r w:rsidRPr="00CD4B84">
        <w:rPr>
          <w:sz w:val="28"/>
          <w:szCs w:val="28"/>
          <w:lang w:val="fr-FR"/>
        </w:rPr>
        <w:t xml:space="preserve"> [frontons].  Il faut manger et boire les biens de la terre.  Il faudra aimer, du corps et se faire lapider[,] après une belle résistance, serait un beau sort."</w:t>
      </w:r>
    </w:p>
    <w:p w:rsidR="003B4BBC" w:rsidRPr="00CD4B84" w:rsidRDefault="003B4BBC" w:rsidP="00D422F6">
      <w:pPr>
        <w:widowControl w:val="0"/>
        <w:autoSpaceDE w:val="0"/>
        <w:autoSpaceDN w:val="0"/>
        <w:adjustRightInd w:val="0"/>
        <w:jc w:val="both"/>
        <w:rPr>
          <w:sz w:val="28"/>
          <w:szCs w:val="28"/>
          <w:lang w:val="fr-FR"/>
        </w:rPr>
      </w:pPr>
    </w:p>
    <w:p w:rsidR="003B4BBC" w:rsidRPr="00CD4B84" w:rsidRDefault="003B4BBC" w:rsidP="00D422F6">
      <w:pPr>
        <w:widowControl w:val="0"/>
        <w:autoSpaceDE w:val="0"/>
        <w:autoSpaceDN w:val="0"/>
        <w:adjustRightInd w:val="0"/>
        <w:jc w:val="both"/>
        <w:rPr>
          <w:sz w:val="28"/>
          <w:szCs w:val="28"/>
          <w:lang w:val="fr-FR"/>
        </w:rPr>
      </w:pPr>
      <w:r w:rsidRPr="00CD4B84">
        <w:rPr>
          <w:sz w:val="28"/>
          <w:szCs w:val="28"/>
          <w:lang w:val="fr-FR"/>
        </w:rPr>
        <w:t>"Il faut, il faut.  Je ne m'échappe pas.  Il faut, du dogme de nouveau.  Un air dur, et du fouet pour ceux qui ne veulent pas."</w:t>
      </w:r>
    </w:p>
    <w:p w:rsidR="003B4BBC" w:rsidRPr="00CD4B84" w:rsidRDefault="003B4BBC" w:rsidP="00D422F6">
      <w:pPr>
        <w:widowControl w:val="0"/>
        <w:autoSpaceDE w:val="0"/>
        <w:autoSpaceDN w:val="0"/>
        <w:adjustRightInd w:val="0"/>
        <w:jc w:val="both"/>
        <w:rPr>
          <w:sz w:val="28"/>
          <w:szCs w:val="28"/>
          <w:lang w:val="fr-FR"/>
        </w:rPr>
      </w:pPr>
    </w:p>
    <w:p w:rsidR="003B4BBC" w:rsidRDefault="003B4BBC" w:rsidP="00D422F6">
      <w:pPr>
        <w:widowControl w:val="0"/>
        <w:autoSpaceDE w:val="0"/>
        <w:autoSpaceDN w:val="0"/>
        <w:adjustRightInd w:val="0"/>
        <w:jc w:val="both"/>
        <w:rPr>
          <w:b/>
          <w:bCs/>
          <w:sz w:val="28"/>
          <w:szCs w:val="28"/>
        </w:rPr>
      </w:pPr>
      <w:r>
        <w:rPr>
          <w:b/>
          <w:bCs/>
          <w:sz w:val="28"/>
          <w:szCs w:val="28"/>
        </w:rPr>
        <w:t>B.2 Design and Depression</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In the </w:t>
      </w:r>
      <w:smartTag w:uri="urn:schemas-microsoft-com:office:smarttags" w:element="place">
        <w:smartTag w:uri="urn:schemas-microsoft-com:office:smarttags" w:element="country-region">
          <w:r>
            <w:rPr>
              <w:sz w:val="28"/>
              <w:szCs w:val="28"/>
            </w:rPr>
            <w:t>United States</w:t>
          </w:r>
        </w:smartTag>
      </w:smartTag>
      <w:r>
        <w:rPr>
          <w:sz w:val="28"/>
          <w:szCs w:val="28"/>
        </w:rPr>
        <w:t xml:space="preserve">, industrial design emerged as a full-fledged profession after World War I, but it took over centre stage during the Depression, when increased competition made it imperative for companies to differentiate the looks of their products.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shock of the Depression in </w:t>
      </w:r>
      <w:smartTag w:uri="urn:schemas-microsoft-com:office:smarttags" w:element="place">
        <w:r>
          <w:rPr>
            <w:sz w:val="28"/>
            <w:szCs w:val="28"/>
          </w:rPr>
          <w:t>North America</w:t>
        </w:r>
      </w:smartTag>
      <w:r>
        <w:rPr>
          <w:sz w:val="28"/>
          <w:szCs w:val="28"/>
        </w:rPr>
        <w:t xml:space="preserve"> cannot be understated.  In 1929 prices, real output fell from $103.1 billion in 1929 to $73.7 billion in 1933.  Private construction (residential housing and business) did not </w:t>
      </w:r>
      <w:r>
        <w:rPr>
          <w:sz w:val="28"/>
          <w:szCs w:val="28"/>
        </w:rPr>
        <w:lastRenderedPageBreak/>
        <w:t xml:space="preserve">recover until the 1950s.  Over four million passenger cars had been produced in 1929, a level that was not equalled again until 1950.  (Chaplin's </w:t>
      </w:r>
      <w:r>
        <w:rPr>
          <w:i/>
          <w:iCs/>
          <w:sz w:val="28"/>
          <w:szCs w:val="28"/>
        </w:rPr>
        <w:t>Modern Times</w:t>
      </w:r>
      <w:r>
        <w:rPr>
          <w:sz w:val="28"/>
          <w:szCs w:val="28"/>
        </w:rPr>
        <w:t xml:space="preserve"> illustrates the effect of this crash on former assembly line workers.)  Unemployment shot up from 3.2% in 1929, peaking at 25% in 1933, and it remained as high as 19% in 1938.  In such a context where the market had effectively shrunk, any edge counted.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The investment in design was part of other investments by the largest corporations of the day (RCA, AT&amp;T, IBM, Dupont, Alcoa, Ford, GM, Kodak, General Electric).  Relying on their own privately funded research and development, they turned out new or improved consumer products (the television, nationwide long-distance calling, nylon, Plexiglas, Lucite, cars with power steering and automatic transmissions) and in some cases returned to profitability before the beginning of World War II.</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By 1944, sixteen professional designers, including Raymond Loewy and Henry Dreyfuss, could form a Society of Industrial Designers.  Unlike many of their European colleagues, employed by large companies, </w:t>
      </w:r>
      <w:smartTag w:uri="urn:schemas-microsoft-com:office:smarttags" w:element="place">
        <w:smartTag w:uri="urn:schemas-microsoft-com:office:smarttags" w:element="country-region">
          <w:r>
            <w:rPr>
              <w:sz w:val="28"/>
              <w:szCs w:val="28"/>
            </w:rPr>
            <w:t>U.S.</w:t>
          </w:r>
        </w:smartTag>
      </w:smartTag>
      <w:r>
        <w:rPr>
          <w:sz w:val="28"/>
          <w:szCs w:val="28"/>
        </w:rPr>
        <w:t xml:space="preserve"> designers were consultants for the most part.  This may explain the cross-fertilization that is so evident in the work of designers such as Buckminster Fuller and Norman Bel Geddes.  Indeed, Bel Geddes was a dominant figure of the interwar period.  In 1932, he penned an important book, </w:t>
      </w:r>
      <w:r>
        <w:rPr>
          <w:i/>
          <w:iCs/>
          <w:sz w:val="28"/>
          <w:szCs w:val="28"/>
        </w:rPr>
        <w:t>Horizons</w:t>
      </w:r>
      <w:r>
        <w:rPr>
          <w:sz w:val="28"/>
          <w:szCs w:val="28"/>
        </w:rPr>
        <w:t>, on the streamlining used for the era's new locomotives and thus encouraged the streamlining craze of the time—in ways that made sense for cars, trains, and planes, but really did not for more mundane consumer products.  Bel Geddes came up with a series of grandiose schemes (such as huge hydroplanes) that culminated in his model city for 1960, "Futurama", created for the World's Fair of 1939-1940.  Other dreams for the future were embodied in the World's Fair "Democracity", a combination of metropolis and garden cities linked by highways.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designers working on the largest scales, imagining cities, residential suburbs, urban lay-outs, and modern high-rises drew on the ideas put forward by visionary architects, artists, and assorted thinkers—such as the Italian </w:t>
      </w:r>
      <w:r>
        <w:rPr>
          <w:sz w:val="28"/>
          <w:szCs w:val="28"/>
          <w:u w:val="single"/>
        </w:rPr>
        <w:t>Futurists</w:t>
      </w:r>
      <w:r>
        <w:rPr>
          <w:sz w:val="28"/>
          <w:szCs w:val="28"/>
        </w:rPr>
        <w:t xml:space="preserve">—who had been reflecting on the possible uses of new materials and building techniques since the turn of the twentieth century.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European and North American cities seemed to be growing unstoppably, and the dreary tenements of </w:t>
      </w:r>
      <w:smartTag w:uri="urn:schemas-microsoft-com:office:smarttags" w:element="place">
        <w:smartTag w:uri="urn:schemas-microsoft-com:office:smarttags" w:element="State">
          <w:r>
            <w:rPr>
              <w:sz w:val="28"/>
              <w:szCs w:val="28"/>
            </w:rPr>
            <w:t>New York</w:t>
          </w:r>
        </w:smartTag>
      </w:smartTag>
      <w:r>
        <w:rPr>
          <w:sz w:val="28"/>
          <w:szCs w:val="28"/>
        </w:rPr>
        <w:t xml:space="preserve"> were not an inspiring vision of what the future could hold.  They were crowded (when they weren't overcrowded), </w:t>
      </w:r>
      <w:r>
        <w:rPr>
          <w:sz w:val="28"/>
          <w:szCs w:val="28"/>
        </w:rPr>
        <w:lastRenderedPageBreak/>
        <w:t xml:space="preserve">noisy, often dirty, and lacked any kind of greenery.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ideal of the "garden city", mixing houses, tree-lined streets, and gardens, had been presented at the end of the nineteenth century by Ebenezer Howard and a first attempt to turn the ideal into a reality was begun at Letchworth, in </w:t>
      </w:r>
      <w:smartTag w:uri="urn:schemas-microsoft-com:office:smarttags" w:element="place">
        <w:smartTag w:uri="urn:schemas-microsoft-com:office:smarttags" w:element="country-region">
          <w:r>
            <w:rPr>
              <w:sz w:val="28"/>
              <w:szCs w:val="28"/>
            </w:rPr>
            <w:t>Great Britain</w:t>
          </w:r>
        </w:smartTag>
      </w:smartTag>
      <w:r>
        <w:rPr>
          <w:sz w:val="28"/>
          <w:szCs w:val="28"/>
        </w:rPr>
        <w:t xml:space="preserve">.  Both in </w:t>
      </w:r>
      <w:smartTag w:uri="urn:schemas-microsoft-com:office:smarttags" w:element="country-region">
        <w:r>
          <w:rPr>
            <w:sz w:val="28"/>
            <w:szCs w:val="28"/>
          </w:rPr>
          <w:t>Britain</w:t>
        </w:r>
      </w:smartTag>
      <w:r>
        <w:rPr>
          <w:sz w:val="28"/>
          <w:szCs w:val="28"/>
        </w:rPr>
        <w:t xml:space="preserve"> and in the </w:t>
      </w:r>
      <w:smartTag w:uri="urn:schemas-microsoft-com:office:smarttags" w:element="place">
        <w:smartTag w:uri="urn:schemas-microsoft-com:office:smarttags" w:element="country-region">
          <w:r>
            <w:rPr>
              <w:sz w:val="28"/>
              <w:szCs w:val="28"/>
            </w:rPr>
            <w:t>United States</w:t>
          </w:r>
        </w:smartTag>
      </w:smartTag>
      <w:r>
        <w:rPr>
          <w:sz w:val="28"/>
          <w:szCs w:val="28"/>
        </w:rPr>
        <w:t>, those who could afford it had long built their homes outside cities, on the model of the aristocracy's country estates.  In the nineteenth century, trains and streetcars had allowed a first wave of homeowners to live in outlying villages and the countryside, while commuting to work downtown.  They took advantage of cheaper land to build comfortable homes surrounded with sizable yards and gardens.  Developers might invest in the creation of a whole neighbourhood for the well-heeled, but little thought was given to creating wholesale suburbs.  The "garden city" was something new because it would offer the advantage of greener surroundings to more people than ever before.</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The "garden city" was an attractive ideal, but it was far from perfectly realized by the new suburbs.  As motor cars and buses made it possible for more employees to commute, many found housing in the subdivisions being developed by the 1920s.  Suburban bungalows were a far cry from the genteel homes of nineteenth-century commuters, but they were not tenements or flats in a treeless city block.</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By the 1930s, the "garden city" was linked by planners (such as French architect Jacques Gréber) with the ideal of the "greenbelt", a ring of greenery (woods, fields) to be maintained around downtown cores in order to restrict development.  Suburbs built within the greenbelt or beyond it would respect the environment and serve strictly residential purposes.  One such suburb was built on the outskirts of </w:t>
      </w:r>
      <w:smartTag w:uri="urn:schemas-microsoft-com:office:smarttags" w:element="City">
        <w:r>
          <w:rPr>
            <w:sz w:val="28"/>
            <w:szCs w:val="28"/>
          </w:rPr>
          <w:t>Washington</w:t>
        </w:r>
      </w:smartTag>
      <w:r>
        <w:rPr>
          <w:sz w:val="28"/>
          <w:szCs w:val="28"/>
        </w:rPr>
        <w:t xml:space="preserve">, </w:t>
      </w:r>
      <w:smartTag w:uri="urn:schemas-microsoft-com:office:smarttags" w:element="State">
        <w:r>
          <w:rPr>
            <w:sz w:val="28"/>
            <w:szCs w:val="28"/>
          </w:rPr>
          <w:t>DC</w:t>
        </w:r>
      </w:smartTag>
      <w:r>
        <w:rPr>
          <w:sz w:val="28"/>
          <w:szCs w:val="28"/>
        </w:rPr>
        <w:t xml:space="preserve">, and actually called </w:t>
      </w:r>
      <w:smartTag w:uri="urn:schemas-microsoft-com:office:smarttags" w:element="City">
        <w:r>
          <w:rPr>
            <w:sz w:val="28"/>
            <w:szCs w:val="28"/>
          </w:rPr>
          <w:t>Greenbelt</w:t>
        </w:r>
      </w:smartTag>
      <w:r>
        <w:rPr>
          <w:sz w:val="28"/>
          <w:szCs w:val="28"/>
        </w:rPr>
        <w:t xml:space="preserve"> (</w:t>
      </w:r>
      <w:smartTag w:uri="urn:schemas-microsoft-com:office:smarttags" w:element="place">
        <w:smartTag w:uri="urn:schemas-microsoft-com:office:smarttags" w:element="State">
          <w:r>
            <w:rPr>
              <w:sz w:val="28"/>
              <w:szCs w:val="28"/>
            </w:rPr>
            <w:t>Maryland</w:t>
          </w:r>
        </w:smartTag>
      </w:smartTag>
      <w:r>
        <w:rPr>
          <w:sz w:val="28"/>
          <w:szCs w:val="28"/>
        </w:rPr>
        <w:t xml:space="preserve">), as part of research by the U.S. Federal Housing Authority in the best way of building subdivisions designed for the automobile while providing low-income families with economical housing.  (The actual building of these model suburbs was also intended to provide much-needed work during the Great Depression, but it turned out to be undertaken first to provide housing for war-time employees in </w:t>
      </w:r>
      <w:smartTag w:uri="urn:schemas-microsoft-com:office:smarttags" w:element="place">
        <w:smartTag w:uri="urn:schemas-microsoft-com:office:smarttags" w:element="State">
          <w:r>
            <w:rPr>
              <w:sz w:val="28"/>
              <w:szCs w:val="28"/>
            </w:rPr>
            <w:t>Washington</w:t>
          </w:r>
        </w:smartTag>
      </w:smartTag>
      <w:r>
        <w:rPr>
          <w:sz w:val="28"/>
          <w:szCs w:val="28"/>
        </w:rPr>
        <w:t>.)</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The "garden city" model aimed to improve living conditions, but it failed to convince many people that it could accommodate the large numbers of people flocking to cities, pushed off the land by the rising efficiencies of industrial farming, and attracted by the jobs offered by new industries.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The solution put forward by some at the outset of the twentieth century was the "vertical city":  immense high-rises set in the middle of parks and gardens, thus combining green space and accommodation for large numbers of residents.  At the time, high rises were still exceptional, a few reaching ten, twenty or thirty floors in North American cities.  Most were designed for banks, offices, hotels.  While architects like Perret (France) and Le Corbusier (</w:t>
      </w:r>
      <w:smartTag w:uri="urn:schemas-microsoft-com:office:smarttags" w:element="place">
        <w:smartTag w:uri="urn:schemas-microsoft-com:office:smarttags" w:element="country-region">
          <w:r>
            <w:rPr>
              <w:sz w:val="28"/>
              <w:szCs w:val="28"/>
            </w:rPr>
            <w:t>Switzerland</w:t>
          </w:r>
        </w:smartTag>
      </w:smartTag>
      <w:r>
        <w:rPr>
          <w:sz w:val="28"/>
          <w:szCs w:val="28"/>
        </w:rPr>
        <w:t xml:space="preserve">) envisioned such vertical cities as a practical solution, others liked them for their </w:t>
      </w:r>
      <w:r>
        <w:rPr>
          <w:b/>
          <w:bCs/>
          <w:sz w:val="28"/>
          <w:szCs w:val="28"/>
          <w:u w:val="single"/>
        </w:rPr>
        <w:t>modern</w:t>
      </w:r>
      <w:r>
        <w:rPr>
          <w:sz w:val="28"/>
          <w:szCs w:val="28"/>
        </w:rPr>
        <w:t xml:space="preserve">, esthetic qualities.  In </w:t>
      </w:r>
      <w:smartTag w:uri="urn:schemas-microsoft-com:office:smarttags" w:element="place">
        <w:smartTag w:uri="urn:schemas-microsoft-com:office:smarttags" w:element="country-region">
          <w:r>
            <w:rPr>
              <w:sz w:val="28"/>
              <w:szCs w:val="28"/>
            </w:rPr>
            <w:t>Italy</w:t>
          </w:r>
        </w:smartTag>
      </w:smartTag>
      <w:r>
        <w:rPr>
          <w:sz w:val="28"/>
          <w:szCs w:val="28"/>
        </w:rPr>
        <w:t>, Sant'Elia drew tall buildings whose strong, simple, and geometrical shapes echoed the abstract artworks of later artists such as Mondriaan and Vasarely.</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Industrial designers do not introduce new technological devices.  They rarely offer new motors, new tools, new machines or new sciences.  However, they may be said to work entirely at the systems level.  By determining what function a technology must serve, they make choices and either include or exclude both specific devices and specific materials in and from a given product.  In 1939, at the World Fair, they got the chance to imagine how the world of 1960 would look.  In so doing, they actually influenced how it ended up looking.</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Many of their dreams were realized during the ensuing decades.  The hopes for better living through technology even survived the shock of </w:t>
      </w:r>
      <w:smartTag w:uri="urn:schemas-microsoft-com:office:smarttags" w:element="place">
        <w:smartTag w:uri="urn:schemas-microsoft-com:office:smarttags" w:element="City">
          <w:r>
            <w:rPr>
              <w:sz w:val="28"/>
              <w:szCs w:val="28"/>
            </w:rPr>
            <w:t>Hiroshima</w:t>
          </w:r>
        </w:smartTag>
      </w:smartTag>
      <w:r>
        <w:rPr>
          <w:sz w:val="28"/>
          <w:szCs w:val="28"/>
        </w:rPr>
        <w:t xml:space="preserve"> and atomic power was incorporated in North American dreams of a clean and shining Jetsons future.  </w:t>
      </w:r>
    </w:p>
    <w:p w:rsidR="003B4BBC" w:rsidRDefault="003B4BBC" w:rsidP="00D422F6">
      <w:pPr>
        <w:widowControl w:val="0"/>
        <w:autoSpaceDE w:val="0"/>
        <w:autoSpaceDN w:val="0"/>
        <w:adjustRightInd w:val="0"/>
        <w:jc w:val="both"/>
        <w:rPr>
          <w:sz w:val="28"/>
          <w:szCs w:val="28"/>
        </w:rPr>
      </w:pPr>
    </w:p>
    <w:p w:rsidR="003B4BBC" w:rsidRPr="00CD4B84" w:rsidRDefault="003B4BBC" w:rsidP="00D422F6">
      <w:pPr>
        <w:widowControl w:val="0"/>
        <w:autoSpaceDE w:val="0"/>
        <w:autoSpaceDN w:val="0"/>
        <w:adjustRightInd w:val="0"/>
        <w:jc w:val="both"/>
        <w:rPr>
          <w:sz w:val="28"/>
          <w:szCs w:val="28"/>
        </w:rPr>
      </w:pPr>
      <w:r w:rsidRPr="00CD4B84">
        <w:rPr>
          <w:sz w:val="28"/>
          <w:szCs w:val="28"/>
        </w:rPr>
        <w:t xml:space="preserve">In 1953, faced with a developing nuclear arms race, the </w:t>
      </w:r>
      <w:smartTag w:uri="urn:schemas-microsoft-com:office:smarttags" w:element="place">
        <w:smartTag w:uri="urn:schemas-microsoft-com:office:smarttags" w:element="country-region">
          <w:r w:rsidRPr="00CD4B84">
            <w:rPr>
              <w:sz w:val="28"/>
              <w:szCs w:val="28"/>
            </w:rPr>
            <w:t>United States</w:t>
          </w:r>
        </w:smartTag>
      </w:smartTag>
      <w:r w:rsidRPr="00CD4B84">
        <w:rPr>
          <w:sz w:val="28"/>
          <w:szCs w:val="28"/>
        </w:rPr>
        <w:t xml:space="preserve"> attempted to put more weight on the peaceful possibilities of atomic power.  In a speech at the United Nations on December 8, 1953, president Dwight Eisenhower called for the creation of what became the IAEA (International Atomic Energy Agency) in 1957 and proclaimed that, "The more important responsibility of this atomic energy agency would be to devise methods whereby this fissionable material would be allocated to serve the peaceful pursuits of mankind.  Experts would be mobilized to apply atomic energy to the needs of agriculture, medicine, and other peaceful activities.  A special purpose would be to provide abundant electrical energy in the power-starved areas of the world."</w:t>
      </w:r>
    </w:p>
    <w:p w:rsidR="003B4BBC" w:rsidRPr="00CD4B84"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w:t>
      </w:r>
      <w:r>
        <w:rPr>
          <w:sz w:val="28"/>
          <w:szCs w:val="28"/>
          <w:u w:val="single"/>
        </w:rPr>
        <w:t>Atoms For Peace</w:t>
      </w:r>
      <w:r w:rsidRPr="00CD4B84">
        <w:rPr>
          <w:sz w:val="28"/>
          <w:szCs w:val="28"/>
        </w:rPr>
        <w:t xml:space="preserve"> program comprised in fact a series of different governmental initiatives to pursue nuclear power.  Atoms For Peace also </w:t>
      </w:r>
      <w:r w:rsidRPr="00CD4B84">
        <w:rPr>
          <w:sz w:val="28"/>
          <w:szCs w:val="28"/>
        </w:rPr>
        <w:lastRenderedPageBreak/>
        <w:t xml:space="preserve">inspired an outpouring of ideas for applications that would counterbalance </w:t>
      </w:r>
      <w:r>
        <w:rPr>
          <w:sz w:val="28"/>
          <w:szCs w:val="28"/>
        </w:rPr>
        <w:t>the threatening image of nuclear weapons.  Nuclear energy was to be applied to food irradiation, curing cancer, plant breeding, blight and pest control...  The more forbidding the menace of nuclear weapons, the more extraordinary the efforts to find a silver lining:  digging a sea-level Panama Canal with bombs, using nuclear-powered desalting plants to irrigate the arid coastal lands of the world, cars powered by atomic reactors, artificial suns...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Even today, arguments are still made </w:t>
      </w:r>
      <w:bookmarkStart w:id="0" w:name="_GoBack"/>
      <w:bookmarkEnd w:id="0"/>
      <w:r>
        <w:rPr>
          <w:sz w:val="28"/>
          <w:szCs w:val="28"/>
        </w:rPr>
        <w:t>for peaceful or world-saving uses of nuclear bombs, as the NASA recently did in a March 2007 report, "Near-Earth Object Survey and Deflection Analysis of Alternatives", proposing to use them to deflect asteroids threatening to hit the Earth.</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Yet, it was increasingly realized that radioactivity was dangerous.  Before World War II, a short-lived fad for watches with luminescent dials led to the use of radium in some cases and the workers painting the dials, often cleaning the delicate brushes with their fingers or lips, later came down with various cancers.  And the sale of radioactive water as a health drink lead to widely publicized premature deaths.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color w:val="000000"/>
          <w:sz w:val="20"/>
          <w:szCs w:val="20"/>
        </w:rPr>
        <w:t xml:space="preserve">[Moses Abramowitz and Paul David, "American Macroeconomic Growth in the Era of Knowledge-Based Progress:  The Long Run Perspective", in </w:t>
      </w:r>
      <w:r>
        <w:rPr>
          <w:i/>
          <w:iCs/>
          <w:color w:val="000000"/>
          <w:sz w:val="20"/>
          <w:szCs w:val="20"/>
        </w:rPr>
        <w:t xml:space="preserve">The </w:t>
      </w:r>
      <w:smartTag w:uri="urn:schemas-microsoft-com:office:smarttags" w:element="City">
        <w:r>
          <w:rPr>
            <w:i/>
            <w:iCs/>
            <w:color w:val="000000"/>
            <w:sz w:val="20"/>
            <w:szCs w:val="20"/>
          </w:rPr>
          <w:t>Cambridge</w:t>
        </w:r>
      </w:smartTag>
      <w:r>
        <w:rPr>
          <w:i/>
          <w:iCs/>
          <w:color w:val="000000"/>
          <w:sz w:val="20"/>
          <w:szCs w:val="20"/>
        </w:rPr>
        <w:t xml:space="preserve"> Economic History of the </w:t>
      </w:r>
      <w:smartTag w:uri="urn:schemas-microsoft-com:office:smarttags" w:element="place">
        <w:smartTag w:uri="urn:schemas-microsoft-com:office:smarttags" w:element="country-region">
          <w:r>
            <w:rPr>
              <w:i/>
              <w:iCs/>
              <w:color w:val="000000"/>
              <w:sz w:val="20"/>
              <w:szCs w:val="20"/>
            </w:rPr>
            <w:t>United States</w:t>
          </w:r>
        </w:smartTag>
      </w:smartTag>
      <w:r>
        <w:rPr>
          <w:color w:val="000000"/>
          <w:sz w:val="20"/>
          <w:szCs w:val="20"/>
        </w:rPr>
        <w:t xml:space="preserve">, Vol.  III, </w:t>
      </w:r>
      <w:smartTag w:uri="urn:schemas-microsoft-com:office:smarttags" w:element="place">
        <w:smartTag w:uri="urn:schemas-microsoft-com:office:smarttags" w:element="City">
          <w:r>
            <w:rPr>
              <w:color w:val="000000"/>
              <w:sz w:val="20"/>
              <w:szCs w:val="20"/>
            </w:rPr>
            <w:t>Stanley</w:t>
          </w:r>
        </w:smartTag>
      </w:smartTag>
      <w:r>
        <w:rPr>
          <w:color w:val="000000"/>
          <w:sz w:val="20"/>
          <w:szCs w:val="20"/>
        </w:rPr>
        <w:t xml:space="preserve"> Engerman and Robert Gallman, eds.  (</w:t>
      </w:r>
      <w:smartTag w:uri="urn:schemas-microsoft-com:office:smarttags" w:element="City">
        <w:r>
          <w:rPr>
            <w:color w:val="000000"/>
            <w:sz w:val="20"/>
            <w:szCs w:val="20"/>
          </w:rPr>
          <w:t>Cambridge</w:t>
        </w:r>
      </w:smartTag>
      <w:r>
        <w:rPr>
          <w:color w:val="000000"/>
          <w:sz w:val="20"/>
          <w:szCs w:val="20"/>
        </w:rPr>
        <w:t xml:space="preserve">:  </w:t>
      </w:r>
      <w:smartTag w:uri="urn:schemas-microsoft-com:office:smarttags" w:element="PlaceName">
        <w:r>
          <w:rPr>
            <w:color w:val="000000"/>
            <w:sz w:val="20"/>
            <w:szCs w:val="20"/>
          </w:rPr>
          <w:t>Cambridge</w:t>
        </w:r>
      </w:smartTag>
      <w:r>
        <w:rPr>
          <w:color w:val="000000"/>
          <w:sz w:val="20"/>
          <w:szCs w:val="20"/>
        </w:rPr>
        <w:t xml:space="preserve"> </w:t>
      </w:r>
      <w:smartTag w:uri="urn:schemas-microsoft-com:office:smarttags" w:element="PlaceType">
        <w:r>
          <w:rPr>
            <w:color w:val="000000"/>
            <w:sz w:val="20"/>
            <w:szCs w:val="20"/>
          </w:rPr>
          <w:t>University</w:t>
        </w:r>
      </w:smartTag>
      <w:r>
        <w:rPr>
          <w:color w:val="000000"/>
          <w:sz w:val="20"/>
          <w:szCs w:val="20"/>
        </w:rPr>
        <w:t xml:space="preserve"> Press), pp. 1-92; Louis Galambos, "The </w:t>
      </w:r>
      <w:smartTag w:uri="urn:schemas-microsoft-com:office:smarttags" w:element="country-region">
        <w:r>
          <w:rPr>
            <w:color w:val="000000"/>
            <w:sz w:val="20"/>
            <w:szCs w:val="20"/>
          </w:rPr>
          <w:t>U.S.</w:t>
        </w:r>
      </w:smartTag>
      <w:r>
        <w:rPr>
          <w:color w:val="000000"/>
          <w:sz w:val="20"/>
          <w:szCs w:val="20"/>
        </w:rPr>
        <w:t xml:space="preserve"> Corporate Economy in the Twentieth Century", in </w:t>
      </w:r>
      <w:r>
        <w:rPr>
          <w:i/>
          <w:iCs/>
          <w:color w:val="000000"/>
          <w:sz w:val="20"/>
          <w:szCs w:val="20"/>
        </w:rPr>
        <w:t xml:space="preserve">The </w:t>
      </w:r>
      <w:smartTag w:uri="urn:schemas-microsoft-com:office:smarttags" w:element="City">
        <w:r>
          <w:rPr>
            <w:i/>
            <w:iCs/>
            <w:color w:val="000000"/>
            <w:sz w:val="20"/>
            <w:szCs w:val="20"/>
          </w:rPr>
          <w:t>Cambridge</w:t>
        </w:r>
      </w:smartTag>
      <w:r>
        <w:rPr>
          <w:i/>
          <w:iCs/>
          <w:color w:val="000000"/>
          <w:sz w:val="20"/>
          <w:szCs w:val="20"/>
        </w:rPr>
        <w:t xml:space="preserve"> Economic History of the </w:t>
      </w:r>
      <w:smartTag w:uri="urn:schemas-microsoft-com:office:smarttags" w:element="place">
        <w:smartTag w:uri="urn:schemas-microsoft-com:office:smarttags" w:element="country-region">
          <w:r>
            <w:rPr>
              <w:i/>
              <w:iCs/>
              <w:color w:val="000000"/>
              <w:sz w:val="20"/>
              <w:szCs w:val="20"/>
            </w:rPr>
            <w:t>United States</w:t>
          </w:r>
        </w:smartTag>
      </w:smartTag>
      <w:r>
        <w:rPr>
          <w:color w:val="000000"/>
          <w:sz w:val="20"/>
          <w:szCs w:val="20"/>
        </w:rPr>
        <w:t xml:space="preserve">, Vol.  III, </w:t>
      </w:r>
      <w:smartTag w:uri="urn:schemas-microsoft-com:office:smarttags" w:element="place">
        <w:smartTag w:uri="urn:schemas-microsoft-com:office:smarttags" w:element="City">
          <w:r>
            <w:rPr>
              <w:color w:val="000000"/>
              <w:sz w:val="20"/>
              <w:szCs w:val="20"/>
            </w:rPr>
            <w:t>Stanley</w:t>
          </w:r>
        </w:smartTag>
      </w:smartTag>
      <w:r>
        <w:rPr>
          <w:color w:val="000000"/>
          <w:sz w:val="20"/>
          <w:szCs w:val="20"/>
        </w:rPr>
        <w:t xml:space="preserve"> Engerman and Robert Gallman, eds.  (</w:t>
      </w:r>
      <w:smartTag w:uri="urn:schemas-microsoft-com:office:smarttags" w:element="City">
        <w:r>
          <w:rPr>
            <w:color w:val="000000"/>
            <w:sz w:val="20"/>
            <w:szCs w:val="20"/>
          </w:rPr>
          <w:t>Cambridge</w:t>
        </w:r>
      </w:smartTag>
      <w:r>
        <w:rPr>
          <w:color w:val="000000"/>
          <w:sz w:val="20"/>
          <w:szCs w:val="20"/>
        </w:rPr>
        <w:t xml:space="preserve">:  </w:t>
      </w:r>
      <w:smartTag w:uri="urn:schemas-microsoft-com:office:smarttags" w:element="place">
        <w:smartTag w:uri="urn:schemas-microsoft-com:office:smarttags" w:element="PlaceName">
          <w:r>
            <w:rPr>
              <w:color w:val="000000"/>
              <w:sz w:val="20"/>
              <w:szCs w:val="20"/>
            </w:rPr>
            <w:t>Cambridge</w:t>
          </w:r>
        </w:smartTag>
        <w:r>
          <w:rPr>
            <w:color w:val="000000"/>
            <w:sz w:val="20"/>
            <w:szCs w:val="20"/>
          </w:rPr>
          <w:t xml:space="preserve"> </w:t>
        </w:r>
        <w:smartTag w:uri="urn:schemas-microsoft-com:office:smarttags" w:element="PlaceType">
          <w:r>
            <w:rPr>
              <w:color w:val="000000"/>
              <w:sz w:val="20"/>
              <w:szCs w:val="20"/>
            </w:rPr>
            <w:t>University</w:t>
          </w:r>
        </w:smartTag>
      </w:smartTag>
      <w:r>
        <w:rPr>
          <w:color w:val="000000"/>
          <w:sz w:val="20"/>
          <w:szCs w:val="20"/>
        </w:rPr>
        <w:t xml:space="preserve"> Press), pp. 927-968.]</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b/>
          <w:bCs/>
          <w:sz w:val="28"/>
          <w:szCs w:val="28"/>
        </w:rPr>
      </w:pPr>
      <w:r>
        <w:rPr>
          <w:b/>
          <w:bCs/>
          <w:sz w:val="28"/>
          <w:szCs w:val="28"/>
        </w:rPr>
        <w:t>C.  Organizing Research</w:t>
      </w:r>
    </w:p>
    <w:p w:rsidR="003B4BBC" w:rsidRDefault="003B4BBC" w:rsidP="00D422F6">
      <w:pPr>
        <w:widowControl w:val="0"/>
        <w:autoSpaceDE w:val="0"/>
        <w:autoSpaceDN w:val="0"/>
        <w:adjustRightInd w:val="0"/>
        <w:jc w:val="both"/>
        <w:rPr>
          <w:b/>
          <w:bCs/>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grand hopes raised in connection with nuclear power were grounded in the obvious accomplishments that resulted from the growing exploitation of scientific results by inventors, engineers, and technicians.  The great inventors of the nineteenth century had often struck partnerships with scientists, such as that of Morse with Vail.  Thomas Alva Edison had employed scientists like </w:t>
      </w:r>
      <w:smartTag w:uri="urn:schemas-microsoft-com:office:smarttags" w:element="place">
        <w:smartTag w:uri="urn:schemas-microsoft-com:office:smarttags" w:element="City">
          <w:r>
            <w:rPr>
              <w:sz w:val="28"/>
              <w:szCs w:val="28"/>
            </w:rPr>
            <w:t>Upton</w:t>
          </w:r>
        </w:smartTag>
      </w:smartTag>
      <w:r>
        <w:rPr>
          <w:sz w:val="28"/>
          <w:szCs w:val="28"/>
        </w:rPr>
        <w:t xml:space="preserve"> as part of a formal research establishment.</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However, many other nineteenth-century inventors, from Stephenson down to the Wright brothers, had little or no formal education.  They were often experienced tinkerers who drew on new technological resources to come up with novel designs.  Books were published in the nineteenth-century which included long lists of simple machines and "mechanical movements".  These </w:t>
      </w:r>
      <w:r>
        <w:rPr>
          <w:sz w:val="28"/>
          <w:szCs w:val="28"/>
        </w:rPr>
        <w:lastRenderedPageBreak/>
        <w:t>were the building blocks of many humbler improvements and mechanical designs.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new faculties of science and engineering in </w:t>
      </w:r>
      <w:smartTag w:uri="urn:schemas-microsoft-com:office:smarttags" w:element="place">
        <w:smartTag w:uri="urn:schemas-microsoft-com:office:smarttags" w:element="country-region">
          <w:r>
            <w:rPr>
              <w:sz w:val="28"/>
              <w:szCs w:val="28"/>
            </w:rPr>
            <w:t>U.S.</w:t>
          </w:r>
        </w:smartTag>
      </w:smartTag>
      <w:r>
        <w:rPr>
          <w:sz w:val="28"/>
          <w:szCs w:val="28"/>
        </w:rPr>
        <w:t xml:space="preserve"> universities began to respond to the needs of industry around the 20th century.  At first, they'd responded to labour needs by turning out trained engineers and graduates with a basic grounding in science, mathematics, and practical skills who might find work of a technical nature.  The professors within those universities also came to the help of local industry facing practical problems by undertaking focused research projects.  In return, businesses would provide financial support.  In effect, universities substituted for commercial research when companies could not afford to have their own research laboratories, or needed something more.  Before World War II, however, this type of research was still conducted on a case-by-case basis and many professors pursued their own problems.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However, it was not so easy to keep track of the new discoveries made by scientists and to think of their potential applications.  Many of these had been accumulating quietly in laboratories, obscure papers for scientific journals, and dusty notebooks.  The Second World War was pivotal:  it spurred both new research (jet propulsion, rocket propulsion, the nuclear bomb) and systematic efforts to collect, examine, and apply older work (radar, antibiotics, chemical insecticides, analog and electronic digital computers).  Completely new research establishments were built up.  Teams of scientists and engineers collaborated in coordinated fashion.  More than ever before, university professors were called upon to share their time between teaching tasks and useful research.  All of them were directed to work closely with industry to ensure that what was found could be produced and manufactured in large quantities.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In 1940, even before the </w:t>
      </w:r>
      <w:smartTag w:uri="urn:schemas-microsoft-com:office:smarttags" w:element="place">
        <w:smartTag w:uri="urn:schemas-microsoft-com:office:smarttags" w:element="country-region">
          <w:r>
            <w:rPr>
              <w:sz w:val="28"/>
              <w:szCs w:val="28"/>
            </w:rPr>
            <w:t>United States</w:t>
          </w:r>
        </w:smartTag>
      </w:smartTag>
      <w:r>
        <w:rPr>
          <w:sz w:val="28"/>
          <w:szCs w:val="28"/>
        </w:rPr>
        <w:t xml:space="preserve"> entered World War II, Vannevar Bush convinced president Franklin Roosevelt to create the National Defense Research Committee (NDRC), chaired by Bush, to conduct research but not development work on weapons systems.  When this proved insufficient, Bush created and headed an even larger organization, the Office of Scientific Research and Development (OSRD), which subsumed the NDRC.  Originally, Bush had envisioned a decentralized system in which academic and industrial scientists remained in their home laboratories.  As the war effort expanded, it became necessary to create large central laboratories with the help of universities, such as the Radio Research Laboratory at Harvard </w:t>
      </w:r>
      <w:r>
        <w:rPr>
          <w:sz w:val="28"/>
          <w:szCs w:val="28"/>
        </w:rPr>
        <w:lastRenderedPageBreak/>
        <w:t xml:space="preserve">with 600 people or the Radiation Laboratory at MIT, with 4,000 employees.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The physics research laboratory set up at Los Alamos (</w:t>
      </w:r>
      <w:smartTag w:uri="urn:schemas-microsoft-com:office:smarttags" w:element="State">
        <w:r>
          <w:rPr>
            <w:sz w:val="28"/>
            <w:szCs w:val="28"/>
          </w:rPr>
          <w:t>New Mexico</w:t>
        </w:r>
      </w:smartTag>
      <w:r>
        <w:rPr>
          <w:sz w:val="28"/>
          <w:szCs w:val="28"/>
        </w:rPr>
        <w:t xml:space="preserve">) was even larger, a small city that was part of the Manhattan District Project along with plutonium-generating reactors in </w:t>
      </w:r>
      <w:smartTag w:uri="urn:schemas-microsoft-com:office:smarttags" w:element="City">
        <w:r>
          <w:rPr>
            <w:sz w:val="28"/>
            <w:szCs w:val="28"/>
          </w:rPr>
          <w:t>Hanford</w:t>
        </w:r>
      </w:smartTag>
      <w:r>
        <w:rPr>
          <w:sz w:val="28"/>
          <w:szCs w:val="28"/>
        </w:rPr>
        <w:t xml:space="preserve"> (</w:t>
      </w:r>
      <w:smartTag w:uri="urn:schemas-microsoft-com:office:smarttags" w:element="State">
        <w:r>
          <w:rPr>
            <w:sz w:val="28"/>
            <w:szCs w:val="28"/>
          </w:rPr>
          <w:t>Washington</w:t>
        </w:r>
      </w:smartTag>
      <w:r>
        <w:rPr>
          <w:sz w:val="28"/>
          <w:szCs w:val="28"/>
        </w:rPr>
        <w:t xml:space="preserve">) and a gaseous-diffusion facility at </w:t>
      </w:r>
      <w:smartTag w:uri="urn:schemas-microsoft-com:office:smarttags" w:element="City">
        <w:r>
          <w:rPr>
            <w:sz w:val="28"/>
            <w:szCs w:val="28"/>
          </w:rPr>
          <w:t>Oak Ridge</w:t>
        </w:r>
      </w:smartTag>
      <w:r>
        <w:rPr>
          <w:sz w:val="28"/>
          <w:szCs w:val="28"/>
        </w:rPr>
        <w:t xml:space="preserve"> (</w:t>
      </w:r>
      <w:smartTag w:uri="urn:schemas-microsoft-com:office:smarttags" w:element="place">
        <w:smartTag w:uri="urn:schemas-microsoft-com:office:smarttags" w:element="State">
          <w:r>
            <w:rPr>
              <w:sz w:val="28"/>
              <w:szCs w:val="28"/>
            </w:rPr>
            <w:t>Tennessee</w:t>
          </w:r>
        </w:smartTag>
      </w:smartTag>
      <w:r>
        <w:rPr>
          <w:sz w:val="28"/>
          <w:szCs w:val="28"/>
        </w:rPr>
        <w:t xml:space="preserve">).  At Los Alamos, scientists and engineers were gathered to design and build nuclear bombs using the materials produced in </w:t>
      </w:r>
      <w:smartTag w:uri="urn:schemas-microsoft-com:office:smarttags" w:element="City">
        <w:r>
          <w:rPr>
            <w:sz w:val="28"/>
            <w:szCs w:val="28"/>
          </w:rPr>
          <w:t>Hanford</w:t>
        </w:r>
      </w:smartTag>
      <w:r>
        <w:rPr>
          <w:sz w:val="28"/>
          <w:szCs w:val="28"/>
        </w:rPr>
        <w:t xml:space="preserve"> (plutonium) and </w:t>
      </w:r>
      <w:smartTag w:uri="urn:schemas-microsoft-com:office:smarttags" w:element="place">
        <w:smartTag w:uri="urn:schemas-microsoft-com:office:smarttags" w:element="City">
          <w:r>
            <w:rPr>
              <w:sz w:val="28"/>
              <w:szCs w:val="28"/>
            </w:rPr>
            <w:t>Oak Ridge</w:t>
          </w:r>
        </w:smartTag>
      </w:smartTag>
      <w:r>
        <w:rPr>
          <w:sz w:val="28"/>
          <w:szCs w:val="28"/>
        </w:rPr>
        <w:t xml:space="preserve"> (uranium).  Supplies also came from Canadian locations, such as Trail (heavy water) and Port Radium (fissile ores), while </w:t>
      </w:r>
      <w:smartTag w:uri="urn:schemas-microsoft-com:office:smarttags" w:element="country-region">
        <w:r>
          <w:rPr>
            <w:sz w:val="28"/>
            <w:szCs w:val="28"/>
          </w:rPr>
          <w:t>Canada</w:t>
        </w:r>
      </w:smartTag>
      <w:r>
        <w:rPr>
          <w:sz w:val="28"/>
          <w:szCs w:val="28"/>
        </w:rPr>
        <w:t xml:space="preserve"> hosted its own research laboratories, mostly in </w:t>
      </w:r>
      <w:smartTag w:uri="urn:schemas-microsoft-com:office:smarttags" w:element="City">
        <w:r>
          <w:rPr>
            <w:sz w:val="28"/>
            <w:szCs w:val="28"/>
          </w:rPr>
          <w:t>Montreal</w:t>
        </w:r>
      </w:smartTag>
      <w:r>
        <w:rPr>
          <w:sz w:val="28"/>
          <w:szCs w:val="28"/>
        </w:rPr>
        <w:t xml:space="preserve"> and in </w:t>
      </w:r>
      <w:smartTag w:uri="urn:schemas-microsoft-com:office:smarttags" w:element="place">
        <w:smartTag w:uri="urn:schemas-microsoft-com:office:smarttags" w:element="PlaceName">
          <w:r>
            <w:rPr>
              <w:sz w:val="28"/>
              <w:szCs w:val="28"/>
            </w:rPr>
            <w:t>Chalk</w:t>
          </w:r>
        </w:smartTag>
        <w:r>
          <w:rPr>
            <w:sz w:val="28"/>
            <w:szCs w:val="28"/>
          </w:rPr>
          <w:t xml:space="preserve"> </w:t>
        </w:r>
        <w:smartTag w:uri="urn:schemas-microsoft-com:office:smarttags" w:element="PlaceType">
          <w:r>
            <w:rPr>
              <w:sz w:val="28"/>
              <w:szCs w:val="28"/>
            </w:rPr>
            <w:t>River</w:t>
          </w:r>
        </w:smartTag>
      </w:smartTag>
      <w:r>
        <w:rPr>
          <w:sz w:val="28"/>
          <w:szCs w:val="28"/>
        </w:rPr>
        <w:t>.</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Set up in 1942-1943, the Manhattan District Project was sufficiently autonomous that atomic research ceased being a concern of the OSRD, which was free to focus on conventional research.  This work led to improvements in radar, sonar, proximity fuses, the electronic computer, etc.</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institutional arrangements (agencies, independent institutes, funding bodies) set up to carry out these tasks often remained in place after the war.  In 1945, in </w:t>
      </w:r>
      <w:r>
        <w:rPr>
          <w:i/>
          <w:iCs/>
          <w:sz w:val="28"/>
          <w:szCs w:val="28"/>
        </w:rPr>
        <w:t>Science</w:t>
      </w:r>
      <w:r>
        <w:rPr>
          <w:sz w:val="28"/>
          <w:szCs w:val="28"/>
        </w:rPr>
        <w:t>—</w:t>
      </w:r>
      <w:r>
        <w:rPr>
          <w:i/>
          <w:iCs/>
          <w:sz w:val="28"/>
          <w:szCs w:val="28"/>
        </w:rPr>
        <w:t>The Endless Frontier</w:t>
      </w:r>
      <w:r>
        <w:rPr>
          <w:sz w:val="28"/>
          <w:szCs w:val="28"/>
        </w:rPr>
        <w:t xml:space="preserve">, Vannevar Bush pushed for the creation of a permanent government body (a National Research Foundation) able to fund and manage research in the national interest.  His argument articulated what is sometimes called the "linear model" of innovation, where research flows into development, development leads to production, and production then allows the marketing of the resulting product.  Therefore, in order for the </w:t>
      </w:r>
      <w:smartTag w:uri="urn:schemas-microsoft-com:office:smarttags" w:element="place">
        <w:smartTag w:uri="urn:schemas-microsoft-com:office:smarttags" w:element="country-region">
          <w:r>
            <w:rPr>
              <w:sz w:val="28"/>
              <w:szCs w:val="28"/>
            </w:rPr>
            <w:t>United States</w:t>
          </w:r>
        </w:smartTag>
      </w:smartTag>
      <w:r>
        <w:rPr>
          <w:sz w:val="28"/>
          <w:szCs w:val="28"/>
        </w:rPr>
        <w:t xml:space="preserve"> to enjoy a continuous stream of new products and an expanding economy, research, both basic and applied, needed to be funded.</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Though Vannevar Bush did not get his wish right away, medical research, especially at universities, quickly obtained funding from the government, mainly through the National Institutes of Health.  Other research programs received help from the </w:t>
      </w:r>
      <w:r>
        <w:rPr>
          <w:sz w:val="28"/>
          <w:szCs w:val="28"/>
          <w:u w:val="single"/>
        </w:rPr>
        <w:t>Office of Naval Research</w:t>
      </w:r>
      <w:r>
        <w:rPr>
          <w:sz w:val="28"/>
          <w:szCs w:val="28"/>
        </w:rPr>
        <w:t xml:space="preserve"> (ONR), created in 1946.  By 1948, the ONR was funding 40% of all basic research in the </w:t>
      </w:r>
      <w:smartTag w:uri="urn:schemas-microsoft-com:office:smarttags" w:element="place">
        <w:smartTag w:uri="urn:schemas-microsoft-com:office:smarttags" w:element="country-region">
          <w:r>
            <w:rPr>
              <w:sz w:val="28"/>
              <w:szCs w:val="28"/>
            </w:rPr>
            <w:t>United States</w:t>
          </w:r>
        </w:smartTag>
      </w:smartTag>
      <w:r>
        <w:rPr>
          <w:sz w:val="28"/>
          <w:szCs w:val="28"/>
        </w:rPr>
        <w:t>, and its presence was particularly pronounced in the physical sciences, where nearly half of doctoral students in 1950 enjoyed its support.  In the computing field, ONR funds supported some important early projects, such as Project Whirlwind (based at MIT), the Hurricane machine at Raytheon, and Harvard's Mark III.</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lastRenderedPageBreak/>
        <w:t xml:space="preserve">In the </w:t>
      </w:r>
      <w:smartTag w:uri="urn:schemas-microsoft-com:office:smarttags" w:element="place">
        <w:smartTag w:uri="urn:schemas-microsoft-com:office:smarttags" w:element="country-region">
          <w:r>
            <w:rPr>
              <w:sz w:val="28"/>
              <w:szCs w:val="28"/>
            </w:rPr>
            <w:t>United States</w:t>
          </w:r>
        </w:smartTag>
      </w:smartTag>
      <w:r>
        <w:rPr>
          <w:sz w:val="28"/>
          <w:szCs w:val="28"/>
        </w:rPr>
        <w:t xml:space="preserve">, therefore, the military came to oversee (and control) a significant fraction of directed research.  In addition, military procurement contracts could prove extremely profitable for private companies bidding for tenders, and these might also fund R&amp;D accordingly (whether in-house or in partnership with university-based research).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One of the main organizers of this alliance, Vannevar Bush, was an academic, engineer, and entrepreneur who saw little that was wrong with such relationships.  Yet, by 1961, when former military man Dwight D. Eisenhower stepped down as president, Eisenhower sounded a note of worry about the "military-industrial complex" in his farewell address.  The scale and profitability of military industries bought them unheard-of influence.  At the very least, they would exert that influence to defend their reasons for existing at all, by supporting more alarming assessments of enemy threats, for instance.  Others might also intervene to preserve the complex because it was beneficial to them.  (In other words, Eisenhower feared that military industries were in a position to lobby effectively for expensive, high-tech weaponry and a permanently high level of preparedness for war.)</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military itself had also became a major political player in a way that it had never been before, especially in the </w:t>
      </w:r>
      <w:smartTag w:uri="urn:schemas-microsoft-com:office:smarttags" w:element="place">
        <w:smartTag w:uri="urn:schemas-microsoft-com:office:smarttags" w:element="country-region">
          <w:r>
            <w:rPr>
              <w:sz w:val="28"/>
              <w:szCs w:val="28"/>
            </w:rPr>
            <w:t>United States</w:t>
          </w:r>
        </w:smartTag>
      </w:smartTag>
      <w:r>
        <w:rPr>
          <w:sz w:val="28"/>
          <w:szCs w:val="28"/>
        </w:rPr>
        <w:t>.  Others criticized the military-industrial-academic "iron triangle" for its consumption of resources better used elsewhere, its bending of research to its own needs, its creation of supportive political constituencies, and its enrolling of academic legitimacy to endorse its ends.  Military contracts bought some of the professors' time, attention to problems selected for their military relevance, control of the publication of research results, and ownership of any new product yielded by such work.  Obvious consequences include the relative neglect of problems with no military relevance, the smaller share of the faculty's attention devoted to students, the work of graduate students on projects predetermined by funding, and the worrisome fact that some worthwhile results might remain secret (classified) for years.  In short, universities delivered research, products (inventions), and trained personnel (students who graduate as engineers or scientists).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w:t>
      </w:r>
      <w:smartTag w:uri="urn:schemas-microsoft-com:office:smarttags" w:element="place">
        <w:smartTag w:uri="urn:schemas-microsoft-com:office:smarttags" w:element="country-region">
          <w:r>
            <w:rPr>
              <w:sz w:val="28"/>
              <w:szCs w:val="28"/>
            </w:rPr>
            <w:t>United States</w:t>
          </w:r>
        </w:smartTag>
      </w:smartTag>
      <w:r>
        <w:rPr>
          <w:sz w:val="28"/>
          <w:szCs w:val="28"/>
        </w:rPr>
        <w:t xml:space="preserve"> government also encouraged contacts between research universities and industry, leading to a constant flow back and forth between the laboratories of Stanford and MIT, and the factories of General Electric and Boeing.  The federal contracts signed with universities varied, but in most cases the universities provided laboratory space, management, and </w:t>
      </w:r>
      <w:r>
        <w:rPr>
          <w:sz w:val="28"/>
          <w:szCs w:val="28"/>
        </w:rPr>
        <w:lastRenderedPageBreak/>
        <w:t>some scientific person</w:t>
      </w:r>
      <w:r w:rsidR="00736219">
        <w:rPr>
          <w:sz w:val="28"/>
          <w:szCs w:val="28"/>
        </w:rPr>
        <w:t>n</w:t>
      </w:r>
      <w:r>
        <w:rPr>
          <w:sz w:val="28"/>
          <w:szCs w:val="28"/>
        </w:rPr>
        <w:t xml:space="preserve">el for large, multi-disciplinary efforts.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The rise of organized research did not only involve the military.  The National Science Foundation was finally established in 1950 to support basic research in universities.  By 1960, federal funding of academic research accounted for over 60% of the total funds devoted to university research.</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Though the National Science Foundation was dedicated to the support of basic research, which was expected to yield practical benefits, it accounted for less than 20% of federal support for university research after World War II.  Another third came from the Department of Defense and two allied agencies, NASA and the Department of Energy (earlier known as the Atomic Energy Commission).  Most of the remainder came from the National Institutes of Health.</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In the field of leading-edge ("bleeding-edge") applied research, the </w:t>
      </w:r>
      <w:smartTag w:uri="urn:schemas-microsoft-com:office:smarttags" w:element="place">
        <w:smartTag w:uri="urn:schemas-microsoft-com:office:smarttags" w:element="country-region">
          <w:r>
            <w:rPr>
              <w:sz w:val="28"/>
              <w:szCs w:val="28"/>
            </w:rPr>
            <w:t>United States</w:t>
          </w:r>
        </w:smartTag>
      </w:smartTag>
      <w:r>
        <w:rPr>
          <w:sz w:val="28"/>
          <w:szCs w:val="28"/>
        </w:rPr>
        <w:t xml:space="preserve"> set up ARPA (Advanced Research Projects Agency) in 1958 after Sputnik.  Though it was always meant to support research for military purposes, first in space and then in most fields except space, this was made explicit in 1972, when it became DARPA (Defense Advanced Research Projects Agency).</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By then, the "iron triangle" of the military-industrial-university complex was an established subset of government-funded and -organized research.  The military funding of industrial activity and academic investigation created political constituencies favourable to the continuance of projects and programs with military ends.  At the same time, the military ended up furthering industrial and academic ends (more profit, more fully-funded research) while industry and universities furthered military ends (developing technologies of military use, through applied research in industry and more basic research in universities).  This led to questions of the independence of the researchers.  This is not only an issue for social scientists.  Professional ethics of the sort that allow engineers to stand up and state that a bridge design is defective, say, are predicated on the independence of professionals, </w:t>
      </w:r>
      <w:r>
        <w:rPr>
          <w:i/>
          <w:iCs/>
          <w:sz w:val="28"/>
          <w:szCs w:val="28"/>
        </w:rPr>
        <w:t>i.e.</w:t>
      </w:r>
      <w:r>
        <w:rPr>
          <w:sz w:val="28"/>
          <w:szCs w:val="28"/>
        </w:rPr>
        <w:t xml:space="preserve"> doctors, engineers, climate scientists, and the like.  If that independence is compromised, can they still be considered to be genuine professionals?</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rise in importance of government grants to fund basic research, military research, and medical research changed research in universities after World War II.  Industry researchers were left to specialize in work that improved </w:t>
      </w:r>
      <w:r>
        <w:rPr>
          <w:sz w:val="28"/>
          <w:szCs w:val="28"/>
        </w:rPr>
        <w:lastRenderedPageBreak/>
        <w:t xml:space="preserve">existing products and processes, while also coming up with the next generation of products and processes.  University researchers, on the other hand, specialized in the investigation of phenomena in order to achieve better understanding of their most basic nature.  A characteristic of such basic research is that any publication of results allows others to benefit.  Universities were also funded to tackle more practical problems associated with health and defense, but it should be noted that this left relatively few academic researchers to work with the problems of purely commercial businesses.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Consider that, in the </w:t>
      </w:r>
      <w:smartTag w:uri="urn:schemas-microsoft-com:office:smarttags" w:element="place">
        <w:smartTag w:uri="urn:schemas-microsoft-com:office:smarttags" w:element="country-region">
          <w:r>
            <w:rPr>
              <w:sz w:val="28"/>
              <w:szCs w:val="28"/>
            </w:rPr>
            <w:t>United States</w:t>
          </w:r>
        </w:smartTag>
      </w:smartTag>
      <w:r>
        <w:rPr>
          <w:sz w:val="28"/>
          <w:szCs w:val="28"/>
        </w:rPr>
        <w:t>, as late as 1992, 69% of aero</w:t>
      </w:r>
      <w:r w:rsidR="00736219">
        <w:rPr>
          <w:sz w:val="28"/>
          <w:szCs w:val="28"/>
        </w:rPr>
        <w:t xml:space="preserve">space </w:t>
      </w:r>
      <w:r>
        <w:rPr>
          <w:sz w:val="28"/>
          <w:szCs w:val="28"/>
        </w:rPr>
        <w:t xml:space="preserve">engineers, 34% of physicists, 32% of electrical and electronic engineers, 50% of aircraft assemblers, and 20% of machinists were funded directly or indirectly by the U.S. Defense Department.  If scientists, engineers, and technicians tasked with basic and medical research are added to these totals, not much is left for the development of commercial products.  Indeed, </w:t>
      </w:r>
      <w:smartTag w:uri="urn:schemas-microsoft-com:office:smarttags" w:element="country-region">
        <w:r>
          <w:rPr>
            <w:sz w:val="28"/>
            <w:szCs w:val="28"/>
          </w:rPr>
          <w:t>U.S.</w:t>
        </w:r>
      </w:smartTag>
      <w:r>
        <w:rPr>
          <w:sz w:val="28"/>
          <w:szCs w:val="28"/>
        </w:rPr>
        <w:t xml:space="preserve"> spending on non-military research and development was lower (as a percentage of GNP) than in </w:t>
      </w:r>
      <w:smartTag w:uri="urn:schemas-microsoft-com:office:smarttags" w:element="country-region">
        <w:r>
          <w:rPr>
            <w:sz w:val="28"/>
            <w:szCs w:val="28"/>
          </w:rPr>
          <w:t>Japan</w:t>
        </w:r>
      </w:smartTag>
      <w:r>
        <w:rPr>
          <w:sz w:val="28"/>
          <w:szCs w:val="28"/>
        </w:rPr>
        <w:t xml:space="preserve"> and </w:t>
      </w:r>
      <w:smartTag w:uri="urn:schemas-microsoft-com:office:smarttags" w:element="place">
        <w:smartTag w:uri="urn:schemas-microsoft-com:office:smarttags" w:element="country-region">
          <w:r>
            <w:rPr>
              <w:sz w:val="28"/>
              <w:szCs w:val="28"/>
            </w:rPr>
            <w:t>Germany</w:t>
          </w:r>
        </w:smartTag>
      </w:smartTag>
      <w:r>
        <w:rPr>
          <w:sz w:val="28"/>
          <w:szCs w:val="28"/>
        </w:rPr>
        <w:t xml:space="preserve"> throughout the 1970s.  </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And it must be emphasized that money spent on military research does not necessarily translate into commercial products, even as remote spin-offs.  In </w:t>
      </w:r>
      <w:smartTag w:uri="urn:schemas-microsoft-com:office:smarttags" w:element="place">
        <w:smartTag w:uri="urn:schemas-microsoft-com:office:smarttags" w:element="country-region">
          <w:r>
            <w:rPr>
              <w:sz w:val="28"/>
              <w:szCs w:val="28"/>
            </w:rPr>
            <w:t>Canada</w:t>
          </w:r>
        </w:smartTag>
      </w:smartTag>
      <w:r>
        <w:rPr>
          <w:sz w:val="28"/>
          <w:szCs w:val="28"/>
        </w:rPr>
        <w:t xml:space="preserve">, government funding of Avro to build military jets (including the Arrow) did not allow it to build a jet passenger plane because Avro did not enjoy access to the markets that would have justified production.  In the </w:t>
      </w:r>
      <w:smartTag w:uri="urn:schemas-microsoft-com:office:smarttags" w:element="place">
        <w:smartTag w:uri="urn:schemas-microsoft-com:office:smarttags" w:element="country-region">
          <w:r>
            <w:rPr>
              <w:sz w:val="28"/>
              <w:szCs w:val="28"/>
            </w:rPr>
            <w:t>U.S.</w:t>
          </w:r>
        </w:smartTag>
      </w:smartTag>
      <w:r>
        <w:rPr>
          <w:sz w:val="28"/>
          <w:szCs w:val="28"/>
        </w:rPr>
        <w:t xml:space="preserve">, plane-makers benefited from the combination of government funding and of access to a large potential market.  Military funding is not a necessity:  </w:t>
      </w:r>
      <w:smartTag w:uri="urn:schemas-microsoft-com:office:smarttags" w:element="place">
        <w:smartTag w:uri="urn:schemas-microsoft-com:office:smarttags" w:element="country-region">
          <w:r>
            <w:rPr>
              <w:sz w:val="28"/>
              <w:szCs w:val="28"/>
            </w:rPr>
            <w:t>Japan</w:t>
          </w:r>
        </w:smartTag>
      </w:smartTag>
      <w:r>
        <w:rPr>
          <w:sz w:val="28"/>
          <w:szCs w:val="28"/>
        </w:rPr>
        <w:t xml:space="preserve"> has developed a large and sophisticated manufacturing sector without large amounts of spending on military research and development.</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In the last couple of decades, with the end of the Cold War, government funding has proven insufficient to support the academic research establishment.  Funding growth has threatened not to keep pace with the growth of research costs, while governments have pressured universities to produce more research with commercial pay-offs (going back to the Bayh-Dole Act of 1980).  Therefore, universities have turned back to industries and paid more attention to industrial needs.  Funding from the private sector has increased, though it remains a relatively small share of the overall outside support.</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 xml:space="preserve">The scale of government support for research and development in the </w:t>
      </w:r>
      <w:smartTag w:uri="urn:schemas-microsoft-com:office:smarttags" w:element="place">
        <w:smartTag w:uri="urn:schemas-microsoft-com:office:smarttags" w:element="country-region">
          <w:r>
            <w:rPr>
              <w:sz w:val="28"/>
              <w:szCs w:val="28"/>
            </w:rPr>
            <w:t xml:space="preserve">United </w:t>
          </w:r>
          <w:r>
            <w:rPr>
              <w:sz w:val="28"/>
              <w:szCs w:val="28"/>
            </w:rPr>
            <w:lastRenderedPageBreak/>
            <w:t>States</w:t>
          </w:r>
        </w:smartTag>
      </w:smartTag>
      <w:r>
        <w:rPr>
          <w:sz w:val="28"/>
          <w:szCs w:val="28"/>
        </w:rPr>
        <w:t xml:space="preserve"> is unique, but most other industrialized countries have taken steps during the last half-century to organize research.  While public funding has been a bounty, it has meant more paperwork and bureaucracy for researchers, and insistent requests for more accountability.  Many scientists and engineers of the nineteenth century were only accountable to their families, their direct employers or their investors for the use of their time and money.  Modern investigators must justify their work repeatedly to juries of their peers and to funding authorities.  Though modern researchers have much greater means at their disposal, they may not have greater freedom...</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color w:val="000000"/>
          <w:sz w:val="20"/>
          <w:szCs w:val="20"/>
        </w:rPr>
        <w:t xml:space="preserve">[Jack H. Knott and Stephen L. Parente, "Technology and economic growth", 2004; Alexander J. Field, "Mid-Century Multifactor Productivity Growth in Relation to Current Trends", 2001; John J. Accordino, </w:t>
      </w:r>
      <w:r>
        <w:rPr>
          <w:i/>
          <w:iCs/>
          <w:color w:val="000000"/>
          <w:sz w:val="20"/>
          <w:szCs w:val="20"/>
        </w:rPr>
        <w:t>Captives of the Cold War Economy</w:t>
      </w:r>
      <w:r>
        <w:rPr>
          <w:color w:val="000000"/>
          <w:sz w:val="20"/>
          <w:szCs w:val="20"/>
        </w:rPr>
        <w:t xml:space="preserve"> (</w:t>
      </w:r>
      <w:smartTag w:uri="urn:schemas-microsoft-com:office:smarttags" w:element="place">
        <w:smartTag w:uri="urn:schemas-microsoft-com:office:smarttags" w:element="City">
          <w:r>
            <w:rPr>
              <w:color w:val="000000"/>
              <w:sz w:val="20"/>
              <w:szCs w:val="20"/>
            </w:rPr>
            <w:t>Westport</w:t>
          </w:r>
        </w:smartTag>
      </w:smartTag>
      <w:r>
        <w:rPr>
          <w:color w:val="000000"/>
          <w:sz w:val="20"/>
          <w:szCs w:val="20"/>
        </w:rPr>
        <w:t xml:space="preserve">:  Praeger, 2000); Robert J. Gordon, "Interpreting the "One Big Wave" in U.S. Long Term Productivity Growth", in </w:t>
      </w:r>
      <w:r>
        <w:rPr>
          <w:i/>
          <w:iCs/>
          <w:color w:val="000000"/>
          <w:sz w:val="20"/>
          <w:szCs w:val="20"/>
        </w:rPr>
        <w:t>Productivity, Technology, and Economic Growth</w:t>
      </w:r>
      <w:r>
        <w:rPr>
          <w:color w:val="000000"/>
          <w:sz w:val="20"/>
          <w:szCs w:val="20"/>
        </w:rPr>
        <w:t xml:space="preserve">.  Bart van Ark, Simon Kuipers, and Gerard Kuper, eds.  (Boston:  Kluwer, 2000), pp. 50-89; Lloyd Dumas, "Finding the Future:  The Role of Economic Conversion in Shaping the Twenty-First Century", in </w:t>
      </w:r>
      <w:r>
        <w:rPr>
          <w:i/>
          <w:iCs/>
          <w:color w:val="000000"/>
          <w:sz w:val="20"/>
          <w:szCs w:val="20"/>
        </w:rPr>
        <w:t>The Socio-Economics of Conversion from War to Peace</w:t>
      </w:r>
      <w:r>
        <w:rPr>
          <w:color w:val="000000"/>
          <w:sz w:val="20"/>
          <w:szCs w:val="20"/>
        </w:rPr>
        <w:t xml:space="preserve">, Lloyd Dumas, ed. (Armonk:  Sharpe, 1995), pp. 3-20; Nathan Rosenberg and Richard R. Nelson, "American Universities and Technical Advance in Industry", </w:t>
      </w:r>
      <w:r>
        <w:rPr>
          <w:i/>
          <w:iCs/>
          <w:color w:val="000000"/>
          <w:sz w:val="20"/>
          <w:szCs w:val="20"/>
        </w:rPr>
        <w:t>Research Policy</w:t>
      </w:r>
      <w:r>
        <w:rPr>
          <w:color w:val="000000"/>
          <w:sz w:val="20"/>
          <w:szCs w:val="20"/>
        </w:rPr>
        <w:t xml:space="preserve"> </w:t>
      </w:r>
      <w:r>
        <w:rPr>
          <w:b/>
          <w:bCs/>
          <w:color w:val="000000"/>
          <w:sz w:val="20"/>
          <w:szCs w:val="20"/>
        </w:rPr>
        <w:t>23</w:t>
      </w:r>
      <w:r>
        <w:rPr>
          <w:color w:val="000000"/>
          <w:sz w:val="20"/>
          <w:szCs w:val="20"/>
        </w:rPr>
        <w:t>, Number 3 (May 1994), pp. 323-348.]</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b/>
          <w:bCs/>
          <w:sz w:val="28"/>
          <w:szCs w:val="28"/>
        </w:rPr>
      </w:pPr>
      <w:r>
        <w:rPr>
          <w:b/>
          <w:bCs/>
          <w:sz w:val="28"/>
          <w:szCs w:val="28"/>
        </w:rPr>
        <w:t>C.0  The Rise of Organized Research:  A Skeptic Speaks Out</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sz w:val="28"/>
          <w:szCs w:val="28"/>
        </w:rPr>
      </w:pPr>
      <w:r>
        <w:rPr>
          <w:sz w:val="28"/>
          <w:szCs w:val="28"/>
        </w:rPr>
        <w:t>"Without any doubt, we possess the world's most highly developed technique of combining the efforts of large numbers of scientists and large quantities of money toward the realization of a single project.  This should not lead us to any undue complacency concerning our scientific position, for it is equally clear that we are bringing up a generation of young men who cannot think of any scientific project except in terms of large numbers of men and large quantities of money.  The skill by which the French and English do great amounts of work with apparatus which an American high-school teacher would scorn as a casual stick-and-string job, is not to be found among any but a vanishingly small minority of our young men.  The present vogue of the big laboratory is a new thing in science.  There are those of us who wish to think that it may never last to be an old thing, for when the scientific ideas of this generation are exhausted, or at least reveal vastly diminishing returns on their intellectual investment, I do not foresee that the next generation will be able to furnish the colossal ideas on which colossal projects naturally rest."</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b/>
          <w:bCs/>
          <w:color w:val="000000"/>
          <w:sz w:val="28"/>
          <w:szCs w:val="28"/>
        </w:rPr>
      </w:pPr>
      <w:r>
        <w:rPr>
          <w:sz w:val="28"/>
          <w:szCs w:val="28"/>
        </w:rPr>
        <w:t xml:space="preserve">  — </w:t>
      </w:r>
      <w:r>
        <w:rPr>
          <w:color w:val="000000"/>
        </w:rPr>
        <w:t xml:space="preserve">Norbert Wiener, </w:t>
      </w:r>
      <w:r>
        <w:rPr>
          <w:i/>
          <w:iCs/>
          <w:color w:val="000000"/>
        </w:rPr>
        <w:t>The Human Use of Human Beings:  Cybernetics and Society</w:t>
      </w:r>
      <w:r>
        <w:rPr>
          <w:color w:val="000000"/>
        </w:rPr>
        <w:t xml:space="preserve"> (1950, 1954), p. 126.</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b/>
          <w:bCs/>
          <w:sz w:val="28"/>
          <w:szCs w:val="28"/>
        </w:rPr>
      </w:pPr>
      <w:r>
        <w:rPr>
          <w:b/>
          <w:bCs/>
          <w:sz w:val="28"/>
          <w:szCs w:val="28"/>
        </w:rPr>
        <w:t>C.1  The Military Industrial Complex:  Putting things into perspective...</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b/>
          <w:bCs/>
          <w:sz w:val="28"/>
          <w:szCs w:val="28"/>
        </w:rPr>
      </w:pPr>
      <w:r>
        <w:rPr>
          <w:sz w:val="28"/>
          <w:szCs w:val="28"/>
        </w:rPr>
        <w:tab/>
      </w:r>
      <w:r>
        <w:rPr>
          <w:sz w:val="28"/>
          <w:szCs w:val="28"/>
        </w:rPr>
        <w:tab/>
      </w:r>
      <w:r>
        <w:rPr>
          <w:b/>
          <w:bCs/>
          <w:sz w:val="28"/>
          <w:szCs w:val="28"/>
        </w:rPr>
        <w:t xml:space="preserve">Question:  What is the approximate size of NASA's budget relative to the current defense budget of the </w:t>
      </w:r>
      <w:smartTag w:uri="urn:schemas-microsoft-com:office:smarttags" w:element="place">
        <w:smartTag w:uri="urn:schemas-microsoft-com:office:smarttags" w:element="country-region">
          <w:r>
            <w:rPr>
              <w:b/>
              <w:bCs/>
              <w:sz w:val="28"/>
              <w:szCs w:val="28"/>
            </w:rPr>
            <w:t>United States</w:t>
          </w:r>
        </w:smartTag>
      </w:smartTag>
      <w:r>
        <w:rPr>
          <w:b/>
          <w:bCs/>
          <w:sz w:val="28"/>
          <w:szCs w:val="28"/>
        </w:rPr>
        <w:t>?</w:t>
      </w:r>
    </w:p>
    <w:p w:rsidR="003B4BBC" w:rsidRDefault="003B4BBC" w:rsidP="00D422F6">
      <w:pPr>
        <w:widowControl w:val="0"/>
        <w:autoSpaceDE w:val="0"/>
        <w:autoSpaceDN w:val="0"/>
        <w:adjustRightInd w:val="0"/>
        <w:jc w:val="both"/>
        <w:rPr>
          <w:b/>
          <w:bCs/>
          <w:sz w:val="28"/>
          <w:szCs w:val="28"/>
        </w:rPr>
      </w:pPr>
    </w:p>
    <w:p w:rsidR="003B4BBC" w:rsidRPr="00CD4B84" w:rsidRDefault="003B4BBC" w:rsidP="00D422F6">
      <w:pPr>
        <w:widowControl w:val="0"/>
        <w:autoSpaceDE w:val="0"/>
        <w:autoSpaceDN w:val="0"/>
        <w:adjustRightInd w:val="0"/>
        <w:jc w:val="both"/>
        <w:rPr>
          <w:b/>
          <w:bCs/>
          <w:sz w:val="28"/>
          <w:szCs w:val="28"/>
          <w:lang w:val="it-IT"/>
        </w:rPr>
      </w:pPr>
      <w:r>
        <w:rPr>
          <w:b/>
          <w:bCs/>
          <w:sz w:val="28"/>
          <w:szCs w:val="28"/>
        </w:rPr>
        <w:tab/>
      </w:r>
      <w:r>
        <w:rPr>
          <w:b/>
          <w:bCs/>
          <w:sz w:val="28"/>
          <w:szCs w:val="28"/>
        </w:rPr>
        <w:tab/>
      </w:r>
      <w:r w:rsidRPr="00CD4B84">
        <w:rPr>
          <w:b/>
          <w:bCs/>
          <w:sz w:val="28"/>
          <w:szCs w:val="28"/>
          <w:lang w:val="it-IT"/>
        </w:rPr>
        <w:t>a) 75%</w:t>
      </w:r>
    </w:p>
    <w:p w:rsidR="003B4BBC" w:rsidRPr="00CD4B84" w:rsidRDefault="003B4BBC" w:rsidP="00D422F6">
      <w:pPr>
        <w:widowControl w:val="0"/>
        <w:autoSpaceDE w:val="0"/>
        <w:autoSpaceDN w:val="0"/>
        <w:adjustRightInd w:val="0"/>
        <w:jc w:val="both"/>
        <w:rPr>
          <w:b/>
          <w:bCs/>
          <w:sz w:val="28"/>
          <w:szCs w:val="28"/>
          <w:lang w:val="it-IT"/>
        </w:rPr>
      </w:pPr>
      <w:r w:rsidRPr="00CD4B84">
        <w:rPr>
          <w:b/>
          <w:bCs/>
          <w:sz w:val="28"/>
          <w:szCs w:val="28"/>
          <w:lang w:val="it-IT"/>
        </w:rPr>
        <w:tab/>
      </w:r>
      <w:r w:rsidRPr="00CD4B84">
        <w:rPr>
          <w:b/>
          <w:bCs/>
          <w:sz w:val="28"/>
          <w:szCs w:val="28"/>
          <w:lang w:val="it-IT"/>
        </w:rPr>
        <w:tab/>
        <w:t>b) 50%</w:t>
      </w:r>
    </w:p>
    <w:p w:rsidR="003B4BBC" w:rsidRPr="00CD4B84" w:rsidRDefault="003B4BBC" w:rsidP="00D422F6">
      <w:pPr>
        <w:widowControl w:val="0"/>
        <w:autoSpaceDE w:val="0"/>
        <w:autoSpaceDN w:val="0"/>
        <w:adjustRightInd w:val="0"/>
        <w:jc w:val="both"/>
        <w:rPr>
          <w:b/>
          <w:bCs/>
          <w:sz w:val="28"/>
          <w:szCs w:val="28"/>
          <w:lang w:val="it-IT"/>
        </w:rPr>
      </w:pPr>
      <w:r w:rsidRPr="00CD4B84">
        <w:rPr>
          <w:b/>
          <w:bCs/>
          <w:sz w:val="28"/>
          <w:szCs w:val="28"/>
          <w:lang w:val="it-IT"/>
        </w:rPr>
        <w:tab/>
      </w:r>
      <w:r w:rsidRPr="00CD4B84">
        <w:rPr>
          <w:b/>
          <w:bCs/>
          <w:sz w:val="28"/>
          <w:szCs w:val="28"/>
          <w:lang w:val="it-IT"/>
        </w:rPr>
        <w:tab/>
        <w:t>c) 25%</w:t>
      </w:r>
    </w:p>
    <w:p w:rsidR="003B4BBC" w:rsidRPr="00CD4B84" w:rsidRDefault="003B4BBC" w:rsidP="00D422F6">
      <w:pPr>
        <w:widowControl w:val="0"/>
        <w:autoSpaceDE w:val="0"/>
        <w:autoSpaceDN w:val="0"/>
        <w:adjustRightInd w:val="0"/>
        <w:jc w:val="both"/>
        <w:rPr>
          <w:b/>
          <w:bCs/>
          <w:sz w:val="28"/>
          <w:szCs w:val="28"/>
          <w:lang w:val="it-IT"/>
        </w:rPr>
      </w:pPr>
      <w:r w:rsidRPr="00CD4B84">
        <w:rPr>
          <w:b/>
          <w:bCs/>
          <w:sz w:val="28"/>
          <w:szCs w:val="28"/>
          <w:lang w:val="it-IT"/>
        </w:rPr>
        <w:tab/>
      </w:r>
      <w:r w:rsidRPr="00CD4B84">
        <w:rPr>
          <w:b/>
          <w:bCs/>
          <w:sz w:val="28"/>
          <w:szCs w:val="28"/>
          <w:lang w:val="it-IT"/>
        </w:rPr>
        <w:tab/>
        <w:t>d) 5.0%</w:t>
      </w:r>
    </w:p>
    <w:p w:rsidR="003B4BBC" w:rsidRPr="00CD4B84" w:rsidRDefault="003B4BBC" w:rsidP="00D422F6">
      <w:pPr>
        <w:widowControl w:val="0"/>
        <w:autoSpaceDE w:val="0"/>
        <w:autoSpaceDN w:val="0"/>
        <w:adjustRightInd w:val="0"/>
        <w:jc w:val="both"/>
        <w:rPr>
          <w:b/>
          <w:bCs/>
          <w:sz w:val="28"/>
          <w:szCs w:val="28"/>
          <w:lang w:val="it-IT"/>
        </w:rPr>
      </w:pPr>
      <w:r w:rsidRPr="00CD4B84">
        <w:rPr>
          <w:b/>
          <w:bCs/>
          <w:sz w:val="28"/>
          <w:szCs w:val="28"/>
          <w:lang w:val="it-IT"/>
        </w:rPr>
        <w:tab/>
      </w:r>
      <w:r w:rsidRPr="00CD4B84">
        <w:rPr>
          <w:b/>
          <w:bCs/>
          <w:sz w:val="28"/>
          <w:szCs w:val="28"/>
          <w:lang w:val="it-IT"/>
        </w:rPr>
        <w:tab/>
        <w:t>e) 0.5%</w:t>
      </w:r>
    </w:p>
    <w:p w:rsidR="003B4BBC" w:rsidRPr="00CD4B84" w:rsidRDefault="003B4BBC" w:rsidP="00D422F6">
      <w:pPr>
        <w:widowControl w:val="0"/>
        <w:autoSpaceDE w:val="0"/>
        <w:autoSpaceDN w:val="0"/>
        <w:adjustRightInd w:val="0"/>
        <w:jc w:val="both"/>
        <w:rPr>
          <w:sz w:val="28"/>
          <w:szCs w:val="28"/>
          <w:lang w:val="it-IT"/>
        </w:rPr>
      </w:pPr>
    </w:p>
    <w:p w:rsidR="003B4BBC" w:rsidRPr="00CD4B84" w:rsidRDefault="003B4BBC" w:rsidP="00D422F6">
      <w:pPr>
        <w:widowControl w:val="0"/>
        <w:autoSpaceDE w:val="0"/>
        <w:autoSpaceDN w:val="0"/>
        <w:adjustRightInd w:val="0"/>
        <w:jc w:val="both"/>
        <w:rPr>
          <w:b/>
          <w:bCs/>
          <w:sz w:val="28"/>
          <w:szCs w:val="28"/>
          <w:lang w:val="it-IT"/>
        </w:rPr>
      </w:pPr>
      <w:r w:rsidRPr="00CD4B84">
        <w:rPr>
          <w:b/>
          <w:bCs/>
          <w:sz w:val="28"/>
          <w:szCs w:val="28"/>
          <w:lang w:val="it-IT"/>
        </w:rPr>
        <w:t>C.2  Prussian Militarism</w:t>
      </w:r>
    </w:p>
    <w:p w:rsidR="003B4BBC" w:rsidRPr="00CD4B84" w:rsidRDefault="003B4BBC" w:rsidP="00D422F6">
      <w:pPr>
        <w:widowControl w:val="0"/>
        <w:autoSpaceDE w:val="0"/>
        <w:autoSpaceDN w:val="0"/>
        <w:adjustRightInd w:val="0"/>
        <w:jc w:val="both"/>
        <w:rPr>
          <w:b/>
          <w:bCs/>
          <w:sz w:val="28"/>
          <w:szCs w:val="28"/>
          <w:lang w:val="it-IT"/>
        </w:rPr>
      </w:pPr>
    </w:p>
    <w:p w:rsidR="003B4BBC" w:rsidRDefault="003B4BBC" w:rsidP="00D422F6">
      <w:pPr>
        <w:widowControl w:val="0"/>
        <w:autoSpaceDE w:val="0"/>
        <w:autoSpaceDN w:val="0"/>
        <w:adjustRightInd w:val="0"/>
        <w:jc w:val="both"/>
        <w:rPr>
          <w:sz w:val="28"/>
          <w:szCs w:val="28"/>
        </w:rPr>
      </w:pPr>
      <w:r>
        <w:rPr>
          <w:sz w:val="28"/>
          <w:szCs w:val="28"/>
        </w:rPr>
        <w:t xml:space="preserve">"But </w:t>
      </w:r>
      <w:smartTag w:uri="urn:schemas-microsoft-com:office:smarttags" w:element="country-region">
        <w:r>
          <w:rPr>
            <w:sz w:val="28"/>
            <w:szCs w:val="28"/>
          </w:rPr>
          <w:t>Prussia</w:t>
        </w:r>
      </w:smartTag>
      <w:r>
        <w:rPr>
          <w:sz w:val="28"/>
          <w:szCs w:val="28"/>
        </w:rPr>
        <w:t xml:space="preserve"> not merely was not a democracy, </w:t>
      </w:r>
      <w:smartTag w:uri="urn:schemas-microsoft-com:office:smarttags" w:element="country-region">
        <w:r>
          <w:rPr>
            <w:sz w:val="28"/>
            <w:szCs w:val="28"/>
          </w:rPr>
          <w:t>Prussia</w:t>
        </w:r>
      </w:smartTag>
      <w:r>
        <w:rPr>
          <w:sz w:val="28"/>
          <w:szCs w:val="28"/>
        </w:rPr>
        <w:t xml:space="preserve"> was not a state; </w:t>
      </w:r>
      <w:smartTag w:uri="urn:schemas-microsoft-com:office:smarttags" w:element="place">
        <w:smartTag w:uri="urn:schemas-microsoft-com:office:smarttags" w:element="country-region">
          <w:r>
            <w:rPr>
              <w:sz w:val="28"/>
              <w:szCs w:val="28"/>
            </w:rPr>
            <w:t>Prussia</w:t>
          </w:r>
        </w:smartTag>
      </w:smartTag>
      <w:r>
        <w:rPr>
          <w:sz w:val="28"/>
          <w:szCs w:val="28"/>
        </w:rPr>
        <w:t xml:space="preserve"> was an army.  It had its great institutions, it had its great universities, it had developed its science.  All these were subordinate to the one predominant purpose of an all-conquering army to enslave the world.  The army was the spear point of Prussia—the rest was the gilded haft."</w:t>
      </w:r>
    </w:p>
    <w:p w:rsidR="003B4BBC" w:rsidRDefault="003B4BBC" w:rsidP="00D422F6">
      <w:pPr>
        <w:widowControl w:val="0"/>
        <w:autoSpaceDE w:val="0"/>
        <w:autoSpaceDN w:val="0"/>
        <w:adjustRightInd w:val="0"/>
        <w:jc w:val="both"/>
        <w:rPr>
          <w:sz w:val="28"/>
          <w:szCs w:val="28"/>
        </w:rPr>
      </w:pPr>
    </w:p>
    <w:p w:rsidR="003B4BBC" w:rsidRDefault="003B4BBC" w:rsidP="00D422F6">
      <w:pPr>
        <w:widowControl w:val="0"/>
        <w:autoSpaceDE w:val="0"/>
        <w:autoSpaceDN w:val="0"/>
        <w:adjustRightInd w:val="0"/>
        <w:jc w:val="both"/>
        <w:rPr>
          <w:b/>
          <w:bCs/>
          <w:color w:val="000000"/>
          <w:sz w:val="28"/>
          <w:szCs w:val="28"/>
        </w:rPr>
      </w:pPr>
      <w:r>
        <w:rPr>
          <w:sz w:val="28"/>
          <w:szCs w:val="28"/>
        </w:rPr>
        <w:t xml:space="preserve">  — </w:t>
      </w:r>
      <w:r>
        <w:rPr>
          <w:color w:val="000000"/>
        </w:rPr>
        <w:t xml:space="preserve">British Prime Minister Lloyd George, quoted in the </w:t>
      </w:r>
      <w:smartTag w:uri="urn:schemas-microsoft-com:office:smarttags" w:element="place">
        <w:smartTag w:uri="urn:schemas-microsoft-com:office:smarttags" w:element="City">
          <w:r>
            <w:rPr>
              <w:color w:val="000000"/>
            </w:rPr>
            <w:t>Halifax</w:t>
          </w:r>
        </w:smartTag>
      </w:smartTag>
      <w:r>
        <w:rPr>
          <w:color w:val="000000"/>
        </w:rPr>
        <w:t xml:space="preserve"> </w:t>
      </w:r>
      <w:r>
        <w:rPr>
          <w:i/>
          <w:iCs/>
          <w:color w:val="000000"/>
        </w:rPr>
        <w:t>Morning Chronicle</w:t>
      </w:r>
      <w:r>
        <w:rPr>
          <w:color w:val="000000"/>
        </w:rPr>
        <w:t xml:space="preserve"> (13 April 1917), p. 2.</w:t>
      </w:r>
    </w:p>
    <w:p w:rsidR="003B4BBC" w:rsidRDefault="003B4BBC" w:rsidP="00D422F6">
      <w:pPr>
        <w:widowControl w:val="0"/>
        <w:autoSpaceDE w:val="0"/>
        <w:autoSpaceDN w:val="0"/>
        <w:adjustRightInd w:val="0"/>
        <w:jc w:val="both"/>
        <w:rPr>
          <w:color w:val="000000"/>
          <w:sz w:val="28"/>
          <w:szCs w:val="28"/>
        </w:rPr>
      </w:pPr>
    </w:p>
    <w:p w:rsidR="003B4BBC" w:rsidRDefault="003B4BBC" w:rsidP="00D422F6">
      <w:pPr>
        <w:widowControl w:val="0"/>
        <w:autoSpaceDE w:val="0"/>
        <w:autoSpaceDN w:val="0"/>
        <w:adjustRightInd w:val="0"/>
        <w:jc w:val="both"/>
        <w:rPr>
          <w:b/>
          <w:bCs/>
          <w:color w:val="000000"/>
          <w:sz w:val="28"/>
          <w:szCs w:val="28"/>
        </w:rPr>
      </w:pPr>
      <w:r>
        <w:rPr>
          <w:b/>
          <w:bCs/>
          <w:color w:val="000000"/>
          <w:sz w:val="28"/>
          <w:szCs w:val="28"/>
        </w:rPr>
        <w:t>D. From Coal Tar to Modern Plastics</w:t>
      </w:r>
    </w:p>
    <w:p w:rsidR="003B4BBC" w:rsidRDefault="003B4BBC" w:rsidP="00D422F6">
      <w:pPr>
        <w:widowControl w:val="0"/>
        <w:autoSpaceDE w:val="0"/>
        <w:autoSpaceDN w:val="0"/>
        <w:adjustRightInd w:val="0"/>
        <w:jc w:val="both"/>
        <w:rPr>
          <w:color w:val="000000"/>
          <w:sz w:val="28"/>
          <w:szCs w:val="28"/>
        </w:rPr>
      </w:pPr>
    </w:p>
    <w:p w:rsidR="003B4BBC"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In the 1930s, the famous chemical company DuPont de Nemours used the slogan </w:t>
      </w:r>
      <w:r>
        <w:rPr>
          <w:color w:val="000000"/>
          <w:sz w:val="28"/>
          <w:szCs w:val="28"/>
        </w:rPr>
        <w:t>"</w:t>
      </w:r>
      <w:r w:rsidRPr="00CD4B84">
        <w:rPr>
          <w:color w:val="000000"/>
          <w:sz w:val="28"/>
          <w:szCs w:val="28"/>
        </w:rPr>
        <w:t xml:space="preserve">Better Things for </w:t>
      </w:r>
      <w:r>
        <w:rPr>
          <w:color w:val="000000"/>
          <w:sz w:val="28"/>
          <w:szCs w:val="28"/>
        </w:rPr>
        <w:t xml:space="preserve">Better </w:t>
      </w:r>
      <w:r w:rsidRPr="00CD4B84">
        <w:rPr>
          <w:color w:val="000000"/>
          <w:sz w:val="28"/>
          <w:szCs w:val="28"/>
        </w:rPr>
        <w:t>L</w:t>
      </w:r>
      <w:r>
        <w:rPr>
          <w:color w:val="000000"/>
          <w:sz w:val="28"/>
          <w:szCs w:val="28"/>
        </w:rPr>
        <w:t xml:space="preserve">iving through </w:t>
      </w:r>
      <w:r w:rsidRPr="00CD4B84">
        <w:rPr>
          <w:color w:val="000000"/>
          <w:sz w:val="28"/>
          <w:szCs w:val="28"/>
        </w:rPr>
        <w:t>C</w:t>
      </w:r>
      <w:r>
        <w:rPr>
          <w:color w:val="000000"/>
          <w:sz w:val="28"/>
          <w:szCs w:val="28"/>
        </w:rPr>
        <w:t>hemistry".</w:t>
      </w:r>
      <w:r w:rsidRPr="00CD4B84">
        <w:rPr>
          <w:color w:val="000000"/>
          <w:sz w:val="28"/>
          <w:szCs w:val="28"/>
        </w:rPr>
        <w:t xml:space="preserve">  </w:t>
      </w:r>
    </w:p>
    <w:p w:rsidR="003B4BBC" w:rsidRDefault="003B4BBC" w:rsidP="00D422F6">
      <w:pPr>
        <w:widowControl w:val="0"/>
        <w:autoSpaceDE w:val="0"/>
        <w:autoSpaceDN w:val="0"/>
        <w:adjustRightInd w:val="0"/>
        <w:jc w:val="both"/>
        <w:rPr>
          <w:color w:val="000000"/>
          <w:sz w:val="28"/>
          <w:szCs w:val="28"/>
        </w:rPr>
      </w:pPr>
    </w:p>
    <w:p w:rsidR="003B4BBC" w:rsidRDefault="003B4BBC" w:rsidP="00D422F6">
      <w:pPr>
        <w:widowControl w:val="0"/>
        <w:autoSpaceDE w:val="0"/>
        <w:autoSpaceDN w:val="0"/>
        <w:adjustRightInd w:val="0"/>
        <w:jc w:val="both"/>
        <w:rPr>
          <w:color w:val="000000"/>
          <w:sz w:val="28"/>
          <w:szCs w:val="28"/>
        </w:rPr>
      </w:pPr>
      <w:r>
        <w:rPr>
          <w:color w:val="000000"/>
          <w:sz w:val="28"/>
          <w:szCs w:val="28"/>
        </w:rPr>
        <w:t>Chemicals have become fearsome or at least worrisome, but they were once the wave of the future.  By the time the Du</w:t>
      </w:r>
      <w:r w:rsidRPr="00CD4B84">
        <w:rPr>
          <w:color w:val="000000"/>
          <w:sz w:val="28"/>
          <w:szCs w:val="28"/>
        </w:rPr>
        <w:t>P</w:t>
      </w:r>
      <w:r>
        <w:rPr>
          <w:color w:val="000000"/>
          <w:sz w:val="28"/>
          <w:szCs w:val="28"/>
        </w:rPr>
        <w:t>ont de Nemours slogan was coined, chemists and chemical engineers had become the white-coated incarnation of science, technology, and progress all rolled into one.</w:t>
      </w:r>
    </w:p>
    <w:p w:rsidR="003B4BBC" w:rsidRDefault="003B4BBC" w:rsidP="00D422F6">
      <w:pPr>
        <w:widowControl w:val="0"/>
        <w:autoSpaceDE w:val="0"/>
        <w:autoSpaceDN w:val="0"/>
        <w:adjustRightInd w:val="0"/>
        <w:jc w:val="both"/>
        <w:rPr>
          <w:color w:val="000000"/>
          <w:sz w:val="28"/>
          <w:szCs w:val="28"/>
        </w:rPr>
      </w:pPr>
    </w:p>
    <w:p w:rsidR="003B4BBC" w:rsidRDefault="003B4BBC" w:rsidP="00D422F6">
      <w:pPr>
        <w:widowControl w:val="0"/>
        <w:autoSpaceDE w:val="0"/>
        <w:autoSpaceDN w:val="0"/>
        <w:adjustRightInd w:val="0"/>
        <w:jc w:val="both"/>
        <w:rPr>
          <w:color w:val="000000"/>
          <w:sz w:val="28"/>
          <w:szCs w:val="28"/>
        </w:rPr>
      </w:pPr>
      <w:r>
        <w:rPr>
          <w:color w:val="000000"/>
          <w:sz w:val="28"/>
          <w:szCs w:val="28"/>
        </w:rPr>
        <w:t xml:space="preserve">Whether it is distrust or just healthy skepticism that underlies modern reactions to chemistry, it remains one of the lynchpins of modern civilization.  In </w:t>
      </w:r>
      <w:smartTag w:uri="urn:schemas-microsoft-com:office:smarttags" w:element="place">
        <w:r>
          <w:rPr>
            <w:color w:val="000000"/>
            <w:sz w:val="28"/>
            <w:szCs w:val="28"/>
          </w:rPr>
          <w:t>Europe</w:t>
        </w:r>
      </w:smartTag>
      <w:r>
        <w:rPr>
          <w:color w:val="000000"/>
          <w:sz w:val="28"/>
          <w:szCs w:val="28"/>
        </w:rPr>
        <w:t>, the chemical industries account for 1,7 million jobs, while another 3 million people work for subcontractors or other jobs dependent on chemical manufacturing.</w:t>
      </w:r>
    </w:p>
    <w:p w:rsidR="003B4BBC" w:rsidRDefault="003B4BBC" w:rsidP="00D422F6">
      <w:pPr>
        <w:widowControl w:val="0"/>
        <w:autoSpaceDE w:val="0"/>
        <w:autoSpaceDN w:val="0"/>
        <w:adjustRightInd w:val="0"/>
        <w:jc w:val="both"/>
        <w:rPr>
          <w:color w:val="000000"/>
          <w:sz w:val="28"/>
          <w:szCs w:val="28"/>
        </w:rPr>
      </w:pPr>
    </w:p>
    <w:p w:rsidR="003B4BBC" w:rsidRDefault="003B4BBC" w:rsidP="00D422F6">
      <w:pPr>
        <w:widowControl w:val="0"/>
        <w:autoSpaceDE w:val="0"/>
        <w:autoSpaceDN w:val="0"/>
        <w:adjustRightInd w:val="0"/>
        <w:jc w:val="both"/>
        <w:rPr>
          <w:color w:val="000000"/>
          <w:sz w:val="28"/>
          <w:szCs w:val="28"/>
        </w:rPr>
      </w:pPr>
      <w:r>
        <w:rPr>
          <w:color w:val="000000"/>
          <w:sz w:val="28"/>
          <w:szCs w:val="28"/>
        </w:rPr>
        <w:t>It all had started humbly enough, back in 18</w:t>
      </w:r>
      <w:r w:rsidRPr="00CD4B84">
        <w:rPr>
          <w:color w:val="000000"/>
          <w:sz w:val="28"/>
          <w:szCs w:val="28"/>
        </w:rPr>
        <w:t>56</w:t>
      </w:r>
      <w:r>
        <w:rPr>
          <w:color w:val="000000"/>
          <w:sz w:val="28"/>
          <w:szCs w:val="28"/>
        </w:rPr>
        <w:t xml:space="preserve">, when </w:t>
      </w:r>
      <w:r w:rsidRPr="00CD4B84">
        <w:rPr>
          <w:color w:val="000000"/>
          <w:sz w:val="28"/>
          <w:szCs w:val="28"/>
        </w:rPr>
        <w:t xml:space="preserve">young </w:t>
      </w:r>
      <w:r>
        <w:rPr>
          <w:color w:val="000000"/>
          <w:sz w:val="28"/>
          <w:szCs w:val="28"/>
        </w:rPr>
        <w:t xml:space="preserve">British chemist </w:t>
      </w:r>
      <w:r w:rsidRPr="00CD4B84">
        <w:rPr>
          <w:color w:val="000000"/>
          <w:sz w:val="28"/>
          <w:szCs w:val="28"/>
          <w:u w:val="single"/>
        </w:rPr>
        <w:lastRenderedPageBreak/>
        <w:t>William</w:t>
      </w:r>
      <w:r>
        <w:rPr>
          <w:color w:val="000000"/>
          <w:sz w:val="28"/>
          <w:szCs w:val="28"/>
          <w:u w:val="single"/>
        </w:rPr>
        <w:t xml:space="preserve"> </w:t>
      </w:r>
      <w:r w:rsidRPr="00CD4B84">
        <w:rPr>
          <w:color w:val="000000"/>
          <w:sz w:val="28"/>
          <w:szCs w:val="28"/>
          <w:u w:val="single"/>
        </w:rPr>
        <w:t xml:space="preserve">Henry </w:t>
      </w:r>
      <w:r>
        <w:rPr>
          <w:color w:val="000000"/>
          <w:sz w:val="28"/>
          <w:szCs w:val="28"/>
          <w:u w:val="single"/>
        </w:rPr>
        <w:t>Perkin</w:t>
      </w:r>
      <w:r w:rsidRPr="00CD4B84">
        <w:rPr>
          <w:color w:val="000000"/>
          <w:sz w:val="28"/>
          <w:szCs w:val="28"/>
        </w:rPr>
        <w:t xml:space="preserve"> (1838-1907)</w:t>
      </w:r>
      <w:r>
        <w:rPr>
          <w:color w:val="000000"/>
          <w:sz w:val="28"/>
          <w:szCs w:val="28"/>
        </w:rPr>
        <w:t xml:space="preserve"> working with the great German chemist </w:t>
      </w:r>
      <w:r w:rsidRPr="00CD4B84">
        <w:rPr>
          <w:color w:val="000000"/>
          <w:sz w:val="28"/>
          <w:szCs w:val="28"/>
        </w:rPr>
        <w:t>August</w:t>
      </w:r>
      <w:r>
        <w:rPr>
          <w:color w:val="000000"/>
          <w:sz w:val="28"/>
          <w:szCs w:val="28"/>
        </w:rPr>
        <w:t xml:space="preserve"> </w:t>
      </w:r>
      <w:r w:rsidRPr="00CD4B84">
        <w:rPr>
          <w:color w:val="000000"/>
          <w:sz w:val="28"/>
          <w:szCs w:val="28"/>
        </w:rPr>
        <w:t xml:space="preserve">Wilhem von </w:t>
      </w:r>
      <w:r>
        <w:rPr>
          <w:color w:val="000000"/>
          <w:sz w:val="28"/>
          <w:szCs w:val="28"/>
        </w:rPr>
        <w:t xml:space="preserve">Hoffman discovered that a chemical synthesized from coal residues was able to impart to pieces of clothing a beautiful soft shade of </w:t>
      </w:r>
      <w:r w:rsidRPr="00CD4B84">
        <w:rPr>
          <w:color w:val="000000"/>
          <w:sz w:val="28"/>
          <w:szCs w:val="28"/>
        </w:rPr>
        <w:t>purple</w:t>
      </w:r>
      <w:r>
        <w:rPr>
          <w:color w:val="000000"/>
          <w:sz w:val="28"/>
          <w:szCs w:val="28"/>
        </w:rPr>
        <w:t xml:space="preserve">, soon called mauve in France, that became so popular the </w:t>
      </w:r>
      <w:r w:rsidRPr="00CD4B84">
        <w:rPr>
          <w:color w:val="000000"/>
          <w:sz w:val="28"/>
          <w:szCs w:val="28"/>
        </w:rPr>
        <w:t>following years</w:t>
      </w:r>
      <w:r>
        <w:rPr>
          <w:color w:val="000000"/>
          <w:sz w:val="28"/>
          <w:szCs w:val="28"/>
        </w:rPr>
        <w:t xml:space="preserve"> were known to some as the Mauve Decade.  </w:t>
      </w:r>
    </w:p>
    <w:p w:rsidR="003B4BBC" w:rsidRDefault="003B4BBC" w:rsidP="00D422F6">
      <w:pPr>
        <w:widowControl w:val="0"/>
        <w:autoSpaceDE w:val="0"/>
        <w:autoSpaceDN w:val="0"/>
        <w:adjustRightInd w:val="0"/>
        <w:jc w:val="both"/>
        <w:rPr>
          <w:color w:val="000000"/>
          <w:sz w:val="28"/>
          <w:szCs w:val="28"/>
        </w:rPr>
      </w:pPr>
    </w:p>
    <w:p w:rsidR="003B4BBC" w:rsidRDefault="003B4BBC" w:rsidP="00D422F6">
      <w:pPr>
        <w:widowControl w:val="0"/>
        <w:autoSpaceDE w:val="0"/>
        <w:autoSpaceDN w:val="0"/>
        <w:adjustRightInd w:val="0"/>
        <w:jc w:val="both"/>
        <w:rPr>
          <w:color w:val="000000"/>
          <w:sz w:val="28"/>
          <w:szCs w:val="28"/>
        </w:rPr>
      </w:pPr>
      <w:r>
        <w:rPr>
          <w:color w:val="000000"/>
          <w:sz w:val="28"/>
          <w:szCs w:val="28"/>
        </w:rPr>
        <w:t xml:space="preserve">This dye was known as </w:t>
      </w:r>
      <w:r>
        <w:rPr>
          <w:b/>
          <w:bCs/>
          <w:color w:val="000000"/>
          <w:sz w:val="28"/>
          <w:szCs w:val="28"/>
          <w:u w:val="single"/>
        </w:rPr>
        <w:t>anilin</w:t>
      </w:r>
      <w:r w:rsidRPr="00CD4B84">
        <w:rPr>
          <w:b/>
          <w:bCs/>
          <w:color w:val="000000"/>
          <w:sz w:val="28"/>
          <w:szCs w:val="28"/>
          <w:u w:val="single"/>
        </w:rPr>
        <w:t>e</w:t>
      </w:r>
      <w:r>
        <w:rPr>
          <w:color w:val="000000"/>
          <w:sz w:val="28"/>
          <w:szCs w:val="28"/>
        </w:rPr>
        <w:t>.  Other artificial dyes were soon discovered (</w:t>
      </w:r>
      <w:r w:rsidRPr="00CD4B84">
        <w:rPr>
          <w:color w:val="000000"/>
          <w:sz w:val="28"/>
          <w:szCs w:val="28"/>
        </w:rPr>
        <w:t xml:space="preserve">synthetic </w:t>
      </w:r>
      <w:r>
        <w:rPr>
          <w:color w:val="000000"/>
          <w:sz w:val="28"/>
          <w:szCs w:val="28"/>
        </w:rPr>
        <w:t xml:space="preserve">indigo, alizarine), but </w:t>
      </w:r>
      <w:r w:rsidRPr="00CD4B84">
        <w:rPr>
          <w:color w:val="000000"/>
          <w:sz w:val="28"/>
          <w:szCs w:val="28"/>
        </w:rPr>
        <w:t xml:space="preserve">only some were able to compete with natural products given the primitive production methods of the time.  Nevertheless, chemical firms based in </w:t>
      </w:r>
      <w:smartTag w:uri="urn:schemas-microsoft-com:office:smarttags" w:element="country-region">
        <w:r w:rsidRPr="00CD4B84">
          <w:rPr>
            <w:color w:val="000000"/>
            <w:sz w:val="28"/>
            <w:szCs w:val="28"/>
          </w:rPr>
          <w:t>Germany</w:t>
        </w:r>
      </w:smartTag>
      <w:r w:rsidRPr="00CD4B84">
        <w:rPr>
          <w:color w:val="000000"/>
          <w:sz w:val="28"/>
          <w:szCs w:val="28"/>
        </w:rPr>
        <w:t xml:space="preserve"> and </w:t>
      </w:r>
      <w:smartTag w:uri="urn:schemas-microsoft-com:office:smarttags" w:element="place">
        <w:smartTag w:uri="urn:schemas-microsoft-com:office:smarttags" w:element="country-region">
          <w:r w:rsidRPr="00CD4B84">
            <w:rPr>
              <w:color w:val="000000"/>
              <w:sz w:val="28"/>
              <w:szCs w:val="28"/>
            </w:rPr>
            <w:t>Switzerland</w:t>
          </w:r>
        </w:smartTag>
      </w:smartTag>
      <w:r w:rsidRPr="00CD4B84">
        <w:rPr>
          <w:color w:val="000000"/>
          <w:sz w:val="28"/>
          <w:szCs w:val="28"/>
        </w:rPr>
        <w:t xml:space="preserve"> developed many dyestuffs and other organic compounds from coal tar, nurturing a profitable industry by the end of the 19th century.</w:t>
      </w:r>
    </w:p>
    <w:p w:rsidR="003B4BBC" w:rsidRDefault="003B4BBC" w:rsidP="00D422F6">
      <w:pPr>
        <w:widowControl w:val="0"/>
        <w:autoSpaceDE w:val="0"/>
        <w:autoSpaceDN w:val="0"/>
        <w:adjustRightInd w:val="0"/>
        <w:jc w:val="both"/>
        <w:rPr>
          <w:color w:val="000000"/>
          <w:sz w:val="28"/>
          <w:szCs w:val="28"/>
        </w:rPr>
      </w:pPr>
    </w:p>
    <w:p w:rsidR="003B4BBC"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The progress of organic chemistry led to the determination of the structure of more and more compounds:  chlorophyll, steroids, terpenes...  By the turn of the twentieth century, the attention of chemists focused more and more on the synthesis of drugs, both old and new.  </w:t>
      </w:r>
      <w:r w:rsidRPr="00CD4B84">
        <w:rPr>
          <w:b/>
          <w:bCs/>
          <w:color w:val="000000"/>
          <w:sz w:val="28"/>
          <w:szCs w:val="28"/>
          <w:u w:val="single"/>
        </w:rPr>
        <w:t>Aspirin</w:t>
      </w:r>
      <w:r w:rsidRPr="00CD4B84">
        <w:rPr>
          <w:color w:val="000000"/>
          <w:sz w:val="28"/>
          <w:szCs w:val="28"/>
        </w:rPr>
        <w:t xml:space="preserve"> relied on the active ingredient (ASA) of an old remedy, willow bark.  While synthetic </w:t>
      </w:r>
      <w:r>
        <w:rPr>
          <w:color w:val="000000"/>
          <w:sz w:val="28"/>
          <w:szCs w:val="28"/>
        </w:rPr>
        <w:t>morphine</w:t>
      </w:r>
      <w:r w:rsidRPr="00CD4B84">
        <w:rPr>
          <w:color w:val="000000"/>
          <w:sz w:val="28"/>
          <w:szCs w:val="28"/>
        </w:rPr>
        <w:t xml:space="preserve"> relieved pain, chemotherapy was pioneered by such scientists as German bacteriologist Paul Ehrlich (1854-1915) who synthesized </w:t>
      </w:r>
      <w:r w:rsidRPr="00CD4B84">
        <w:rPr>
          <w:i/>
          <w:iCs/>
          <w:color w:val="000000"/>
          <w:sz w:val="28"/>
          <w:szCs w:val="28"/>
        </w:rPr>
        <w:t>arsphenamine</w:t>
      </w:r>
      <w:r w:rsidRPr="00CD4B84">
        <w:rPr>
          <w:color w:val="000000"/>
          <w:sz w:val="28"/>
          <w:szCs w:val="28"/>
        </w:rPr>
        <w:t xml:space="preserve"> for use against syphilis.  Before the discovery and application of antibiotics, German chemist Gerhard Domagk determined in 1932 that </w:t>
      </w:r>
      <w:r w:rsidRPr="00CD4B84">
        <w:rPr>
          <w:i/>
          <w:iCs/>
          <w:color w:val="000000"/>
          <w:sz w:val="28"/>
          <w:szCs w:val="28"/>
        </w:rPr>
        <w:t>sulfanilamide</w:t>
      </w:r>
      <w:r w:rsidRPr="00CD4B84">
        <w:rPr>
          <w:color w:val="000000"/>
          <w:sz w:val="28"/>
          <w:szCs w:val="28"/>
        </w:rPr>
        <w:t xml:space="preserve"> and certain related compounds (known at the time as "sulfa drugs") could be used to fight a number of infectious diseases.</w:t>
      </w:r>
    </w:p>
    <w:p w:rsidR="003B4BBC" w:rsidRDefault="003B4BBC" w:rsidP="00D422F6">
      <w:pPr>
        <w:widowControl w:val="0"/>
        <w:autoSpaceDE w:val="0"/>
        <w:autoSpaceDN w:val="0"/>
        <w:adjustRightInd w:val="0"/>
        <w:jc w:val="both"/>
        <w:rPr>
          <w:color w:val="000000"/>
          <w:sz w:val="28"/>
          <w:szCs w:val="28"/>
        </w:rPr>
      </w:pPr>
    </w:p>
    <w:p w:rsidR="003B4BBC"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Chemistry also led to better explosives.  As far back as 1845, a lucky accident led chemist Christian Friedrich Schonbein (1799-1868) to discover </w:t>
      </w:r>
      <w:r w:rsidRPr="00CD4B84">
        <w:rPr>
          <w:i/>
          <w:iCs/>
          <w:color w:val="000000"/>
          <w:sz w:val="28"/>
          <w:szCs w:val="28"/>
        </w:rPr>
        <w:t>nitrocellulose</w:t>
      </w:r>
      <w:r w:rsidRPr="00CD4B84">
        <w:rPr>
          <w:color w:val="000000"/>
          <w:sz w:val="28"/>
          <w:szCs w:val="28"/>
        </w:rPr>
        <w:t xml:space="preserve">, an efficient and relatively smokeless explosive.  Named "guncotton", it was eventually made a part of cordite.  Another component of cordite was </w:t>
      </w:r>
      <w:r w:rsidRPr="00CD4B84">
        <w:rPr>
          <w:i/>
          <w:iCs/>
          <w:color w:val="000000"/>
          <w:sz w:val="28"/>
          <w:szCs w:val="28"/>
        </w:rPr>
        <w:t>nitroglycerine</w:t>
      </w:r>
      <w:r w:rsidRPr="00CD4B84">
        <w:rPr>
          <w:color w:val="000000"/>
          <w:sz w:val="28"/>
          <w:szCs w:val="28"/>
        </w:rPr>
        <w:t>, discovered in 1847 by Italian chemist Ascanio Sobrero.  Though powerful, it was too sensitive for safe use by itself.  In 1866, Alfred B. Nobel (1833-1896) found an absorbent earth (</w:t>
      </w:r>
      <w:r w:rsidRPr="00CD4B84">
        <w:rPr>
          <w:i/>
          <w:iCs/>
          <w:color w:val="000000"/>
          <w:sz w:val="28"/>
          <w:szCs w:val="28"/>
        </w:rPr>
        <w:t>kieselguhr</w:t>
      </w:r>
      <w:r w:rsidRPr="00CD4B84">
        <w:rPr>
          <w:color w:val="000000"/>
          <w:sz w:val="28"/>
          <w:szCs w:val="28"/>
        </w:rPr>
        <w:t>); combined with nitroglycerine, it yielded essentially what is now known as dynamite, much safer to handle on worksites though still tremendously powerful.</w:t>
      </w:r>
    </w:p>
    <w:p w:rsidR="003B4BBC" w:rsidRDefault="003B4BBC" w:rsidP="00D422F6">
      <w:pPr>
        <w:widowControl w:val="0"/>
        <w:autoSpaceDE w:val="0"/>
        <w:autoSpaceDN w:val="0"/>
        <w:adjustRightInd w:val="0"/>
        <w:jc w:val="both"/>
        <w:rPr>
          <w:color w:val="000000"/>
          <w:sz w:val="28"/>
          <w:szCs w:val="28"/>
        </w:rPr>
      </w:pPr>
    </w:p>
    <w:p w:rsidR="003B4BBC" w:rsidRPr="00CD4B84" w:rsidRDefault="003B4BBC" w:rsidP="00D422F6">
      <w:pPr>
        <w:widowControl w:val="0"/>
        <w:autoSpaceDE w:val="0"/>
        <w:autoSpaceDN w:val="0"/>
        <w:adjustRightInd w:val="0"/>
        <w:jc w:val="both"/>
        <w:rPr>
          <w:color w:val="000000"/>
          <w:sz w:val="28"/>
          <w:szCs w:val="28"/>
        </w:rPr>
      </w:pPr>
      <w:r w:rsidRPr="00CD4B84">
        <w:rPr>
          <w:color w:val="000000"/>
          <w:sz w:val="28"/>
          <w:szCs w:val="28"/>
        </w:rPr>
        <w:t>While fully nitrated cellulose was an explosive, partially nitrated cellulose (</w:t>
      </w:r>
      <w:r w:rsidRPr="00CD4B84">
        <w:rPr>
          <w:i/>
          <w:iCs/>
          <w:color w:val="000000"/>
          <w:sz w:val="28"/>
          <w:szCs w:val="28"/>
        </w:rPr>
        <w:t>pyroxylin</w:t>
      </w:r>
      <w:r w:rsidRPr="00CD4B84">
        <w:rPr>
          <w:color w:val="000000"/>
          <w:sz w:val="28"/>
          <w:szCs w:val="28"/>
        </w:rPr>
        <w:t xml:space="preserve">) had other uses.   When American inventor John Wesley Hyatt came up with a substitute for ivory (to be used in the manufacture of billiard balls) in 1866, he combined dissolved pyroxylin with camphor to produce </w:t>
      </w:r>
      <w:r w:rsidRPr="00CD4B84">
        <w:rPr>
          <w:i/>
          <w:iCs/>
          <w:color w:val="000000"/>
          <w:sz w:val="28"/>
          <w:szCs w:val="28"/>
        </w:rPr>
        <w:lastRenderedPageBreak/>
        <w:t>celluloid</w:t>
      </w:r>
      <w:r w:rsidRPr="00CD4B84">
        <w:rPr>
          <w:color w:val="000000"/>
          <w:sz w:val="28"/>
          <w:szCs w:val="28"/>
        </w:rPr>
        <w:t xml:space="preserve">, the first synthetic </w:t>
      </w:r>
      <w:r w:rsidRPr="00CD4B84">
        <w:rPr>
          <w:color w:val="000000"/>
          <w:sz w:val="28"/>
          <w:szCs w:val="28"/>
          <w:u w:val="single"/>
        </w:rPr>
        <w:t>plastic</w:t>
      </w:r>
      <w:r w:rsidRPr="00CD4B84">
        <w:rPr>
          <w:color w:val="000000"/>
          <w:sz w:val="28"/>
          <w:szCs w:val="28"/>
        </w:rPr>
        <w:t xml:space="preserve">.  Celluloid was later applied in 1884 by George Eastman, the founder of Kodak, to the fabrication of thin films for photography.  Also in 1884, French chemist Louis Bernigaud produced fibers from pyroxylin that could be woven into a new synthetic material that was called </w:t>
      </w:r>
      <w:r w:rsidRPr="00CD4B84">
        <w:rPr>
          <w:i/>
          <w:iCs/>
          <w:color w:val="000000"/>
          <w:sz w:val="28"/>
          <w:szCs w:val="28"/>
        </w:rPr>
        <w:t xml:space="preserve">rayon </w:t>
      </w:r>
      <w:r w:rsidRPr="00CD4B84">
        <w:rPr>
          <w:color w:val="000000"/>
          <w:sz w:val="28"/>
          <w:szCs w:val="28"/>
        </w:rPr>
        <w:t xml:space="preserve">(or </w:t>
      </w:r>
      <w:r w:rsidRPr="00CD4B84">
        <w:rPr>
          <w:i/>
          <w:iCs/>
          <w:color w:val="000000"/>
          <w:sz w:val="28"/>
          <w:szCs w:val="28"/>
        </w:rPr>
        <w:t xml:space="preserve">rayonne </w:t>
      </w:r>
      <w:r w:rsidRPr="00CD4B84">
        <w:rPr>
          <w:color w:val="000000"/>
          <w:sz w:val="28"/>
          <w:szCs w:val="28"/>
        </w:rPr>
        <w:t xml:space="preserve">in French, from the verb </w:t>
      </w:r>
      <w:r w:rsidRPr="00CD4B84">
        <w:rPr>
          <w:i/>
          <w:iCs/>
          <w:color w:val="000000"/>
          <w:sz w:val="28"/>
          <w:szCs w:val="28"/>
        </w:rPr>
        <w:t>rayonner</w:t>
      </w:r>
      <w:r w:rsidRPr="00CD4B84">
        <w:rPr>
          <w:color w:val="000000"/>
          <w:sz w:val="28"/>
          <w:szCs w:val="28"/>
        </w:rPr>
        <w:t>, "to radiate", because he found the material surprisingly bright and reflective).</w:t>
      </w:r>
    </w:p>
    <w:p w:rsidR="003B4BBC" w:rsidRDefault="003B4BBC" w:rsidP="00D422F6">
      <w:pPr>
        <w:widowControl w:val="0"/>
        <w:autoSpaceDE w:val="0"/>
        <w:autoSpaceDN w:val="0"/>
        <w:adjustRightInd w:val="0"/>
        <w:jc w:val="both"/>
        <w:rPr>
          <w:color w:val="000000"/>
          <w:sz w:val="28"/>
          <w:szCs w:val="28"/>
        </w:rPr>
      </w:pPr>
    </w:p>
    <w:p w:rsidR="003B4BBC" w:rsidRPr="00CD4B84"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The science of artificial materials took a giant step with chemist Leo Hendrik Baekeland who produced a polymer for which he could not find a solvent.  When he noted that it could also be moulded into a material that was hard, water-resistant, solvent-resistant and a non-conductor of electricity, he realized that he had a useful product.  Known as </w:t>
      </w:r>
      <w:r w:rsidRPr="00CD4B84">
        <w:rPr>
          <w:i/>
          <w:iCs/>
          <w:color w:val="000000"/>
          <w:sz w:val="28"/>
          <w:szCs w:val="28"/>
        </w:rPr>
        <w:t>Bakelite</w:t>
      </w:r>
      <w:r w:rsidRPr="00CD4B84">
        <w:rPr>
          <w:color w:val="000000"/>
          <w:sz w:val="28"/>
          <w:szCs w:val="28"/>
        </w:rPr>
        <w:t>, it soon became in its black and shiny form an iconic material of the early twentieth century.  Other synthetic polymers, such as Neoprene, an important synthetic rubber first produced in 1932, and nylon, followed.  The increasing quantity and variety of these artificial substances have completely altered the look and feel of our artificial environments.  Rock, wood, ivory, bone, and natural textiles can all be replaced with artificial substitutes, and nowadays they often are.</w:t>
      </w:r>
    </w:p>
    <w:p w:rsidR="003B4BBC" w:rsidRPr="00CD4B84" w:rsidRDefault="003B4BBC" w:rsidP="00D422F6">
      <w:pPr>
        <w:widowControl w:val="0"/>
        <w:autoSpaceDE w:val="0"/>
        <w:autoSpaceDN w:val="0"/>
        <w:adjustRightInd w:val="0"/>
        <w:jc w:val="both"/>
        <w:rPr>
          <w:color w:val="000000"/>
          <w:sz w:val="28"/>
          <w:szCs w:val="28"/>
        </w:rPr>
      </w:pPr>
    </w:p>
    <w:p w:rsidR="009A5024"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Yet, in the end, the most important result of chemical science in the twentieth century may have been the discovery of the Haber-Bosch process for the easy, inorganic synthesis of ammonia, a key ingredient of fertilizers.  Developed by Fritz Haber and Karl Bosch of </w:t>
      </w:r>
      <w:smartTag w:uri="urn:schemas-microsoft-com:office:smarttags" w:element="place">
        <w:smartTag w:uri="urn:schemas-microsoft-com:office:smarttags" w:element="country-region">
          <w:r w:rsidRPr="00CD4B84">
            <w:rPr>
              <w:color w:val="000000"/>
              <w:sz w:val="28"/>
              <w:szCs w:val="28"/>
            </w:rPr>
            <w:t>Germany</w:t>
          </w:r>
        </w:smartTag>
      </w:smartTag>
      <w:r w:rsidRPr="00CD4B84">
        <w:rPr>
          <w:color w:val="000000"/>
          <w:sz w:val="28"/>
          <w:szCs w:val="28"/>
        </w:rPr>
        <w:t xml:space="preserve"> before World War I, the process turned out ammonia.  While it was of military importance during the </w:t>
      </w:r>
      <w:smartTag w:uri="urn:schemas-microsoft-com:office:smarttags" w:element="place">
        <w:r w:rsidRPr="00CD4B84">
          <w:rPr>
            <w:color w:val="000000"/>
            <w:sz w:val="28"/>
            <w:szCs w:val="28"/>
          </w:rPr>
          <w:t>First World</w:t>
        </w:r>
      </w:smartTag>
      <w:r w:rsidRPr="00CD4B84">
        <w:rPr>
          <w:color w:val="000000"/>
          <w:sz w:val="28"/>
          <w:szCs w:val="28"/>
        </w:rPr>
        <w:t xml:space="preserve"> War because ammonia can be turned into nitrates and then into explosives, easy access to fertilizers has led to a multiplication of agricultural yields.  </w:t>
      </w:r>
      <w:r w:rsidR="009A5024">
        <w:rPr>
          <w:color w:val="000000"/>
          <w:sz w:val="28"/>
          <w:szCs w:val="28"/>
        </w:rPr>
        <w:t xml:space="preserve">In the world’s wealthier countries, agricultural yields have been enhanced by fertilizers to the point where the only way to burst through the “yield ceiling” involves tinkering with crop genetics and improving management techniques.  In other parts of the world (Africa, Central America, eastern Europe), a sizable “yield gap” separates the current levels of food production from the levels that could be achieved using better practices.  Much of the gap could be filled by using </w:t>
      </w:r>
      <w:r w:rsidR="00020859">
        <w:rPr>
          <w:color w:val="000000"/>
          <w:sz w:val="28"/>
          <w:szCs w:val="28"/>
        </w:rPr>
        <w:t>improved</w:t>
      </w:r>
      <w:r w:rsidR="009A5024">
        <w:rPr>
          <w:color w:val="000000"/>
          <w:sz w:val="28"/>
          <w:szCs w:val="28"/>
        </w:rPr>
        <w:t xml:space="preserve"> seeds, more effective use of fertilizers, smarter irrigation methods, reduced tillage (which spares the topsoil), and various organic ways of replenishing the soil’s nutrient content.</w:t>
      </w:r>
    </w:p>
    <w:p w:rsidR="009A5024" w:rsidRDefault="009A5024" w:rsidP="00D422F6">
      <w:pPr>
        <w:widowControl w:val="0"/>
        <w:autoSpaceDE w:val="0"/>
        <w:autoSpaceDN w:val="0"/>
        <w:adjustRightInd w:val="0"/>
        <w:jc w:val="both"/>
        <w:rPr>
          <w:color w:val="000000"/>
          <w:sz w:val="28"/>
          <w:szCs w:val="28"/>
        </w:rPr>
      </w:pPr>
    </w:p>
    <w:p w:rsidR="003B4BBC" w:rsidRPr="00CD4B84" w:rsidRDefault="00020859" w:rsidP="00D422F6">
      <w:pPr>
        <w:widowControl w:val="0"/>
        <w:autoSpaceDE w:val="0"/>
        <w:autoSpaceDN w:val="0"/>
        <w:adjustRightInd w:val="0"/>
        <w:jc w:val="both"/>
        <w:rPr>
          <w:color w:val="000000"/>
          <w:sz w:val="28"/>
          <w:szCs w:val="28"/>
        </w:rPr>
      </w:pPr>
      <w:r>
        <w:rPr>
          <w:color w:val="000000"/>
          <w:sz w:val="28"/>
          <w:szCs w:val="28"/>
        </w:rPr>
        <w:t>By relying on the Haber-Bosch process, a</w:t>
      </w:r>
      <w:r w:rsidR="003B4BBC" w:rsidRPr="00CD4B84">
        <w:rPr>
          <w:color w:val="000000"/>
          <w:sz w:val="28"/>
          <w:szCs w:val="28"/>
        </w:rPr>
        <w:t>rtificial nitrates, including ammonium nitrate (NH</w:t>
      </w:r>
      <w:r w:rsidR="003B4BBC" w:rsidRPr="00CD4B84">
        <w:rPr>
          <w:color w:val="000000"/>
          <w:sz w:val="28"/>
          <w:szCs w:val="28"/>
          <w:vertAlign w:val="subscript"/>
        </w:rPr>
        <w:t>4</w:t>
      </w:r>
      <w:r w:rsidR="003B4BBC" w:rsidRPr="00CD4B84">
        <w:rPr>
          <w:color w:val="000000"/>
          <w:sz w:val="28"/>
          <w:szCs w:val="28"/>
        </w:rPr>
        <w:t>NO</w:t>
      </w:r>
      <w:r w:rsidR="003B4BBC" w:rsidRPr="00CD4B84">
        <w:rPr>
          <w:color w:val="000000"/>
          <w:sz w:val="28"/>
          <w:szCs w:val="28"/>
          <w:vertAlign w:val="subscript"/>
        </w:rPr>
        <w:t>3</w:t>
      </w:r>
      <w:r w:rsidR="003B4BBC" w:rsidRPr="00CD4B84">
        <w:rPr>
          <w:color w:val="000000"/>
          <w:sz w:val="28"/>
          <w:szCs w:val="28"/>
        </w:rPr>
        <w:t xml:space="preserve">), have replaced such natural sources as the </w:t>
      </w:r>
      <w:r w:rsidR="003B4BBC" w:rsidRPr="00CD4B84">
        <w:rPr>
          <w:color w:val="000000"/>
          <w:sz w:val="28"/>
          <w:szCs w:val="28"/>
        </w:rPr>
        <w:lastRenderedPageBreak/>
        <w:t>Chilean nitrates (NaNO</w:t>
      </w:r>
      <w:r w:rsidR="003B4BBC" w:rsidRPr="00CD4B84">
        <w:rPr>
          <w:color w:val="000000"/>
          <w:sz w:val="28"/>
          <w:szCs w:val="28"/>
          <w:vertAlign w:val="subscript"/>
        </w:rPr>
        <w:t>3</w:t>
      </w:r>
      <w:r w:rsidR="003B4BBC" w:rsidRPr="00CD4B84">
        <w:rPr>
          <w:color w:val="000000"/>
          <w:sz w:val="28"/>
          <w:szCs w:val="28"/>
        </w:rPr>
        <w:t>) that were mined and exported worldwide through the end of the nineteenth century and the beginning of the twentieth.</w:t>
      </w:r>
    </w:p>
    <w:p w:rsidR="003B4BBC" w:rsidRPr="00CD4B84" w:rsidRDefault="003B4BBC" w:rsidP="00D422F6">
      <w:pPr>
        <w:widowControl w:val="0"/>
        <w:autoSpaceDE w:val="0"/>
        <w:autoSpaceDN w:val="0"/>
        <w:adjustRightInd w:val="0"/>
        <w:jc w:val="both"/>
        <w:rPr>
          <w:color w:val="000000"/>
          <w:sz w:val="28"/>
          <w:szCs w:val="28"/>
        </w:rPr>
      </w:pPr>
    </w:p>
    <w:p w:rsidR="003B4BBC" w:rsidRPr="00CD4B84" w:rsidRDefault="003B4BBC" w:rsidP="00D422F6">
      <w:pPr>
        <w:widowControl w:val="0"/>
        <w:autoSpaceDE w:val="0"/>
        <w:autoSpaceDN w:val="0"/>
        <w:adjustRightInd w:val="0"/>
        <w:jc w:val="both"/>
        <w:rPr>
          <w:color w:val="000000"/>
          <w:sz w:val="28"/>
          <w:szCs w:val="28"/>
        </w:rPr>
      </w:pPr>
      <w:r w:rsidRPr="00CD4B84">
        <w:rPr>
          <w:color w:val="000000"/>
          <w:sz w:val="28"/>
          <w:szCs w:val="28"/>
        </w:rPr>
        <w:t>Nitrogen is one of the basic building blocks of life.  While it is abundant in the atmosphere, its molecular form (N</w:t>
      </w:r>
      <w:r w:rsidRPr="00CD4B84">
        <w:rPr>
          <w:color w:val="000000"/>
          <w:sz w:val="28"/>
          <w:szCs w:val="28"/>
          <w:vertAlign w:val="subscript"/>
        </w:rPr>
        <w:t>2</w:t>
      </w:r>
      <w:r w:rsidRPr="00CD4B84">
        <w:rPr>
          <w:color w:val="000000"/>
          <w:sz w:val="28"/>
          <w:szCs w:val="28"/>
        </w:rPr>
        <w:t>) is relatively inert, chemically speaking.  For nitrogen to become part of a more reactive compound such as nitrate or ammonium (better suited to life's biochemical needs), it must be "fixed".  In nature, this conversion is done either by bacteria associated with plants or the soil, or by lightning.  (A thunderbolt will dissociate a nitrogen molecule, allowing one nitrogen atom to react with the free oxygen formed at the same time and produce nitric oxide.  Nitric oxide gives rise to nitrogen dioxide, which combines with water to form dilute nitric acid.  Falling to the earth as rain, the acid reacts with minerals in the soil to form nitrates then taken up by life forms.)</w:t>
      </w:r>
    </w:p>
    <w:p w:rsidR="003B4BBC" w:rsidRPr="00CD4B84" w:rsidRDefault="003B4BBC" w:rsidP="00D422F6">
      <w:pPr>
        <w:widowControl w:val="0"/>
        <w:autoSpaceDE w:val="0"/>
        <w:autoSpaceDN w:val="0"/>
        <w:adjustRightInd w:val="0"/>
        <w:jc w:val="both"/>
        <w:rPr>
          <w:color w:val="000000"/>
          <w:sz w:val="28"/>
          <w:szCs w:val="28"/>
        </w:rPr>
      </w:pPr>
    </w:p>
    <w:p w:rsidR="003B4BBC" w:rsidRPr="00CD4B84"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However, starting with Haber, scientists have found more and more ways to "fix" nitrogen artificially.  This was a boon for the production of both munitions (high explosives) and fertilizers.  The large-scale munitions plant set up during World War II in the </w:t>
      </w:r>
      <w:smartTag w:uri="urn:schemas-microsoft-com:office:smarttags" w:element="place">
        <w:smartTag w:uri="urn:schemas-microsoft-com:office:smarttags" w:element="country-region">
          <w:r w:rsidRPr="00CD4B84">
            <w:rPr>
              <w:color w:val="000000"/>
              <w:sz w:val="28"/>
              <w:szCs w:val="28"/>
            </w:rPr>
            <w:t>United States</w:t>
          </w:r>
        </w:smartTag>
      </w:smartTag>
      <w:r w:rsidRPr="00CD4B84">
        <w:rPr>
          <w:color w:val="000000"/>
          <w:sz w:val="28"/>
          <w:szCs w:val="28"/>
        </w:rPr>
        <w:t xml:space="preserve"> led to a long-lasting decline in the real price of fertilizer after the war, as much had been learned about maximizing production of the raw material for both.  Yet, as fertilizers became cheaper than ever, there were consequences downstream.</w:t>
      </w:r>
    </w:p>
    <w:p w:rsidR="003B4BBC" w:rsidRPr="00CD4B84" w:rsidRDefault="003B4BBC" w:rsidP="00D422F6">
      <w:pPr>
        <w:widowControl w:val="0"/>
        <w:autoSpaceDE w:val="0"/>
        <w:autoSpaceDN w:val="0"/>
        <w:adjustRightInd w:val="0"/>
        <w:jc w:val="both"/>
        <w:rPr>
          <w:color w:val="000000"/>
          <w:sz w:val="28"/>
          <w:szCs w:val="28"/>
        </w:rPr>
      </w:pPr>
    </w:p>
    <w:p w:rsidR="003B4BBC" w:rsidRPr="00CD4B84"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Since many plant species are adapted to and function best in soils and waters containing low levels of available nitrogen, not all nitrates provided by fertilizers are taken up and the excess is often washed into waterways.  In rivers, lakes, and seas, these nitrates often end up fertilizing marine plants and blue-green algae (cyanobacteria), resulting in summertime growth explosions that produce </w:t>
      </w:r>
      <w:r w:rsidRPr="00CD4B84">
        <w:rPr>
          <w:i/>
          <w:iCs/>
          <w:color w:val="000000"/>
          <w:sz w:val="28"/>
          <w:szCs w:val="28"/>
        </w:rPr>
        <w:t>blooms</w:t>
      </w:r>
      <w:r w:rsidRPr="00CD4B84">
        <w:rPr>
          <w:color w:val="000000"/>
          <w:sz w:val="28"/>
          <w:szCs w:val="28"/>
        </w:rPr>
        <w:t xml:space="preserve">.  </w:t>
      </w:r>
    </w:p>
    <w:p w:rsidR="003B4BBC" w:rsidRPr="00CD4B84" w:rsidRDefault="003B4BBC" w:rsidP="00D422F6">
      <w:pPr>
        <w:widowControl w:val="0"/>
        <w:autoSpaceDE w:val="0"/>
        <w:autoSpaceDN w:val="0"/>
        <w:adjustRightInd w:val="0"/>
        <w:jc w:val="both"/>
        <w:rPr>
          <w:color w:val="000000"/>
          <w:sz w:val="28"/>
          <w:szCs w:val="28"/>
        </w:rPr>
      </w:pPr>
    </w:p>
    <w:p w:rsidR="003B4BBC" w:rsidRPr="00CD4B84"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(The overenrichment of the sea by nutrients, mainly nitrogen and phosphorus, is known as </w:t>
      </w:r>
      <w:r w:rsidRPr="00CD4B84">
        <w:rPr>
          <w:i/>
          <w:iCs/>
          <w:color w:val="000000"/>
          <w:sz w:val="28"/>
          <w:szCs w:val="28"/>
        </w:rPr>
        <w:t>eutrophication</w:t>
      </w:r>
      <w:r w:rsidRPr="00CD4B84">
        <w:rPr>
          <w:color w:val="000000"/>
          <w:sz w:val="28"/>
          <w:szCs w:val="28"/>
        </w:rPr>
        <w:t>.  Sources of these nutrients include fertilizers and agricultural run-off incorporating animal excrement, as well as industrial and urban waste discharges accounting for much of the phosphorus</w:t>
      </w:r>
      <w:r>
        <w:rPr>
          <w:sz w:val="28"/>
          <w:szCs w:val="28"/>
        </w:rPr>
        <w:t>—</w:t>
      </w:r>
      <w:r w:rsidRPr="00CD4B84">
        <w:rPr>
          <w:color w:val="000000"/>
          <w:sz w:val="28"/>
          <w:szCs w:val="28"/>
        </w:rPr>
        <w:t xml:space="preserve">in the form of polyphosphate detergents, for instance.  Ideally, the amounts of both nitrogen and phosphorus thus delivered should be reduced in order to reduce eutrophication.) </w:t>
      </w:r>
    </w:p>
    <w:p w:rsidR="003B4BBC" w:rsidRPr="00CD4B84" w:rsidRDefault="003B4BBC" w:rsidP="00D422F6">
      <w:pPr>
        <w:widowControl w:val="0"/>
        <w:autoSpaceDE w:val="0"/>
        <w:autoSpaceDN w:val="0"/>
        <w:adjustRightInd w:val="0"/>
        <w:jc w:val="both"/>
        <w:rPr>
          <w:color w:val="000000"/>
          <w:sz w:val="28"/>
          <w:szCs w:val="28"/>
        </w:rPr>
      </w:pPr>
    </w:p>
    <w:p w:rsidR="003B4BBC" w:rsidRPr="00CD4B84"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Fertilizer-driven blooms block the light required by bottom-dwelling photosynthesizers, envelop coral reefs, produce large quantities of toxins, </w:t>
      </w:r>
      <w:r w:rsidRPr="00CD4B84">
        <w:rPr>
          <w:color w:val="000000"/>
          <w:sz w:val="28"/>
          <w:szCs w:val="28"/>
        </w:rPr>
        <w:lastRenderedPageBreak/>
        <w:t>and then decompose, falling to the bottom.  They also perturb the food chain, especially if top predator species are being overfished, opening it to invasive species.</w:t>
      </w:r>
    </w:p>
    <w:p w:rsidR="003B4BBC" w:rsidRPr="00CD4B84" w:rsidRDefault="003B4BBC" w:rsidP="00D422F6">
      <w:pPr>
        <w:widowControl w:val="0"/>
        <w:autoSpaceDE w:val="0"/>
        <w:autoSpaceDN w:val="0"/>
        <w:adjustRightInd w:val="0"/>
        <w:jc w:val="both"/>
        <w:rPr>
          <w:color w:val="000000"/>
          <w:sz w:val="28"/>
          <w:szCs w:val="28"/>
        </w:rPr>
      </w:pPr>
    </w:p>
    <w:p w:rsidR="003B4BBC" w:rsidRPr="00CD4B84" w:rsidRDefault="003B4BBC" w:rsidP="00D422F6">
      <w:pPr>
        <w:widowControl w:val="0"/>
        <w:autoSpaceDE w:val="0"/>
        <w:autoSpaceDN w:val="0"/>
        <w:adjustRightInd w:val="0"/>
        <w:jc w:val="both"/>
        <w:rPr>
          <w:color w:val="000000"/>
          <w:sz w:val="28"/>
          <w:szCs w:val="28"/>
        </w:rPr>
      </w:pPr>
      <w:r w:rsidRPr="00CD4B84">
        <w:rPr>
          <w:color w:val="000000"/>
          <w:sz w:val="28"/>
          <w:szCs w:val="28"/>
        </w:rPr>
        <w:t xml:space="preserve">The decay processes of the falling organic matter of a bloom consume oxygen dissolved in the water as bacteria feast on the remains and multiply, sucking vital oxygen from the surrounding seawater.  When oxygen levels fall below a certain point, fish and other marine life (such as shrimp) will suffocate and so blooms are associated with massive fish kills in addition to biochemical pollution.  Therefore, blooms often precede the formation of </w:t>
      </w:r>
      <w:r w:rsidRPr="00CD4B84">
        <w:rPr>
          <w:i/>
          <w:iCs/>
          <w:color w:val="000000"/>
          <w:sz w:val="28"/>
          <w:szCs w:val="28"/>
        </w:rPr>
        <w:t>dead zones</w:t>
      </w:r>
      <w:r w:rsidRPr="00CD4B84">
        <w:rPr>
          <w:color w:val="000000"/>
          <w:sz w:val="28"/>
          <w:szCs w:val="28"/>
        </w:rPr>
        <w:t xml:space="preserve">, devoid of most species except jellyfish and other highly-tolerant invaders, as in the Gulf of Mexico, the Baltic Sea or the </w:t>
      </w:r>
      <w:smartTag w:uri="urn:schemas-microsoft-com:office:smarttags" w:element="place">
        <w:r w:rsidRPr="00CD4B84">
          <w:rPr>
            <w:color w:val="000000"/>
            <w:sz w:val="28"/>
            <w:szCs w:val="28"/>
          </w:rPr>
          <w:t>Black Sea</w:t>
        </w:r>
      </w:smartTag>
      <w:r w:rsidRPr="00CD4B84">
        <w:rPr>
          <w:color w:val="000000"/>
          <w:sz w:val="28"/>
          <w:szCs w:val="28"/>
        </w:rPr>
        <w:t xml:space="preserve">.  In 2007 and 2008, the extent of the Gulf of Mexico dead zone topped 20,000 square kilometres : the increase of this dead zone explains in large part the steady decline in the landings of brown shrimp by </w:t>
      </w:r>
      <w:smartTag w:uri="urn:schemas-microsoft-com:office:smarttags" w:element="place">
        <w:smartTag w:uri="urn:schemas-microsoft-com:office:smarttags" w:element="State">
          <w:r w:rsidRPr="00CD4B84">
            <w:rPr>
              <w:color w:val="000000"/>
              <w:sz w:val="28"/>
              <w:szCs w:val="28"/>
            </w:rPr>
            <w:t>Louisiana</w:t>
          </w:r>
        </w:smartTag>
      </w:smartTag>
      <w:r w:rsidRPr="00CD4B84">
        <w:rPr>
          <w:color w:val="000000"/>
          <w:sz w:val="28"/>
          <w:szCs w:val="28"/>
        </w:rPr>
        <w:t xml:space="preserve"> shrimpers since 1990.</w:t>
      </w:r>
    </w:p>
    <w:p w:rsidR="003B4BBC" w:rsidRPr="00CD4B84" w:rsidRDefault="003B4BBC" w:rsidP="00D422F6">
      <w:pPr>
        <w:widowControl w:val="0"/>
        <w:autoSpaceDE w:val="0"/>
        <w:autoSpaceDN w:val="0"/>
        <w:adjustRightInd w:val="0"/>
        <w:jc w:val="both"/>
        <w:rPr>
          <w:color w:val="000000"/>
          <w:sz w:val="28"/>
          <w:szCs w:val="28"/>
        </w:rPr>
      </w:pPr>
    </w:p>
    <w:p w:rsidR="003B4BBC" w:rsidRPr="00CD4B84" w:rsidRDefault="003B4BBC" w:rsidP="00D422F6">
      <w:pPr>
        <w:widowControl w:val="0"/>
        <w:autoSpaceDE w:val="0"/>
        <w:autoSpaceDN w:val="0"/>
        <w:adjustRightInd w:val="0"/>
        <w:jc w:val="both"/>
        <w:rPr>
          <w:color w:val="000000"/>
          <w:sz w:val="28"/>
          <w:szCs w:val="28"/>
        </w:rPr>
      </w:pPr>
      <w:r w:rsidRPr="00CD4B84">
        <w:rPr>
          <w:color w:val="000000"/>
          <w:sz w:val="28"/>
          <w:szCs w:val="28"/>
        </w:rPr>
        <w:t>By some counts, nitrogen contamination of lakes, rivers, and bays is already the single greatest source of water pollution in the world, and it is expected to triple over the next 50 years.</w:t>
      </w:r>
    </w:p>
    <w:p w:rsidR="003B4BBC" w:rsidRDefault="003B4BBC" w:rsidP="00D422F6">
      <w:pPr>
        <w:widowControl w:val="0"/>
        <w:autoSpaceDE w:val="0"/>
        <w:autoSpaceDN w:val="0"/>
        <w:adjustRightInd w:val="0"/>
        <w:jc w:val="both"/>
        <w:rPr>
          <w:color w:val="000000"/>
          <w:sz w:val="28"/>
          <w:szCs w:val="28"/>
        </w:rPr>
      </w:pPr>
    </w:p>
    <w:p w:rsidR="00736219" w:rsidRPr="007F51B5" w:rsidRDefault="003B4BBC" w:rsidP="00D422F6">
      <w:pPr>
        <w:widowControl w:val="0"/>
        <w:autoSpaceDE w:val="0"/>
        <w:autoSpaceDN w:val="0"/>
        <w:adjustRightInd w:val="0"/>
        <w:jc w:val="both"/>
        <w:rPr>
          <w:color w:val="000000"/>
          <w:sz w:val="20"/>
          <w:szCs w:val="20"/>
        </w:rPr>
      </w:pPr>
      <w:r>
        <w:rPr>
          <w:color w:val="000000"/>
          <w:sz w:val="20"/>
          <w:szCs w:val="20"/>
        </w:rPr>
        <w:t xml:space="preserve">[Alan Olmstead and Paul Rhode, "The Transformation of Northern Agriculture, 1910-1990", in </w:t>
      </w:r>
      <w:r>
        <w:rPr>
          <w:i/>
          <w:iCs/>
          <w:color w:val="000000"/>
          <w:sz w:val="20"/>
          <w:szCs w:val="20"/>
        </w:rPr>
        <w:t xml:space="preserve">The </w:t>
      </w:r>
      <w:smartTag w:uri="urn:schemas-microsoft-com:office:smarttags" w:element="City">
        <w:r>
          <w:rPr>
            <w:i/>
            <w:iCs/>
            <w:color w:val="000000"/>
            <w:sz w:val="20"/>
            <w:szCs w:val="20"/>
          </w:rPr>
          <w:t>Cambridge</w:t>
        </w:r>
      </w:smartTag>
      <w:r>
        <w:rPr>
          <w:i/>
          <w:iCs/>
          <w:color w:val="000000"/>
          <w:sz w:val="20"/>
          <w:szCs w:val="20"/>
        </w:rPr>
        <w:t xml:space="preserve"> Economic History of the </w:t>
      </w:r>
      <w:smartTag w:uri="urn:schemas-microsoft-com:office:smarttags" w:element="place">
        <w:smartTag w:uri="urn:schemas-microsoft-com:office:smarttags" w:element="country-region">
          <w:r>
            <w:rPr>
              <w:i/>
              <w:iCs/>
              <w:color w:val="000000"/>
              <w:sz w:val="20"/>
              <w:szCs w:val="20"/>
            </w:rPr>
            <w:t>United States</w:t>
          </w:r>
        </w:smartTag>
      </w:smartTag>
      <w:r>
        <w:rPr>
          <w:color w:val="000000"/>
          <w:sz w:val="20"/>
          <w:szCs w:val="20"/>
        </w:rPr>
        <w:t xml:space="preserve">, Vol.  III, </w:t>
      </w:r>
      <w:smartTag w:uri="urn:schemas-microsoft-com:office:smarttags" w:element="place">
        <w:smartTag w:uri="urn:schemas-microsoft-com:office:smarttags" w:element="City">
          <w:r>
            <w:rPr>
              <w:color w:val="000000"/>
              <w:sz w:val="20"/>
              <w:szCs w:val="20"/>
            </w:rPr>
            <w:t>Stanley</w:t>
          </w:r>
        </w:smartTag>
      </w:smartTag>
      <w:r>
        <w:rPr>
          <w:color w:val="000000"/>
          <w:sz w:val="20"/>
          <w:szCs w:val="20"/>
        </w:rPr>
        <w:t xml:space="preserve"> Engerman and Robert Gallman, eds.  (</w:t>
      </w:r>
      <w:smartTag w:uri="urn:schemas-microsoft-com:office:smarttags" w:element="City">
        <w:r>
          <w:rPr>
            <w:color w:val="000000"/>
            <w:sz w:val="20"/>
            <w:szCs w:val="20"/>
          </w:rPr>
          <w:t>Cambridge</w:t>
        </w:r>
      </w:smartTag>
      <w:r>
        <w:rPr>
          <w:color w:val="000000"/>
          <w:sz w:val="20"/>
          <w:szCs w:val="20"/>
        </w:rPr>
        <w:t xml:space="preserve">:  </w:t>
      </w:r>
      <w:smartTag w:uri="urn:schemas-microsoft-com:office:smarttags" w:element="place">
        <w:smartTag w:uri="urn:schemas-microsoft-com:office:smarttags" w:element="City">
          <w:r>
            <w:rPr>
              <w:color w:val="000000"/>
              <w:sz w:val="20"/>
              <w:szCs w:val="20"/>
            </w:rPr>
            <w:t>Cambridge</w:t>
          </w:r>
        </w:smartTag>
      </w:smartTag>
      <w:r>
        <w:rPr>
          <w:color w:val="000000"/>
          <w:sz w:val="20"/>
          <w:szCs w:val="20"/>
        </w:rPr>
        <w:t xml:space="preserve"> University Press), pp. 643-742; </w:t>
      </w:r>
      <w:hyperlink r:id="rId7" w:history="1">
        <w:r w:rsidR="00736219" w:rsidRPr="006973B2">
          <w:rPr>
            <w:rStyle w:val="Hyperlink"/>
            <w:sz w:val="20"/>
            <w:szCs w:val="20"/>
          </w:rPr>
          <w:t>http://www.gulfhypoxia.net</w:t>
        </w:r>
      </w:hyperlink>
      <w:r w:rsidR="009A5024">
        <w:rPr>
          <w:color w:val="000000"/>
          <w:sz w:val="20"/>
          <w:szCs w:val="20"/>
        </w:rPr>
        <w:t xml:space="preserve">; Jonathan A. Foley, “Can we feed the world and sustain the planet?”, </w:t>
      </w:r>
      <w:r w:rsidR="009A5024" w:rsidRPr="009A5024">
        <w:rPr>
          <w:i/>
          <w:color w:val="000000"/>
          <w:sz w:val="20"/>
          <w:szCs w:val="20"/>
        </w:rPr>
        <w:t>Scientific American</w:t>
      </w:r>
      <w:r w:rsidR="009A5024">
        <w:rPr>
          <w:color w:val="000000"/>
          <w:sz w:val="20"/>
          <w:szCs w:val="20"/>
        </w:rPr>
        <w:t xml:space="preserve"> (November 2011), pp. 60-65.]</w:t>
      </w:r>
    </w:p>
    <w:p w:rsidR="00D422F6" w:rsidRPr="007F51B5" w:rsidRDefault="00D422F6">
      <w:pPr>
        <w:widowControl w:val="0"/>
        <w:autoSpaceDE w:val="0"/>
        <w:autoSpaceDN w:val="0"/>
        <w:adjustRightInd w:val="0"/>
        <w:jc w:val="both"/>
        <w:rPr>
          <w:color w:val="000000"/>
          <w:sz w:val="20"/>
          <w:szCs w:val="20"/>
        </w:rPr>
      </w:pPr>
    </w:p>
    <w:sectPr w:rsidR="00D422F6" w:rsidRPr="007F51B5">
      <w:footerReference w:type="default" r:id="rId8"/>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2F6" w:rsidRDefault="00D422F6" w:rsidP="00D422F6">
      <w:r>
        <w:separator/>
      </w:r>
    </w:p>
  </w:endnote>
  <w:endnote w:type="continuationSeparator" w:id="0">
    <w:p w:rsidR="00D422F6" w:rsidRDefault="00D422F6" w:rsidP="00D42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2F6" w:rsidRDefault="00D422F6">
    <w:pPr>
      <w:pStyle w:val="Footer"/>
      <w:jc w:val="center"/>
    </w:pPr>
    <w:r>
      <w:fldChar w:fldCharType="begin"/>
    </w:r>
    <w:r>
      <w:instrText xml:space="preserve"> PAGE   \* MERGEFORMAT </w:instrText>
    </w:r>
    <w:r>
      <w:fldChar w:fldCharType="separate"/>
    </w:r>
    <w:r w:rsidR="009303F5">
      <w:rPr>
        <w:noProof/>
      </w:rPr>
      <w:t>6</w:t>
    </w:r>
    <w:r>
      <w:rPr>
        <w:noProof/>
      </w:rPr>
      <w:fldChar w:fldCharType="end"/>
    </w:r>
  </w:p>
  <w:p w:rsidR="00D422F6" w:rsidRDefault="00D422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2F6" w:rsidRDefault="00D422F6" w:rsidP="00D422F6">
      <w:r>
        <w:separator/>
      </w:r>
    </w:p>
  </w:footnote>
  <w:footnote w:type="continuationSeparator" w:id="0">
    <w:p w:rsidR="00D422F6" w:rsidRDefault="00D422F6" w:rsidP="00D422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B84"/>
    <w:rsid w:val="00020859"/>
    <w:rsid w:val="00133EEB"/>
    <w:rsid w:val="003B4BBC"/>
    <w:rsid w:val="00736219"/>
    <w:rsid w:val="007F51B5"/>
    <w:rsid w:val="009303F5"/>
    <w:rsid w:val="009A5024"/>
    <w:rsid w:val="00BF07AA"/>
    <w:rsid w:val="00CD4B84"/>
    <w:rsid w:val="00D422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736219"/>
    <w:rPr>
      <w:color w:val="0000FF"/>
      <w:u w:val="single"/>
    </w:rPr>
  </w:style>
  <w:style w:type="paragraph" w:styleId="Header">
    <w:name w:val="header"/>
    <w:basedOn w:val="Normal"/>
    <w:link w:val="HeaderChar"/>
    <w:rsid w:val="00D422F6"/>
    <w:pPr>
      <w:tabs>
        <w:tab w:val="center" w:pos="4680"/>
        <w:tab w:val="right" w:pos="9360"/>
      </w:tabs>
    </w:pPr>
  </w:style>
  <w:style w:type="character" w:customStyle="1" w:styleId="HeaderChar">
    <w:name w:val="Header Char"/>
    <w:link w:val="Header"/>
    <w:rsid w:val="00D422F6"/>
    <w:rPr>
      <w:sz w:val="24"/>
      <w:szCs w:val="24"/>
      <w:lang w:val="en-US" w:eastAsia="en-US"/>
    </w:rPr>
  </w:style>
  <w:style w:type="paragraph" w:styleId="Footer">
    <w:name w:val="footer"/>
    <w:basedOn w:val="Normal"/>
    <w:link w:val="FooterChar"/>
    <w:uiPriority w:val="99"/>
    <w:rsid w:val="00D422F6"/>
    <w:pPr>
      <w:tabs>
        <w:tab w:val="center" w:pos="4680"/>
        <w:tab w:val="right" w:pos="9360"/>
      </w:tabs>
    </w:pPr>
  </w:style>
  <w:style w:type="character" w:customStyle="1" w:styleId="FooterChar">
    <w:name w:val="Footer Char"/>
    <w:link w:val="Footer"/>
    <w:uiPriority w:val="99"/>
    <w:rsid w:val="00D422F6"/>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736219"/>
    <w:rPr>
      <w:color w:val="0000FF"/>
      <w:u w:val="single"/>
    </w:rPr>
  </w:style>
  <w:style w:type="paragraph" w:styleId="Header">
    <w:name w:val="header"/>
    <w:basedOn w:val="Normal"/>
    <w:link w:val="HeaderChar"/>
    <w:rsid w:val="00D422F6"/>
    <w:pPr>
      <w:tabs>
        <w:tab w:val="center" w:pos="4680"/>
        <w:tab w:val="right" w:pos="9360"/>
      </w:tabs>
    </w:pPr>
  </w:style>
  <w:style w:type="character" w:customStyle="1" w:styleId="HeaderChar">
    <w:name w:val="Header Char"/>
    <w:link w:val="Header"/>
    <w:rsid w:val="00D422F6"/>
    <w:rPr>
      <w:sz w:val="24"/>
      <w:szCs w:val="24"/>
      <w:lang w:val="en-US" w:eastAsia="en-US"/>
    </w:rPr>
  </w:style>
  <w:style w:type="paragraph" w:styleId="Footer">
    <w:name w:val="footer"/>
    <w:basedOn w:val="Normal"/>
    <w:link w:val="FooterChar"/>
    <w:uiPriority w:val="99"/>
    <w:rsid w:val="00D422F6"/>
    <w:pPr>
      <w:tabs>
        <w:tab w:val="center" w:pos="4680"/>
        <w:tab w:val="right" w:pos="9360"/>
      </w:tabs>
    </w:pPr>
  </w:style>
  <w:style w:type="character" w:customStyle="1" w:styleId="FooterChar">
    <w:name w:val="Footer Char"/>
    <w:link w:val="Footer"/>
    <w:uiPriority w:val="99"/>
    <w:rsid w:val="00D422F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gulfhypoxia.ne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6120</Words>
  <Characters>34889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The Atomic Age (March 16th, 2011)</vt:lpstr>
    </vt:vector>
  </TitlesOfParts>
  <Company/>
  <LinksUpToDate>false</LinksUpToDate>
  <CharactersWithSpaces>40928</CharactersWithSpaces>
  <SharedDoc>false</SharedDoc>
  <HLinks>
    <vt:vector size="6" baseType="variant">
      <vt:variant>
        <vt:i4>3866743</vt:i4>
      </vt:variant>
      <vt:variant>
        <vt:i4>0</vt:i4>
      </vt:variant>
      <vt:variant>
        <vt:i4>0</vt:i4>
      </vt:variant>
      <vt:variant>
        <vt:i4>5</vt:i4>
      </vt:variant>
      <vt:variant>
        <vt:lpwstr>http://www.gulfhypoxia.net/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Atomic Age (March 16th, 2011)</dc:title>
  <dc:creator>Trudel</dc:creator>
  <cp:lastModifiedBy>Joël</cp:lastModifiedBy>
  <cp:revision>2</cp:revision>
  <dcterms:created xsi:type="dcterms:W3CDTF">2012-04-06T17:26:00Z</dcterms:created>
  <dcterms:modified xsi:type="dcterms:W3CDTF">2012-04-06T17:26:00Z</dcterms:modified>
</cp:coreProperties>
</file>