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1816" w:rsidRDefault="00801816" w:rsidP="00801816">
      <w:pPr>
        <w:spacing w:after="0" w:line="240" w:lineRule="auto"/>
      </w:pPr>
      <w:r>
        <w:rPr>
          <w:b/>
          <w:u w:val="single"/>
        </w:rPr>
        <w:t>Defining Tort Law</w:t>
      </w:r>
      <w:r>
        <w:t>:</w:t>
      </w:r>
    </w:p>
    <w:p w:rsidR="00801816" w:rsidRPr="00981DE2" w:rsidRDefault="00801816" w:rsidP="00801816">
      <w:pPr>
        <w:pStyle w:val="ListParagraph"/>
        <w:numPr>
          <w:ilvl w:val="0"/>
          <w:numId w:val="2"/>
        </w:numPr>
        <w:spacing w:after="0" w:line="240" w:lineRule="auto"/>
        <w:rPr>
          <w:rFonts w:ascii="Calibri" w:hAnsi="Calibri"/>
        </w:rPr>
      </w:pPr>
      <w:r w:rsidRPr="00981DE2">
        <w:rPr>
          <w:rFonts w:ascii="Calibri" w:hAnsi="Calibri"/>
          <w:b/>
        </w:rPr>
        <w:t>Tort</w:t>
      </w:r>
      <w:r w:rsidRPr="00981DE2">
        <w:rPr>
          <w:rFonts w:ascii="Calibri" w:hAnsi="Calibri"/>
        </w:rPr>
        <w:t xml:space="preserve">:  </w:t>
      </w:r>
      <w:proofErr w:type="gramStart"/>
      <w:r w:rsidRPr="00981DE2">
        <w:rPr>
          <w:rFonts w:ascii="Calibri" w:hAnsi="Calibri"/>
        </w:rPr>
        <w:t>A harm</w:t>
      </w:r>
      <w:proofErr w:type="gramEnd"/>
      <w:r w:rsidRPr="00981DE2">
        <w:rPr>
          <w:rFonts w:ascii="Calibri" w:hAnsi="Calibri"/>
        </w:rPr>
        <w:t xml:space="preserve"> caused by one person to another, other than through breach of contract, and for which the law provides a remedy.</w:t>
      </w:r>
    </w:p>
    <w:p w:rsidR="00801816" w:rsidRPr="00981DE2" w:rsidRDefault="00801816" w:rsidP="00801816">
      <w:pPr>
        <w:pStyle w:val="ListParagraph"/>
        <w:numPr>
          <w:ilvl w:val="0"/>
          <w:numId w:val="3"/>
        </w:numPr>
        <w:spacing w:after="0" w:line="240" w:lineRule="auto"/>
        <w:rPr>
          <w:rFonts w:ascii="Calibri" w:hAnsi="Calibri"/>
          <w:color w:val="FF0000"/>
        </w:rPr>
      </w:pPr>
      <w:r w:rsidRPr="00981DE2">
        <w:rPr>
          <w:rFonts w:ascii="Calibri" w:hAnsi="Calibri"/>
          <w:b/>
          <w:color w:val="FF0000"/>
        </w:rPr>
        <w:t>Example</w:t>
      </w:r>
      <w:r w:rsidRPr="00981DE2">
        <w:rPr>
          <w:rFonts w:ascii="Calibri" w:hAnsi="Calibri"/>
          <w:color w:val="FF0000"/>
        </w:rPr>
        <w:t xml:space="preserve">: The NFL player who got tackled before receiving the ball. No criminal charges since there were </w:t>
      </w:r>
      <w:proofErr w:type="gramStart"/>
      <w:r w:rsidRPr="00981DE2">
        <w:rPr>
          <w:rFonts w:ascii="Calibri" w:hAnsi="Calibri"/>
          <w:color w:val="FF0000"/>
        </w:rPr>
        <w:t>no</w:t>
      </w:r>
      <w:proofErr w:type="gramEnd"/>
      <w:r w:rsidRPr="00981DE2">
        <w:rPr>
          <w:rFonts w:ascii="Calibri" w:hAnsi="Calibri"/>
          <w:color w:val="FF0000"/>
        </w:rPr>
        <w:t xml:space="preserve"> permanent damages.</w:t>
      </w:r>
    </w:p>
    <w:p w:rsidR="00801816" w:rsidRPr="00981DE2" w:rsidRDefault="00801816" w:rsidP="00801816">
      <w:pPr>
        <w:pStyle w:val="ListParagraph"/>
        <w:numPr>
          <w:ilvl w:val="0"/>
          <w:numId w:val="2"/>
        </w:numPr>
        <w:spacing w:after="0" w:line="240" w:lineRule="auto"/>
        <w:rPr>
          <w:rFonts w:ascii="Calibri" w:hAnsi="Calibri"/>
        </w:rPr>
      </w:pPr>
      <w:r w:rsidRPr="00981DE2">
        <w:rPr>
          <w:rFonts w:ascii="Calibri" w:hAnsi="Calibri"/>
          <w:b/>
        </w:rPr>
        <w:t>Trespass to Land</w:t>
      </w:r>
      <w:r w:rsidRPr="00981DE2">
        <w:rPr>
          <w:rFonts w:ascii="Calibri" w:hAnsi="Calibri"/>
        </w:rPr>
        <w:t>: Wrongful interference with someone's possession of land.</w:t>
      </w:r>
    </w:p>
    <w:p w:rsidR="00801816" w:rsidRPr="00981DE2" w:rsidRDefault="00801816" w:rsidP="00801816">
      <w:pPr>
        <w:pStyle w:val="ListParagraph"/>
        <w:numPr>
          <w:ilvl w:val="0"/>
          <w:numId w:val="2"/>
        </w:numPr>
        <w:spacing w:after="0" w:line="240" w:lineRule="auto"/>
        <w:rPr>
          <w:rFonts w:ascii="Calibri" w:hAnsi="Calibri"/>
        </w:rPr>
      </w:pPr>
      <w:r w:rsidRPr="00981DE2">
        <w:rPr>
          <w:rFonts w:ascii="Calibri" w:hAnsi="Calibri"/>
          <w:b/>
        </w:rPr>
        <w:t>Deceit</w:t>
      </w:r>
      <w:r w:rsidRPr="00981DE2">
        <w:rPr>
          <w:rFonts w:ascii="Calibri" w:hAnsi="Calibri"/>
        </w:rPr>
        <w:t>: A false representation intentionally or recklessly made by one person to another.</w:t>
      </w:r>
    </w:p>
    <w:p w:rsidR="00764CF1" w:rsidRPr="00981DE2" w:rsidRDefault="00764CF1" w:rsidP="00801816">
      <w:pPr>
        <w:pStyle w:val="ListParagraph"/>
        <w:numPr>
          <w:ilvl w:val="0"/>
          <w:numId w:val="2"/>
        </w:numPr>
        <w:spacing w:after="0" w:line="240" w:lineRule="auto"/>
        <w:rPr>
          <w:rFonts w:ascii="Calibri" w:hAnsi="Calibri"/>
        </w:rPr>
      </w:pPr>
      <w:r w:rsidRPr="00981DE2">
        <w:rPr>
          <w:rFonts w:ascii="Calibri" w:hAnsi="Calibri"/>
          <w:b/>
        </w:rPr>
        <w:t>Negligence</w:t>
      </w:r>
      <w:r w:rsidRPr="00981DE2">
        <w:rPr>
          <w:rFonts w:ascii="Calibri" w:hAnsi="Calibri"/>
        </w:rPr>
        <w:t xml:space="preserve">: Unreasonable conduct, including a careless act or </w:t>
      </w:r>
      <w:proofErr w:type="gramStart"/>
      <w:r w:rsidRPr="00981DE2">
        <w:rPr>
          <w:rFonts w:ascii="Calibri" w:hAnsi="Calibri"/>
        </w:rPr>
        <w:t>omission, that</w:t>
      </w:r>
      <w:proofErr w:type="gramEnd"/>
      <w:r w:rsidRPr="00981DE2">
        <w:rPr>
          <w:rFonts w:ascii="Calibri" w:hAnsi="Calibri"/>
        </w:rPr>
        <w:t xml:space="preserve"> causes harm.</w:t>
      </w:r>
    </w:p>
    <w:p w:rsidR="00764CF1" w:rsidRPr="00981DE2" w:rsidRDefault="00764CF1" w:rsidP="00764CF1">
      <w:pPr>
        <w:spacing w:after="0" w:line="240" w:lineRule="auto"/>
        <w:rPr>
          <w:rFonts w:ascii="Calibri" w:hAnsi="Calibri"/>
        </w:rPr>
      </w:pPr>
    </w:p>
    <w:p w:rsidR="00764CF1" w:rsidRPr="00981DE2" w:rsidRDefault="00764CF1" w:rsidP="00764CF1">
      <w:pPr>
        <w:spacing w:after="0" w:line="240" w:lineRule="auto"/>
        <w:rPr>
          <w:rFonts w:ascii="Calibri" w:hAnsi="Calibri"/>
        </w:rPr>
      </w:pPr>
      <w:r w:rsidRPr="00981DE2">
        <w:rPr>
          <w:rFonts w:ascii="Calibri" w:hAnsi="Calibri"/>
          <w:b/>
          <w:u w:val="single"/>
        </w:rPr>
        <w:t xml:space="preserve">How Torts are </w:t>
      </w:r>
      <w:proofErr w:type="gramStart"/>
      <w:r w:rsidRPr="00981DE2">
        <w:rPr>
          <w:rFonts w:ascii="Calibri" w:hAnsi="Calibri"/>
          <w:b/>
          <w:u w:val="single"/>
        </w:rPr>
        <w:t>Categorized</w:t>
      </w:r>
      <w:proofErr w:type="gramEnd"/>
      <w:r w:rsidRPr="00981DE2">
        <w:rPr>
          <w:rFonts w:ascii="Calibri" w:hAnsi="Calibri"/>
        </w:rPr>
        <w:t>:</w:t>
      </w:r>
    </w:p>
    <w:p w:rsidR="00764CF1" w:rsidRPr="00981DE2" w:rsidRDefault="00764CF1" w:rsidP="00764CF1">
      <w:pPr>
        <w:pStyle w:val="ListParagraph"/>
        <w:numPr>
          <w:ilvl w:val="0"/>
          <w:numId w:val="4"/>
        </w:numPr>
        <w:spacing w:after="0" w:line="240" w:lineRule="auto"/>
        <w:rPr>
          <w:rFonts w:ascii="Calibri" w:hAnsi="Calibri"/>
        </w:rPr>
      </w:pPr>
      <w:r w:rsidRPr="00981DE2">
        <w:rPr>
          <w:rFonts w:ascii="Calibri" w:hAnsi="Calibri"/>
          <w:b/>
        </w:rPr>
        <w:t>Intentional Torts</w:t>
      </w:r>
      <w:r w:rsidRPr="00981DE2">
        <w:rPr>
          <w:rFonts w:ascii="Calibri" w:hAnsi="Calibri"/>
        </w:rPr>
        <w:t xml:space="preserve">: A harmful act that is committed on purpose. </w:t>
      </w:r>
      <w:proofErr w:type="gramStart"/>
      <w:r w:rsidRPr="00981DE2">
        <w:rPr>
          <w:rFonts w:ascii="Calibri" w:hAnsi="Calibri"/>
          <w:b/>
        </w:rPr>
        <w:t>i.e</w:t>
      </w:r>
      <w:proofErr w:type="gramEnd"/>
      <w:r w:rsidRPr="00981DE2">
        <w:rPr>
          <w:rFonts w:ascii="Calibri" w:hAnsi="Calibri"/>
          <w:b/>
        </w:rPr>
        <w:t>. Assault or Battery</w:t>
      </w:r>
      <w:r w:rsidRPr="00981DE2">
        <w:rPr>
          <w:rFonts w:ascii="Calibri" w:hAnsi="Calibri"/>
        </w:rPr>
        <w:t>.</w:t>
      </w:r>
    </w:p>
    <w:p w:rsidR="00764CF1" w:rsidRPr="00981DE2" w:rsidRDefault="00764CF1" w:rsidP="00764CF1">
      <w:pPr>
        <w:pStyle w:val="ListParagraph"/>
        <w:numPr>
          <w:ilvl w:val="0"/>
          <w:numId w:val="4"/>
        </w:numPr>
        <w:spacing w:after="0" w:line="240" w:lineRule="auto"/>
        <w:rPr>
          <w:rFonts w:ascii="Calibri" w:hAnsi="Calibri"/>
        </w:rPr>
      </w:pPr>
      <w:r w:rsidRPr="00981DE2">
        <w:rPr>
          <w:rFonts w:ascii="Calibri" w:hAnsi="Calibri"/>
          <w:b/>
        </w:rPr>
        <w:t>Negligence Torts</w:t>
      </w:r>
      <w:r w:rsidRPr="00981DE2">
        <w:rPr>
          <w:rFonts w:ascii="Calibri" w:hAnsi="Calibri"/>
        </w:rPr>
        <w:t>: Breaching the rules of conduct.</w:t>
      </w:r>
    </w:p>
    <w:p w:rsidR="00764CF1" w:rsidRPr="00981DE2" w:rsidRDefault="00764CF1" w:rsidP="00764CF1">
      <w:pPr>
        <w:spacing w:after="0" w:line="240" w:lineRule="auto"/>
        <w:rPr>
          <w:rFonts w:ascii="Calibri" w:hAnsi="Calibri"/>
        </w:rPr>
      </w:pPr>
    </w:p>
    <w:p w:rsidR="00764CF1" w:rsidRPr="00981DE2" w:rsidRDefault="00764CF1" w:rsidP="00764CF1">
      <w:pPr>
        <w:spacing w:after="0" w:line="240" w:lineRule="auto"/>
        <w:rPr>
          <w:rFonts w:ascii="Calibri" w:hAnsi="Calibri"/>
        </w:rPr>
      </w:pPr>
      <w:r w:rsidRPr="00981DE2">
        <w:rPr>
          <w:rFonts w:ascii="Calibri" w:hAnsi="Calibri"/>
          <w:b/>
          <w:u w:val="single"/>
        </w:rPr>
        <w:t>Damages in Torts</w:t>
      </w:r>
      <w:r w:rsidRPr="00981DE2">
        <w:rPr>
          <w:rFonts w:ascii="Calibri" w:hAnsi="Calibri"/>
        </w:rPr>
        <w:t xml:space="preserve">: The primary goal of a tort remedy is to compensate the victim for loss caused by the defendant. </w:t>
      </w:r>
    </w:p>
    <w:p w:rsidR="00764CF1" w:rsidRPr="00981DE2" w:rsidRDefault="00764CF1" w:rsidP="00764CF1">
      <w:pPr>
        <w:pStyle w:val="ListParagraph"/>
        <w:numPr>
          <w:ilvl w:val="0"/>
          <w:numId w:val="2"/>
        </w:numPr>
        <w:spacing w:after="0" w:line="240" w:lineRule="auto"/>
        <w:rPr>
          <w:rFonts w:ascii="Calibri" w:hAnsi="Calibri"/>
        </w:rPr>
      </w:pPr>
      <w:r w:rsidRPr="00981DE2">
        <w:rPr>
          <w:rFonts w:ascii="Calibri" w:hAnsi="Calibri"/>
        </w:rPr>
        <w:t xml:space="preserve">Tort law compensates not only physical injury or loss but also for mental pain and suffering and other forms of emotional distress. </w:t>
      </w:r>
      <w:r w:rsidRPr="00981DE2">
        <w:rPr>
          <w:rFonts w:ascii="Calibri" w:hAnsi="Calibri"/>
          <w:b/>
        </w:rPr>
        <w:t>Emotional distress is hard to prove</w:t>
      </w:r>
      <w:r w:rsidRPr="00981DE2">
        <w:rPr>
          <w:rFonts w:ascii="Calibri" w:hAnsi="Calibri"/>
        </w:rPr>
        <w:t>.</w:t>
      </w:r>
    </w:p>
    <w:p w:rsidR="00764CF1" w:rsidRPr="00981DE2" w:rsidRDefault="00764CF1" w:rsidP="00764CF1">
      <w:pPr>
        <w:pStyle w:val="ListParagraph"/>
        <w:numPr>
          <w:ilvl w:val="0"/>
          <w:numId w:val="5"/>
        </w:numPr>
        <w:spacing w:after="0" w:line="240" w:lineRule="auto"/>
        <w:rPr>
          <w:rFonts w:ascii="Calibri" w:hAnsi="Calibri"/>
        </w:rPr>
      </w:pPr>
      <w:r w:rsidRPr="00981DE2">
        <w:rPr>
          <w:rFonts w:ascii="Calibri" w:hAnsi="Calibri"/>
          <w:b/>
        </w:rPr>
        <w:t>Non-Pecuniary Damages</w:t>
      </w:r>
      <w:r w:rsidRPr="00981DE2">
        <w:rPr>
          <w:rFonts w:ascii="Calibri" w:hAnsi="Calibri"/>
        </w:rPr>
        <w:t>: Compensation for pain and suffering, loss of employment, loss of life, and loss of life expectancy.</w:t>
      </w:r>
    </w:p>
    <w:p w:rsidR="00764CF1" w:rsidRPr="00981DE2" w:rsidRDefault="00764CF1" w:rsidP="00764CF1">
      <w:pPr>
        <w:pStyle w:val="ListParagraph"/>
        <w:numPr>
          <w:ilvl w:val="0"/>
          <w:numId w:val="5"/>
        </w:numPr>
        <w:spacing w:after="0" w:line="240" w:lineRule="auto"/>
        <w:rPr>
          <w:rFonts w:ascii="Calibri" w:hAnsi="Calibri"/>
        </w:rPr>
      </w:pPr>
      <w:r w:rsidRPr="00981DE2">
        <w:rPr>
          <w:rFonts w:ascii="Calibri" w:hAnsi="Calibri"/>
          <w:b/>
        </w:rPr>
        <w:t>Pecuniary Damages (monetary)</w:t>
      </w:r>
      <w:r w:rsidRPr="00981DE2">
        <w:rPr>
          <w:rFonts w:ascii="Calibri" w:hAnsi="Calibri"/>
        </w:rPr>
        <w:t>: Compensation for out-of-pocket expenses, loss of future income, and cost of future care.</w:t>
      </w:r>
    </w:p>
    <w:p w:rsidR="00C0385E" w:rsidRPr="00981DE2" w:rsidRDefault="00C0385E" w:rsidP="00764CF1">
      <w:pPr>
        <w:pStyle w:val="ListParagraph"/>
        <w:numPr>
          <w:ilvl w:val="0"/>
          <w:numId w:val="5"/>
        </w:numPr>
        <w:spacing w:after="0" w:line="240" w:lineRule="auto"/>
        <w:rPr>
          <w:rFonts w:ascii="Calibri" w:hAnsi="Calibri"/>
        </w:rPr>
      </w:pPr>
      <w:r w:rsidRPr="00981DE2">
        <w:rPr>
          <w:rFonts w:ascii="Calibri" w:hAnsi="Calibri"/>
          <w:b/>
        </w:rPr>
        <w:t>Punitive Damages</w:t>
      </w:r>
      <w:r w:rsidRPr="00981DE2">
        <w:rPr>
          <w:rFonts w:ascii="Calibri" w:hAnsi="Calibri"/>
        </w:rPr>
        <w:t>: Compensation for malicious, oppressive, and high-handed conduct.</w:t>
      </w:r>
    </w:p>
    <w:p w:rsidR="00C0385E" w:rsidRPr="00981DE2" w:rsidRDefault="00C0385E" w:rsidP="00764CF1">
      <w:pPr>
        <w:pStyle w:val="ListParagraph"/>
        <w:numPr>
          <w:ilvl w:val="0"/>
          <w:numId w:val="5"/>
        </w:numPr>
        <w:spacing w:after="0" w:line="240" w:lineRule="auto"/>
        <w:rPr>
          <w:rFonts w:ascii="Calibri" w:hAnsi="Calibri"/>
        </w:rPr>
      </w:pPr>
      <w:r w:rsidRPr="00981DE2">
        <w:rPr>
          <w:rFonts w:ascii="Calibri" w:hAnsi="Calibri"/>
          <w:b/>
        </w:rPr>
        <w:t>Aggravated Damages (Defamation)</w:t>
      </w:r>
      <w:r w:rsidRPr="00981DE2">
        <w:rPr>
          <w:rFonts w:ascii="Calibri" w:hAnsi="Calibri"/>
        </w:rPr>
        <w:t>: Compensation for intangible injuries such as distress and humiliation caused by the defendant's reprehensible conduct.</w:t>
      </w:r>
    </w:p>
    <w:p w:rsidR="00C0385E" w:rsidRPr="00981DE2" w:rsidRDefault="00C0385E" w:rsidP="00C0385E">
      <w:pPr>
        <w:spacing w:after="0" w:line="240" w:lineRule="auto"/>
        <w:rPr>
          <w:rFonts w:ascii="Calibri" w:hAnsi="Calibri"/>
        </w:rPr>
      </w:pPr>
    </w:p>
    <w:p w:rsidR="00C0385E" w:rsidRPr="00981DE2" w:rsidRDefault="00C0385E" w:rsidP="00C0385E">
      <w:pPr>
        <w:spacing w:after="0" w:line="240" w:lineRule="auto"/>
        <w:rPr>
          <w:rFonts w:ascii="Calibri" w:hAnsi="Calibri"/>
          <w:color w:val="FF0000"/>
        </w:rPr>
      </w:pPr>
      <w:r w:rsidRPr="00981DE2">
        <w:rPr>
          <w:rFonts w:ascii="Calibri" w:hAnsi="Calibri"/>
          <w:b/>
          <w:color w:val="FF0000"/>
        </w:rPr>
        <w:t>Example</w:t>
      </w:r>
      <w:r w:rsidRPr="00981DE2">
        <w:rPr>
          <w:rFonts w:ascii="Calibri" w:hAnsi="Calibri"/>
          <w:color w:val="FF0000"/>
        </w:rPr>
        <w:t>: Client wrote a negative evaluation of a restaurant. The restaurant owner found out who wrote the evaluation and started to write nasty e-mails and slander the person.</w:t>
      </w:r>
    </w:p>
    <w:p w:rsidR="00C0385E" w:rsidRPr="00981DE2" w:rsidRDefault="00C0385E" w:rsidP="00C0385E">
      <w:pPr>
        <w:pStyle w:val="ListParagraph"/>
        <w:numPr>
          <w:ilvl w:val="0"/>
          <w:numId w:val="2"/>
        </w:numPr>
        <w:spacing w:after="0" w:line="240" w:lineRule="auto"/>
        <w:rPr>
          <w:rFonts w:ascii="Calibri" w:hAnsi="Calibri"/>
          <w:color w:val="FF0000"/>
        </w:rPr>
      </w:pPr>
      <w:r w:rsidRPr="00981DE2">
        <w:rPr>
          <w:rFonts w:ascii="Calibri" w:hAnsi="Calibri"/>
          <w:color w:val="FF0000"/>
        </w:rPr>
        <w:t>She was found guilty of criminal slander – jailed for 90 days.</w:t>
      </w:r>
    </w:p>
    <w:p w:rsidR="00C0385E" w:rsidRPr="00981DE2" w:rsidRDefault="00C0385E" w:rsidP="00C0385E">
      <w:pPr>
        <w:spacing w:after="0" w:line="240" w:lineRule="auto"/>
        <w:rPr>
          <w:rFonts w:ascii="Calibri" w:hAnsi="Calibri"/>
        </w:rPr>
      </w:pPr>
    </w:p>
    <w:p w:rsidR="00C0385E" w:rsidRPr="00981DE2" w:rsidRDefault="00C0385E" w:rsidP="00764CF1">
      <w:pPr>
        <w:spacing w:after="0" w:line="240" w:lineRule="auto"/>
        <w:rPr>
          <w:rFonts w:ascii="Calibri" w:hAnsi="Calibri"/>
        </w:rPr>
      </w:pPr>
      <w:r w:rsidRPr="00981DE2">
        <w:rPr>
          <w:rFonts w:ascii="Calibri" w:hAnsi="Calibri"/>
          <w:b/>
          <w:u w:val="single"/>
        </w:rPr>
        <w:t>The Law of Negligence</w:t>
      </w:r>
      <w:r w:rsidRPr="00981DE2">
        <w:rPr>
          <w:rFonts w:ascii="Calibri" w:hAnsi="Calibri"/>
        </w:rPr>
        <w:t>: The law understands carelessness as a failure to show reasonable care.</w:t>
      </w:r>
    </w:p>
    <w:p w:rsidR="00C0385E" w:rsidRPr="00981DE2" w:rsidRDefault="00C0385E" w:rsidP="00C0385E">
      <w:pPr>
        <w:pStyle w:val="ListParagraph"/>
        <w:numPr>
          <w:ilvl w:val="0"/>
          <w:numId w:val="2"/>
        </w:numPr>
        <w:spacing w:after="0" w:line="240" w:lineRule="auto"/>
        <w:rPr>
          <w:rFonts w:ascii="Calibri" w:hAnsi="Calibri"/>
        </w:rPr>
      </w:pPr>
      <w:r w:rsidRPr="00981DE2">
        <w:rPr>
          <w:rFonts w:ascii="Calibri" w:hAnsi="Calibri"/>
          <w:b/>
        </w:rPr>
        <w:t>Reasonable Care</w:t>
      </w:r>
      <w:r w:rsidRPr="00981DE2">
        <w:rPr>
          <w:rFonts w:ascii="Calibri" w:hAnsi="Calibri"/>
        </w:rPr>
        <w:t>: The care a reasonable person would exhibit in a similar situation.</w:t>
      </w:r>
    </w:p>
    <w:p w:rsidR="00C0385E" w:rsidRPr="00981DE2" w:rsidRDefault="00C0385E" w:rsidP="00C0385E">
      <w:pPr>
        <w:pStyle w:val="ListParagraph"/>
        <w:numPr>
          <w:ilvl w:val="0"/>
          <w:numId w:val="2"/>
        </w:numPr>
        <w:spacing w:after="0" w:line="240" w:lineRule="auto"/>
        <w:rPr>
          <w:rFonts w:ascii="Calibri" w:hAnsi="Calibri"/>
        </w:rPr>
      </w:pPr>
      <w:r w:rsidRPr="00981DE2">
        <w:rPr>
          <w:rFonts w:ascii="Calibri" w:hAnsi="Calibri"/>
        </w:rPr>
        <w:t xml:space="preserve">The plaintiff need not </w:t>
      </w:r>
      <w:proofErr w:type="gramStart"/>
      <w:r w:rsidRPr="00981DE2">
        <w:rPr>
          <w:rFonts w:ascii="Calibri" w:hAnsi="Calibri"/>
        </w:rPr>
        <w:t>show  that</w:t>
      </w:r>
      <w:proofErr w:type="gramEnd"/>
      <w:r w:rsidRPr="00981DE2">
        <w:rPr>
          <w:rFonts w:ascii="Calibri" w:hAnsi="Calibri"/>
        </w:rPr>
        <w:t xml:space="preserve"> the defendant intended to cause the damage, instead the tort of negligence makes the defendant liable for failing to act reasonably.</w:t>
      </w:r>
    </w:p>
    <w:p w:rsidR="00C0385E" w:rsidRPr="00981DE2" w:rsidRDefault="00C0385E" w:rsidP="00C0385E">
      <w:pPr>
        <w:spacing w:after="0" w:line="240" w:lineRule="auto"/>
        <w:rPr>
          <w:rFonts w:ascii="Calibri" w:hAnsi="Calibri"/>
        </w:rPr>
      </w:pPr>
    </w:p>
    <w:p w:rsidR="00C0385E" w:rsidRPr="00981DE2" w:rsidRDefault="00C0385E" w:rsidP="00C0385E">
      <w:pPr>
        <w:spacing w:after="0" w:line="240" w:lineRule="auto"/>
        <w:rPr>
          <w:rFonts w:ascii="Calibri" w:hAnsi="Calibri"/>
        </w:rPr>
      </w:pPr>
      <w:r w:rsidRPr="00981DE2">
        <w:rPr>
          <w:rFonts w:ascii="Calibri" w:hAnsi="Calibri"/>
          <w:b/>
        </w:rPr>
        <w:t>Steps to a Negligence Action</w:t>
      </w:r>
      <w:r w:rsidRPr="00981DE2">
        <w:rPr>
          <w:rFonts w:ascii="Calibri" w:hAnsi="Calibri"/>
        </w:rPr>
        <w:t>:</w:t>
      </w:r>
    </w:p>
    <w:p w:rsidR="00F0116F" w:rsidRPr="00981DE2" w:rsidRDefault="00C0385E" w:rsidP="00C0385E">
      <w:pPr>
        <w:pStyle w:val="ListParagraph"/>
        <w:numPr>
          <w:ilvl w:val="0"/>
          <w:numId w:val="7"/>
        </w:numPr>
        <w:spacing w:after="0" w:line="240" w:lineRule="auto"/>
        <w:rPr>
          <w:rFonts w:ascii="Calibri" w:hAnsi="Calibri"/>
        </w:rPr>
      </w:pPr>
      <w:r w:rsidRPr="00981DE2">
        <w:rPr>
          <w:rFonts w:ascii="Calibri" w:hAnsi="Calibri"/>
          <w:b/>
        </w:rPr>
        <w:t>Does the defendant owe the plaintiff a duty of care</w:t>
      </w:r>
      <w:r w:rsidRPr="00981DE2">
        <w:rPr>
          <w:rFonts w:ascii="Calibri" w:hAnsi="Calibri"/>
        </w:rPr>
        <w:t>? A standard that needs to be met that was not met.</w:t>
      </w:r>
      <w:r w:rsidRPr="00981DE2">
        <w:rPr>
          <w:rFonts w:ascii="Calibri" w:hAnsi="Calibri"/>
          <w:b/>
        </w:rPr>
        <w:t xml:space="preserve"> </w:t>
      </w:r>
    </w:p>
    <w:p w:rsidR="00C0385E" w:rsidRPr="00981DE2" w:rsidRDefault="00C0385E" w:rsidP="00F0116F">
      <w:pPr>
        <w:pStyle w:val="ListParagraph"/>
        <w:numPr>
          <w:ilvl w:val="0"/>
          <w:numId w:val="3"/>
        </w:numPr>
        <w:spacing w:after="0" w:line="240" w:lineRule="auto"/>
        <w:rPr>
          <w:rFonts w:ascii="Calibri" w:hAnsi="Calibri"/>
        </w:rPr>
      </w:pPr>
      <w:r w:rsidRPr="00981DE2">
        <w:rPr>
          <w:rFonts w:ascii="Calibri" w:hAnsi="Calibri"/>
          <w:b/>
        </w:rPr>
        <w:t>Duty of Care</w:t>
      </w:r>
      <w:r w:rsidRPr="00981DE2">
        <w:rPr>
          <w:rFonts w:ascii="Calibri" w:hAnsi="Calibri"/>
        </w:rPr>
        <w:t xml:space="preserve"> – Responsibility to avoid careless conduct.</w:t>
      </w:r>
    </w:p>
    <w:p w:rsidR="00C0385E" w:rsidRPr="00981DE2" w:rsidRDefault="00C0385E" w:rsidP="00C0385E">
      <w:pPr>
        <w:pStyle w:val="ListParagraph"/>
        <w:numPr>
          <w:ilvl w:val="0"/>
          <w:numId w:val="7"/>
        </w:numPr>
        <w:spacing w:after="0" w:line="240" w:lineRule="auto"/>
        <w:rPr>
          <w:rFonts w:ascii="Calibri" w:hAnsi="Calibri"/>
        </w:rPr>
      </w:pPr>
      <w:r w:rsidRPr="00981DE2">
        <w:rPr>
          <w:rFonts w:ascii="Calibri" w:hAnsi="Calibri"/>
          <w:b/>
        </w:rPr>
        <w:t>Did the defendant breach the standard of care</w:t>
      </w:r>
      <w:r w:rsidRPr="00981DE2">
        <w:rPr>
          <w:rFonts w:ascii="Calibri" w:hAnsi="Calibri"/>
        </w:rPr>
        <w:t xml:space="preserve">? </w:t>
      </w:r>
      <w:r w:rsidR="00F0116F" w:rsidRPr="00981DE2">
        <w:rPr>
          <w:rFonts w:ascii="Calibri" w:hAnsi="Calibri"/>
        </w:rPr>
        <w:t xml:space="preserve">Is the defendant at fault for not meeting that standard? </w:t>
      </w:r>
    </w:p>
    <w:p w:rsidR="00F0116F" w:rsidRPr="00981DE2" w:rsidRDefault="00F0116F" w:rsidP="00C0385E">
      <w:pPr>
        <w:pStyle w:val="ListParagraph"/>
        <w:numPr>
          <w:ilvl w:val="0"/>
          <w:numId w:val="7"/>
        </w:numPr>
        <w:spacing w:after="0" w:line="240" w:lineRule="auto"/>
        <w:rPr>
          <w:rFonts w:ascii="Calibri" w:hAnsi="Calibri"/>
        </w:rPr>
      </w:pPr>
      <w:r w:rsidRPr="00981DE2">
        <w:rPr>
          <w:rFonts w:ascii="Calibri" w:hAnsi="Calibri"/>
          <w:b/>
        </w:rPr>
        <w:t>Did the careless act (or omission) cause the injury</w:t>
      </w:r>
      <w:r w:rsidRPr="00981DE2">
        <w:rPr>
          <w:rFonts w:ascii="Calibri" w:hAnsi="Calibri"/>
        </w:rPr>
        <w:t>?</w:t>
      </w:r>
    </w:p>
    <w:p w:rsidR="00F0116F" w:rsidRPr="00981DE2" w:rsidRDefault="00F0116F" w:rsidP="00F0116F">
      <w:pPr>
        <w:pStyle w:val="ListParagraph"/>
        <w:numPr>
          <w:ilvl w:val="0"/>
          <w:numId w:val="3"/>
        </w:numPr>
        <w:spacing w:after="0" w:line="240" w:lineRule="auto"/>
        <w:rPr>
          <w:rFonts w:ascii="Calibri" w:hAnsi="Calibri"/>
        </w:rPr>
      </w:pPr>
      <w:r w:rsidRPr="00981DE2">
        <w:rPr>
          <w:rFonts w:ascii="Calibri" w:hAnsi="Calibri"/>
          <w:b/>
        </w:rPr>
        <w:t>Causation</w:t>
      </w:r>
      <w:r w:rsidRPr="00981DE2">
        <w:rPr>
          <w:rFonts w:ascii="Calibri" w:hAnsi="Calibri"/>
        </w:rPr>
        <w:t>: Relationship that exists between defendant's conduct and plaintiff's injury.</w:t>
      </w:r>
    </w:p>
    <w:p w:rsidR="00F0116F" w:rsidRPr="00981DE2" w:rsidRDefault="00F0116F" w:rsidP="00C0385E">
      <w:pPr>
        <w:pStyle w:val="ListParagraph"/>
        <w:numPr>
          <w:ilvl w:val="0"/>
          <w:numId w:val="7"/>
        </w:numPr>
        <w:spacing w:after="0" w:line="240" w:lineRule="auto"/>
        <w:rPr>
          <w:rFonts w:ascii="Calibri" w:hAnsi="Calibri"/>
        </w:rPr>
      </w:pPr>
      <w:r w:rsidRPr="00981DE2">
        <w:rPr>
          <w:rFonts w:ascii="Calibri" w:hAnsi="Calibri"/>
          <w:b/>
        </w:rPr>
        <w:t>Was the injury suffered by the plaintiff too remote</w:t>
      </w:r>
      <w:r w:rsidRPr="00981DE2">
        <w:rPr>
          <w:rFonts w:ascii="Calibri" w:hAnsi="Calibri"/>
        </w:rPr>
        <w:t>?</w:t>
      </w:r>
    </w:p>
    <w:p w:rsidR="00F0116F" w:rsidRPr="00981DE2" w:rsidRDefault="00F0116F" w:rsidP="00F0116F">
      <w:pPr>
        <w:pStyle w:val="ListParagraph"/>
        <w:numPr>
          <w:ilvl w:val="0"/>
          <w:numId w:val="3"/>
        </w:numPr>
        <w:spacing w:after="0" w:line="240" w:lineRule="auto"/>
        <w:rPr>
          <w:rFonts w:ascii="Calibri" w:hAnsi="Calibri"/>
        </w:rPr>
      </w:pPr>
      <w:r w:rsidRPr="00981DE2">
        <w:rPr>
          <w:rFonts w:ascii="Calibri" w:hAnsi="Calibri"/>
          <w:b/>
        </w:rPr>
        <w:t>Remoteness of Damage</w:t>
      </w:r>
      <w:r w:rsidRPr="00981DE2">
        <w:rPr>
          <w:rFonts w:ascii="Calibri" w:hAnsi="Calibri"/>
        </w:rPr>
        <w:t>: The absence of a sufficiently close relationship between the defendant's actions and the plaintiff's injury.</w:t>
      </w:r>
    </w:p>
    <w:p w:rsidR="00F0116F" w:rsidRPr="00981DE2" w:rsidRDefault="00F0116F" w:rsidP="00F0116F">
      <w:pPr>
        <w:spacing w:after="0" w:line="240" w:lineRule="auto"/>
        <w:rPr>
          <w:rFonts w:ascii="Calibri" w:hAnsi="Calibri"/>
        </w:rPr>
      </w:pPr>
    </w:p>
    <w:p w:rsidR="00F0116F" w:rsidRPr="00981DE2" w:rsidRDefault="00F0116F" w:rsidP="00F0116F">
      <w:pPr>
        <w:spacing w:after="0" w:line="240" w:lineRule="auto"/>
        <w:rPr>
          <w:rFonts w:ascii="Calibri" w:hAnsi="Calibri"/>
          <w:b/>
        </w:rPr>
      </w:pPr>
    </w:p>
    <w:p w:rsidR="00F0116F" w:rsidRPr="00981DE2" w:rsidRDefault="00F0116F" w:rsidP="00F0116F">
      <w:pPr>
        <w:spacing w:after="0" w:line="240" w:lineRule="auto"/>
        <w:rPr>
          <w:rFonts w:ascii="Calibri" w:hAnsi="Calibri"/>
        </w:rPr>
      </w:pPr>
      <w:r w:rsidRPr="00981DE2">
        <w:rPr>
          <w:rFonts w:ascii="Calibri" w:hAnsi="Calibri"/>
          <w:b/>
        </w:rPr>
        <w:lastRenderedPageBreak/>
        <w:t>Thin Skull Rule</w:t>
      </w:r>
      <w:r w:rsidRPr="00981DE2">
        <w:rPr>
          <w:rFonts w:ascii="Calibri" w:hAnsi="Calibri"/>
        </w:rPr>
        <w:t>: The principle that a defendant is liable for the full extent of a plaintiff's injury even where a prior vulnerability makes the harm more serious than it otherwise might be.</w:t>
      </w:r>
    </w:p>
    <w:p w:rsidR="00F0116F" w:rsidRPr="00981DE2" w:rsidRDefault="00F0116F" w:rsidP="00F0116F">
      <w:pPr>
        <w:spacing w:after="0" w:line="240" w:lineRule="auto"/>
        <w:rPr>
          <w:rFonts w:ascii="Calibri" w:hAnsi="Calibri"/>
        </w:rPr>
      </w:pPr>
    </w:p>
    <w:p w:rsidR="00F0116F" w:rsidRPr="00981DE2" w:rsidRDefault="00F0116F" w:rsidP="00F0116F">
      <w:pPr>
        <w:spacing w:after="0" w:line="240" w:lineRule="auto"/>
        <w:rPr>
          <w:rFonts w:ascii="Calibri" w:hAnsi="Calibri"/>
        </w:rPr>
      </w:pPr>
      <w:r w:rsidRPr="00981DE2">
        <w:rPr>
          <w:rFonts w:ascii="Calibri" w:hAnsi="Calibri"/>
          <w:b/>
          <w:u w:val="single"/>
        </w:rPr>
        <w:t>Defences to a Negligence Action</w:t>
      </w:r>
      <w:r w:rsidRPr="00981DE2">
        <w:rPr>
          <w:rFonts w:ascii="Calibri" w:hAnsi="Calibri"/>
        </w:rPr>
        <w:t>:</w:t>
      </w:r>
    </w:p>
    <w:p w:rsidR="002A70D1" w:rsidRPr="00981DE2" w:rsidRDefault="002A70D1" w:rsidP="002A70D1">
      <w:pPr>
        <w:pStyle w:val="ListParagraph"/>
        <w:numPr>
          <w:ilvl w:val="0"/>
          <w:numId w:val="8"/>
        </w:numPr>
        <w:spacing w:after="0" w:line="240" w:lineRule="auto"/>
        <w:rPr>
          <w:rFonts w:ascii="Calibri" w:hAnsi="Calibri"/>
        </w:rPr>
      </w:pPr>
      <w:r w:rsidRPr="00981DE2">
        <w:rPr>
          <w:rFonts w:ascii="Calibri" w:hAnsi="Calibri"/>
          <w:b/>
        </w:rPr>
        <w:t>Risk Assumption</w:t>
      </w:r>
      <w:r w:rsidRPr="00981DE2">
        <w:rPr>
          <w:rFonts w:ascii="Calibri" w:hAnsi="Calibri"/>
        </w:rPr>
        <w:t>: The defence that no liability exists as the plaintiff agreed to accept the risk inherent in the activity.</w:t>
      </w:r>
    </w:p>
    <w:p w:rsidR="002A70D1" w:rsidRPr="00981DE2" w:rsidRDefault="002A70D1" w:rsidP="002A70D1">
      <w:pPr>
        <w:pStyle w:val="ListParagraph"/>
        <w:numPr>
          <w:ilvl w:val="0"/>
          <w:numId w:val="8"/>
        </w:numPr>
        <w:spacing w:after="0" w:line="240" w:lineRule="auto"/>
        <w:rPr>
          <w:rFonts w:ascii="Calibri" w:hAnsi="Calibri"/>
        </w:rPr>
      </w:pPr>
      <w:r w:rsidRPr="00981DE2">
        <w:rPr>
          <w:rFonts w:ascii="Calibri" w:hAnsi="Calibri"/>
          <w:b/>
        </w:rPr>
        <w:t>Contributory Negligence</w:t>
      </w:r>
      <w:r w:rsidRPr="00981DE2">
        <w:rPr>
          <w:rFonts w:ascii="Calibri" w:hAnsi="Calibri"/>
        </w:rPr>
        <w:t>: This defence recognizes that, in many instances, both the defendant and the plaintiff may have been negligent.</w:t>
      </w:r>
    </w:p>
    <w:p w:rsidR="002A70D1" w:rsidRPr="00981DE2" w:rsidRDefault="002A70D1" w:rsidP="002A70D1">
      <w:pPr>
        <w:pStyle w:val="ListParagraph"/>
        <w:numPr>
          <w:ilvl w:val="0"/>
          <w:numId w:val="8"/>
        </w:numPr>
        <w:spacing w:after="0" w:line="240" w:lineRule="auto"/>
        <w:rPr>
          <w:rFonts w:ascii="Calibri" w:hAnsi="Calibri"/>
        </w:rPr>
      </w:pPr>
      <w:r w:rsidRPr="00981DE2">
        <w:rPr>
          <w:rFonts w:ascii="Calibri" w:hAnsi="Calibri"/>
        </w:rPr>
        <w:t xml:space="preserve">When it deals with specific conduct. </w:t>
      </w:r>
    </w:p>
    <w:p w:rsidR="002A70D1" w:rsidRPr="00981DE2" w:rsidRDefault="002A70D1" w:rsidP="002A70D1">
      <w:pPr>
        <w:spacing w:after="0" w:line="240" w:lineRule="auto"/>
        <w:rPr>
          <w:rFonts w:ascii="Calibri" w:hAnsi="Calibri"/>
        </w:rPr>
      </w:pPr>
    </w:p>
    <w:p w:rsidR="002A70D1" w:rsidRPr="00981DE2" w:rsidRDefault="002A70D1" w:rsidP="002A70D1">
      <w:pPr>
        <w:spacing w:after="0" w:line="240" w:lineRule="auto"/>
        <w:rPr>
          <w:rFonts w:ascii="Calibri" w:hAnsi="Calibri"/>
        </w:rPr>
      </w:pPr>
      <w:r w:rsidRPr="00981DE2">
        <w:rPr>
          <w:rFonts w:ascii="Calibri" w:hAnsi="Calibri"/>
          <w:b/>
        </w:rPr>
        <w:t>Negligence and Product Liability</w:t>
      </w:r>
      <w:r w:rsidRPr="00981DE2">
        <w:rPr>
          <w:rFonts w:ascii="Calibri" w:hAnsi="Calibri"/>
        </w:rPr>
        <w:t>:</w:t>
      </w:r>
    </w:p>
    <w:p w:rsidR="002A70D1" w:rsidRPr="00981DE2" w:rsidRDefault="002A70D1" w:rsidP="002A70D1">
      <w:pPr>
        <w:pStyle w:val="ListParagraph"/>
        <w:numPr>
          <w:ilvl w:val="0"/>
          <w:numId w:val="2"/>
        </w:numPr>
        <w:spacing w:after="0" w:line="240" w:lineRule="auto"/>
        <w:rPr>
          <w:rFonts w:ascii="Calibri" w:hAnsi="Calibri"/>
        </w:rPr>
      </w:pPr>
      <w:r w:rsidRPr="00981DE2">
        <w:rPr>
          <w:rFonts w:ascii="Calibri" w:hAnsi="Calibri"/>
          <w:b/>
        </w:rPr>
        <w:t>Product Liability</w:t>
      </w:r>
      <w:r w:rsidRPr="00981DE2">
        <w:rPr>
          <w:rFonts w:ascii="Calibri" w:hAnsi="Calibri"/>
        </w:rPr>
        <w:t>: Liability relating to the design, manufacture, or sale of the product.</w:t>
      </w:r>
    </w:p>
    <w:p w:rsidR="002A70D1" w:rsidRPr="00981DE2" w:rsidRDefault="002A70D1" w:rsidP="002A70D1">
      <w:pPr>
        <w:spacing w:after="0" w:line="240" w:lineRule="auto"/>
        <w:rPr>
          <w:rFonts w:ascii="Calibri" w:hAnsi="Calibri"/>
        </w:rPr>
      </w:pPr>
    </w:p>
    <w:p w:rsidR="002A70D1" w:rsidRPr="00981DE2" w:rsidRDefault="002A70D1" w:rsidP="002A70D1">
      <w:pPr>
        <w:spacing w:after="0" w:line="240" w:lineRule="auto"/>
        <w:rPr>
          <w:rFonts w:ascii="Calibri" w:hAnsi="Calibri"/>
        </w:rPr>
      </w:pPr>
      <w:r w:rsidRPr="00981DE2">
        <w:rPr>
          <w:rFonts w:ascii="Calibri" w:hAnsi="Calibri"/>
          <w:b/>
          <w:u w:val="single"/>
        </w:rPr>
        <w:t>Torts and Property Use</w:t>
      </w:r>
      <w:r w:rsidRPr="00981DE2">
        <w:rPr>
          <w:rFonts w:ascii="Calibri" w:hAnsi="Calibri"/>
        </w:rPr>
        <w:t>:</w:t>
      </w:r>
    </w:p>
    <w:p w:rsidR="002A70D1" w:rsidRPr="00981DE2" w:rsidRDefault="002A70D1" w:rsidP="002A70D1">
      <w:pPr>
        <w:pStyle w:val="ListParagraph"/>
        <w:numPr>
          <w:ilvl w:val="0"/>
          <w:numId w:val="2"/>
        </w:numPr>
        <w:spacing w:after="0" w:line="240" w:lineRule="auto"/>
        <w:rPr>
          <w:rFonts w:ascii="Calibri" w:hAnsi="Calibri"/>
        </w:rPr>
      </w:pPr>
      <w:r w:rsidRPr="00981DE2">
        <w:rPr>
          <w:rFonts w:ascii="Calibri" w:hAnsi="Calibri"/>
          <w:b/>
        </w:rPr>
        <w:t>Occupier</w:t>
      </w:r>
      <w:r w:rsidRPr="00981DE2">
        <w:rPr>
          <w:rFonts w:ascii="Calibri" w:hAnsi="Calibri"/>
        </w:rPr>
        <w:t>: Someone who has a degree of control over lands or buildings. The law provides different levels of obligations (as shown below).</w:t>
      </w:r>
    </w:p>
    <w:p w:rsidR="002A70D1" w:rsidRPr="00981DE2" w:rsidRDefault="002A70D1" w:rsidP="002A70D1">
      <w:pPr>
        <w:pStyle w:val="ListParagraph"/>
        <w:numPr>
          <w:ilvl w:val="0"/>
          <w:numId w:val="2"/>
        </w:numPr>
        <w:spacing w:after="0" w:line="240" w:lineRule="auto"/>
        <w:rPr>
          <w:rFonts w:ascii="Calibri" w:hAnsi="Calibri"/>
        </w:rPr>
      </w:pPr>
      <w:r w:rsidRPr="00981DE2">
        <w:rPr>
          <w:rFonts w:ascii="Calibri" w:hAnsi="Calibri"/>
          <w:b/>
        </w:rPr>
        <w:t>Liability</w:t>
      </w:r>
      <w:r w:rsidRPr="00981DE2">
        <w:rPr>
          <w:rFonts w:ascii="Calibri" w:hAnsi="Calibri"/>
        </w:rPr>
        <w:t>: Occupiers have liability to anyone who enters onto their land or property.</w:t>
      </w:r>
    </w:p>
    <w:p w:rsidR="002A70D1" w:rsidRPr="00981DE2" w:rsidRDefault="002A70D1" w:rsidP="002A70D1">
      <w:pPr>
        <w:spacing w:after="0" w:line="240" w:lineRule="auto"/>
        <w:rPr>
          <w:rFonts w:ascii="Calibri" w:hAnsi="Calibri"/>
          <w:b/>
          <w:u w:val="single"/>
        </w:rPr>
      </w:pPr>
    </w:p>
    <w:p w:rsidR="002A70D1" w:rsidRPr="00981DE2" w:rsidRDefault="002A70D1" w:rsidP="002A70D1">
      <w:pPr>
        <w:spacing w:after="0" w:line="240" w:lineRule="auto"/>
        <w:rPr>
          <w:rFonts w:ascii="Calibri" w:hAnsi="Calibri"/>
        </w:rPr>
      </w:pPr>
      <w:r w:rsidRPr="00981DE2">
        <w:rPr>
          <w:rFonts w:ascii="Calibri" w:hAnsi="Calibri"/>
          <w:b/>
        </w:rPr>
        <w:t>Common Law has Four Tiers</w:t>
      </w:r>
      <w:r w:rsidRPr="00981DE2">
        <w:rPr>
          <w:rFonts w:ascii="Calibri" w:hAnsi="Calibri"/>
        </w:rPr>
        <w:t>:</w:t>
      </w:r>
    </w:p>
    <w:p w:rsidR="002A70D1" w:rsidRPr="00981DE2" w:rsidRDefault="002A70D1" w:rsidP="002A70D1">
      <w:pPr>
        <w:pStyle w:val="ListParagraph"/>
        <w:numPr>
          <w:ilvl w:val="0"/>
          <w:numId w:val="10"/>
        </w:numPr>
        <w:spacing w:after="0" w:line="240" w:lineRule="auto"/>
        <w:rPr>
          <w:rFonts w:ascii="Calibri" w:hAnsi="Calibri"/>
        </w:rPr>
      </w:pPr>
      <w:r w:rsidRPr="00981DE2">
        <w:rPr>
          <w:rFonts w:ascii="Calibri" w:hAnsi="Calibri"/>
          <w:b/>
        </w:rPr>
        <w:t>Contractual Entrant</w:t>
      </w:r>
      <w:r w:rsidRPr="00981DE2">
        <w:rPr>
          <w:rFonts w:ascii="Calibri" w:hAnsi="Calibri"/>
        </w:rPr>
        <w:t>: Any person who has paid (contracted) for the right to enter the premises.</w:t>
      </w:r>
    </w:p>
    <w:p w:rsidR="002A70D1" w:rsidRPr="00981DE2" w:rsidRDefault="002A70D1" w:rsidP="002A70D1">
      <w:pPr>
        <w:pStyle w:val="ListParagraph"/>
        <w:numPr>
          <w:ilvl w:val="0"/>
          <w:numId w:val="10"/>
        </w:numPr>
        <w:spacing w:after="0" w:line="240" w:lineRule="auto"/>
        <w:rPr>
          <w:rFonts w:ascii="Calibri" w:hAnsi="Calibri"/>
        </w:rPr>
      </w:pPr>
      <w:r w:rsidRPr="00981DE2">
        <w:rPr>
          <w:rFonts w:ascii="Calibri" w:hAnsi="Calibri"/>
          <w:b/>
        </w:rPr>
        <w:t>Invitee</w:t>
      </w:r>
      <w:r w:rsidRPr="00981DE2">
        <w:rPr>
          <w:rFonts w:ascii="Calibri" w:hAnsi="Calibri"/>
        </w:rPr>
        <w:t xml:space="preserve">: Someone who comes onto the property and will </w:t>
      </w:r>
      <w:proofErr w:type="gramStart"/>
      <w:r w:rsidRPr="00981DE2">
        <w:rPr>
          <w:rFonts w:ascii="Calibri" w:hAnsi="Calibri"/>
        </w:rPr>
        <w:t>provide  a</w:t>
      </w:r>
      <w:proofErr w:type="gramEnd"/>
      <w:r w:rsidRPr="00981DE2">
        <w:rPr>
          <w:rFonts w:ascii="Calibri" w:hAnsi="Calibri"/>
        </w:rPr>
        <w:t xml:space="preserve"> benefit to the occupier.</w:t>
      </w:r>
    </w:p>
    <w:p w:rsidR="002A70D1" w:rsidRPr="00981DE2" w:rsidRDefault="002A70D1" w:rsidP="002A70D1">
      <w:pPr>
        <w:pStyle w:val="ListParagraph"/>
        <w:numPr>
          <w:ilvl w:val="0"/>
          <w:numId w:val="10"/>
        </w:numPr>
        <w:spacing w:after="0" w:line="240" w:lineRule="auto"/>
        <w:rPr>
          <w:rFonts w:ascii="Calibri" w:hAnsi="Calibri"/>
        </w:rPr>
      </w:pPr>
      <w:r w:rsidRPr="00981DE2">
        <w:rPr>
          <w:rFonts w:ascii="Calibri" w:hAnsi="Calibri"/>
          <w:b/>
        </w:rPr>
        <w:t>Licensee</w:t>
      </w:r>
      <w:r w:rsidRPr="00981DE2">
        <w:rPr>
          <w:rFonts w:ascii="Calibri" w:hAnsi="Calibri"/>
        </w:rPr>
        <w:t>:  A person who does not bring a benefit but to which the occupier has no objection.</w:t>
      </w:r>
    </w:p>
    <w:p w:rsidR="002A70D1" w:rsidRPr="00981DE2" w:rsidRDefault="002A70D1" w:rsidP="002A70D1">
      <w:pPr>
        <w:pStyle w:val="ListParagraph"/>
        <w:numPr>
          <w:ilvl w:val="0"/>
          <w:numId w:val="10"/>
        </w:numPr>
        <w:spacing w:after="0" w:line="240" w:lineRule="auto"/>
        <w:rPr>
          <w:rFonts w:ascii="Calibri" w:hAnsi="Calibri"/>
        </w:rPr>
      </w:pPr>
      <w:r w:rsidRPr="00981DE2">
        <w:rPr>
          <w:rFonts w:ascii="Calibri" w:hAnsi="Calibri"/>
          <w:b/>
        </w:rPr>
        <w:t>Trespasser</w:t>
      </w:r>
      <w:r w:rsidRPr="00981DE2">
        <w:rPr>
          <w:rFonts w:ascii="Calibri" w:hAnsi="Calibri"/>
        </w:rPr>
        <w:t>: Any person who is not invited onto the property and whose presence is either unknown to the occupier or is objected to by the occupier.</w:t>
      </w:r>
    </w:p>
    <w:p w:rsidR="00573A91" w:rsidRPr="005C6EBE" w:rsidRDefault="00573A91" w:rsidP="00573A91">
      <w:r w:rsidRPr="005C6EBE">
        <w:t>When things are happy, people will put their signature. But when things are going bad, they all want to back out.</w:t>
      </w:r>
    </w:p>
    <w:p w:rsidR="00573A91" w:rsidRPr="005C6EBE" w:rsidRDefault="00573A91" w:rsidP="00573A91">
      <w:r w:rsidRPr="005C6EBE">
        <w:t>How do we manage to read the concept of same sex marriage to the charter of rights and freedoms? The words “IN PARTICULAR” are used in the charter, which suggests that there are more rights that aren’t included in what was stated</w:t>
      </w:r>
    </w:p>
    <w:p w:rsidR="00573A91" w:rsidRPr="005C6EBE" w:rsidRDefault="00573A91" w:rsidP="00573A91">
      <w:r w:rsidRPr="005C6EBE">
        <w:t xml:space="preserve">Moral rights system </w:t>
      </w:r>
      <w:r w:rsidRPr="005C6EBE">
        <w:sym w:font="Wingdings" w:char="F0E0"/>
      </w:r>
      <w:r w:rsidRPr="005C6EBE">
        <w:t xml:space="preserve"> legal rights society (these are the rules, and must oblige ourselves too)</w:t>
      </w:r>
    </w:p>
    <w:p w:rsidR="00573A91" w:rsidRPr="005C6EBE" w:rsidRDefault="00573A91" w:rsidP="00573A91">
      <w:r w:rsidRPr="005C6EBE">
        <w:t xml:space="preserve">Enforcement </w:t>
      </w:r>
      <w:r w:rsidRPr="005C6EBE">
        <w:sym w:font="Wingdings" w:char="F0E0"/>
      </w:r>
      <w:r w:rsidRPr="005C6EBE">
        <w:t xml:space="preserve"> the courts have all the authority to redress measure that is required to correct the charter of rights and freedoms.</w:t>
      </w:r>
    </w:p>
    <w:p w:rsidR="00573A91" w:rsidRPr="005C6EBE" w:rsidRDefault="00573A91" w:rsidP="00573A91">
      <w:pPr>
        <w:pStyle w:val="ListParagraph"/>
        <w:numPr>
          <w:ilvl w:val="0"/>
          <w:numId w:val="19"/>
        </w:numPr>
        <w:spacing w:after="0" w:line="240" w:lineRule="auto"/>
      </w:pPr>
      <w:r w:rsidRPr="005C6EBE">
        <w:t>The guardians of our democracy are the courts; sanctions if violated</w:t>
      </w:r>
    </w:p>
    <w:p w:rsidR="00573A91" w:rsidRPr="005C6EBE" w:rsidRDefault="00573A91" w:rsidP="00573A91">
      <w:pPr>
        <w:spacing w:after="0" w:line="240" w:lineRule="auto"/>
      </w:pPr>
    </w:p>
    <w:p w:rsidR="00573A91" w:rsidRPr="005C6EBE" w:rsidRDefault="00573A91" w:rsidP="00573A91">
      <w:r w:rsidRPr="005C6EBE">
        <w:t>If there is a violation of your property rights, the rights will protect you. And this strength of the legal system encourages investors because you are secured. There are so many things that could happen in the world, and knowing that if something happens, the courts will protect you if you deserve it.</w:t>
      </w:r>
    </w:p>
    <w:p w:rsidR="00573A91" w:rsidRPr="005C6EBE" w:rsidRDefault="00573A91" w:rsidP="00573A91">
      <w:pPr>
        <w:pStyle w:val="ListParagraph"/>
        <w:numPr>
          <w:ilvl w:val="0"/>
          <w:numId w:val="19"/>
        </w:numPr>
        <w:spacing w:after="0" w:line="240" w:lineRule="auto"/>
      </w:pPr>
      <w:r w:rsidRPr="005C6EBE">
        <w:t xml:space="preserve">If any evidence is obtained that is in disrepute, then the evidence would not be admissible even if the person is guilty. The standard of evidence is important because the procedure is very important. </w:t>
      </w:r>
    </w:p>
    <w:p w:rsidR="00573A91" w:rsidRPr="005C6EBE" w:rsidRDefault="00573A91" w:rsidP="00573A91">
      <w:pPr>
        <w:pStyle w:val="ListParagraph"/>
        <w:spacing w:after="0" w:line="240" w:lineRule="auto"/>
      </w:pPr>
    </w:p>
    <w:p w:rsidR="00573A91" w:rsidRPr="005C6EBE" w:rsidRDefault="00573A91" w:rsidP="00573A91">
      <w:pPr>
        <w:spacing w:after="0" w:line="240" w:lineRule="auto"/>
      </w:pPr>
      <w:r w:rsidRPr="005C6EBE">
        <w:t>“It is better to put 10 guilty out in society, than to put 1 innocent in jail”</w:t>
      </w:r>
    </w:p>
    <w:p w:rsidR="00573A91" w:rsidRPr="005C6EBE" w:rsidRDefault="00573A91" w:rsidP="00573A91">
      <w:pPr>
        <w:spacing w:after="0" w:line="240" w:lineRule="auto"/>
      </w:pPr>
    </w:p>
    <w:p w:rsidR="00573A91" w:rsidRPr="005C6EBE" w:rsidRDefault="00573A91" w:rsidP="00573A91">
      <w:pPr>
        <w:spacing w:after="0" w:line="240" w:lineRule="auto"/>
      </w:pPr>
      <w:r w:rsidRPr="005C6EBE">
        <w:rPr>
          <w:b/>
        </w:rPr>
        <w:t>What is a free and democratic society?</w:t>
      </w:r>
    </w:p>
    <w:p w:rsidR="00573A91" w:rsidRPr="005C6EBE" w:rsidRDefault="00573A91" w:rsidP="00573A91">
      <w:r w:rsidRPr="005C6EBE">
        <w:t>Threshold standard – When can we say that it is reasonable to impose a restriction?</w:t>
      </w:r>
    </w:p>
    <w:p w:rsidR="00573A91" w:rsidRPr="005C6EBE" w:rsidRDefault="00573A91" w:rsidP="00573A91">
      <w:pPr>
        <w:rPr>
          <w:b/>
        </w:rPr>
      </w:pPr>
      <w:r w:rsidRPr="005C6EBE">
        <w:rPr>
          <w:b/>
        </w:rPr>
        <w:t>The Oakes Test:</w:t>
      </w:r>
    </w:p>
    <w:p w:rsidR="00573A91" w:rsidRPr="005C6EBE" w:rsidRDefault="00573A91" w:rsidP="00573A91">
      <w:r w:rsidRPr="005C6EBE">
        <w:t>Dress code vs. religious right to where huge religious symbol</w:t>
      </w:r>
    </w:p>
    <w:p w:rsidR="00573A91" w:rsidRPr="005C6EBE" w:rsidRDefault="00573A91" w:rsidP="00573A91">
      <w:pPr>
        <w:pStyle w:val="ListParagraph"/>
        <w:numPr>
          <w:ilvl w:val="0"/>
          <w:numId w:val="20"/>
        </w:numPr>
        <w:spacing w:after="0" w:line="240" w:lineRule="auto"/>
      </w:pPr>
      <w:r w:rsidRPr="005C6EBE">
        <w:t>The objective to be served by measures limiting a charter right must be sufficiently important to warrant overriding a constitutional protected right or freedom (wear seatbelt to save lives)</w:t>
      </w:r>
    </w:p>
    <w:p w:rsidR="00573A91" w:rsidRPr="005C6EBE" w:rsidRDefault="00573A91" w:rsidP="00573A91">
      <w:pPr>
        <w:pStyle w:val="ListParagraph"/>
        <w:numPr>
          <w:ilvl w:val="0"/>
          <w:numId w:val="20"/>
        </w:numPr>
        <w:spacing w:after="0" w:line="240" w:lineRule="auto"/>
      </w:pPr>
      <w:r w:rsidRPr="005C6EBE">
        <w:t>The means are to be reasonable and demonstrably justified (seatbelts).  Reasonability test = proportionality test</w:t>
      </w:r>
    </w:p>
    <w:p w:rsidR="00573A91" w:rsidRPr="005C6EBE" w:rsidRDefault="00573A91" w:rsidP="00573A91">
      <w:pPr>
        <w:pStyle w:val="ListParagraph"/>
        <w:numPr>
          <w:ilvl w:val="1"/>
          <w:numId w:val="20"/>
        </w:numPr>
        <w:spacing w:after="0" w:line="240" w:lineRule="auto"/>
      </w:pPr>
      <w:r w:rsidRPr="005C6EBE">
        <w:t>Measures must be fair and not arbitrary, carefully designed to achieve the objective in question and rationally connected to the objective</w:t>
      </w:r>
    </w:p>
    <w:p w:rsidR="00573A91" w:rsidRPr="005C6EBE" w:rsidRDefault="00573A91" w:rsidP="00573A91">
      <w:pPr>
        <w:pStyle w:val="ListParagraph"/>
        <w:numPr>
          <w:ilvl w:val="1"/>
          <w:numId w:val="20"/>
        </w:numPr>
        <w:spacing w:after="0" w:line="240" w:lineRule="auto"/>
      </w:pPr>
      <w:r w:rsidRPr="005C6EBE">
        <w:t>The means should impair the right in question as little as possible (is there other ways of doing things the way today?)</w:t>
      </w:r>
    </w:p>
    <w:p w:rsidR="00573A91" w:rsidRPr="005C6EBE" w:rsidRDefault="00573A91" w:rsidP="00573A91">
      <w:pPr>
        <w:pStyle w:val="ListParagraph"/>
        <w:numPr>
          <w:ilvl w:val="1"/>
          <w:numId w:val="20"/>
        </w:numPr>
        <w:spacing w:after="0" w:line="240" w:lineRule="auto"/>
      </w:pPr>
      <w:r w:rsidRPr="005C6EBE">
        <w:t>There must be a proportionality between the effects of the limiting measure and the objective, the more sever the deleterious effect of measure, the more important the objective must be (it has to meet the objectives in a way to meet the requirement)</w:t>
      </w:r>
    </w:p>
    <w:p w:rsidR="00573A91" w:rsidRPr="005C6EBE" w:rsidRDefault="00573A91" w:rsidP="00573A91">
      <w:pPr>
        <w:rPr>
          <w:b/>
        </w:rPr>
      </w:pPr>
      <w:r>
        <w:rPr>
          <w:b/>
        </w:rPr>
        <w:br/>
      </w:r>
      <w:r>
        <w:rPr>
          <w:b/>
        </w:rPr>
        <w:t xml:space="preserve">Provincial Courts – </w:t>
      </w:r>
      <w:r w:rsidRPr="005C6EBE">
        <w:rPr>
          <w:b/>
        </w:rPr>
        <w:t>Court in Ontario</w:t>
      </w:r>
      <w:r>
        <w:rPr>
          <w:b/>
        </w:rPr>
        <w:t xml:space="preserve"> (</w:t>
      </w:r>
      <w:r w:rsidRPr="005C6EBE">
        <w:rPr>
          <w:b/>
        </w:rPr>
        <w:t>website</w:t>
      </w:r>
      <w:r>
        <w:rPr>
          <w:b/>
        </w:rPr>
        <w:t>!)</w:t>
      </w:r>
    </w:p>
    <w:p w:rsidR="00573A91" w:rsidRPr="005C6EBE" w:rsidRDefault="00573A91" w:rsidP="00573A91">
      <w:r w:rsidRPr="005C6EBE">
        <w:t xml:space="preserve">1) Court of Appeal of Ontario (highest court) </w:t>
      </w:r>
    </w:p>
    <w:p w:rsidR="00573A91" w:rsidRPr="005C6EBE" w:rsidRDefault="00573A91" w:rsidP="00573A91">
      <w:pPr>
        <w:pStyle w:val="ListParagraph"/>
        <w:numPr>
          <w:ilvl w:val="0"/>
          <w:numId w:val="19"/>
        </w:numPr>
        <w:spacing w:after="0" w:line="240" w:lineRule="auto"/>
      </w:pPr>
      <w:r w:rsidRPr="005C6EBE">
        <w:t xml:space="preserve">3-5 judge, highest court, approval process to go, </w:t>
      </w:r>
    </w:p>
    <w:p w:rsidR="00573A91" w:rsidRPr="005C6EBE" w:rsidRDefault="00573A91" w:rsidP="00573A91">
      <w:pPr>
        <w:pStyle w:val="ListParagraph"/>
        <w:numPr>
          <w:ilvl w:val="0"/>
          <w:numId w:val="19"/>
        </w:numPr>
        <w:spacing w:after="0" w:line="240" w:lineRule="auto"/>
      </w:pPr>
      <w:r w:rsidRPr="005C6EBE">
        <w:t>Civil and criminal matters</w:t>
      </w:r>
    </w:p>
    <w:p w:rsidR="00573A91" w:rsidRPr="005C6EBE" w:rsidRDefault="00573A91" w:rsidP="00573A91">
      <w:pPr>
        <w:spacing w:after="0" w:line="240" w:lineRule="auto"/>
      </w:pPr>
    </w:p>
    <w:p w:rsidR="00573A91" w:rsidRPr="005C6EBE" w:rsidRDefault="00573A91" w:rsidP="00573A91">
      <w:pPr>
        <w:spacing w:after="0" w:line="240" w:lineRule="auto"/>
      </w:pPr>
      <w:r w:rsidRPr="005C6EBE">
        <w:t>2) Supreme Court of Justice</w:t>
      </w:r>
    </w:p>
    <w:p w:rsidR="00573A91" w:rsidRPr="005C6EBE" w:rsidRDefault="00573A91" w:rsidP="00573A91">
      <w:pPr>
        <w:pStyle w:val="ListParagraph"/>
        <w:numPr>
          <w:ilvl w:val="0"/>
          <w:numId w:val="21"/>
        </w:numPr>
        <w:spacing w:after="0" w:line="240" w:lineRule="auto"/>
      </w:pPr>
      <w:r w:rsidRPr="005C6EBE">
        <w:t>Largest court in Canada, it has a strong voice</w:t>
      </w:r>
    </w:p>
    <w:p w:rsidR="00573A91" w:rsidRPr="005C6EBE" w:rsidRDefault="00573A91" w:rsidP="00573A91">
      <w:pPr>
        <w:pStyle w:val="ListParagraph"/>
        <w:numPr>
          <w:ilvl w:val="0"/>
          <w:numId w:val="21"/>
        </w:numPr>
        <w:spacing w:after="0" w:line="240" w:lineRule="auto"/>
      </w:pPr>
      <w:r w:rsidRPr="005C6EBE">
        <w:t>Criminal, civil, and family cases</w:t>
      </w:r>
    </w:p>
    <w:p w:rsidR="00573A91" w:rsidRPr="005C6EBE" w:rsidRDefault="00573A91" w:rsidP="00573A91">
      <w:pPr>
        <w:pStyle w:val="ListParagraph"/>
        <w:numPr>
          <w:ilvl w:val="0"/>
          <w:numId w:val="21"/>
        </w:numPr>
        <w:spacing w:after="0" w:line="240" w:lineRule="auto"/>
      </w:pPr>
      <w:r w:rsidRPr="005C6EBE">
        <w:t>Major issues that deals with areas that would not be heard in this court</w:t>
      </w:r>
    </w:p>
    <w:p w:rsidR="00573A91" w:rsidRPr="005C6EBE" w:rsidRDefault="00573A91" w:rsidP="00573A91">
      <w:pPr>
        <w:spacing w:after="0" w:line="240" w:lineRule="auto"/>
      </w:pPr>
    </w:p>
    <w:p w:rsidR="00573A91" w:rsidRPr="005C6EBE" w:rsidRDefault="00573A91" w:rsidP="00573A91">
      <w:pPr>
        <w:spacing w:after="0" w:line="240" w:lineRule="auto"/>
      </w:pPr>
      <w:r w:rsidRPr="005C6EBE">
        <w:t>3) Ontario Court of Justice</w:t>
      </w:r>
    </w:p>
    <w:p w:rsidR="00573A91" w:rsidRPr="005C6EBE" w:rsidRDefault="00573A91" w:rsidP="00573A91">
      <w:pPr>
        <w:pStyle w:val="ListParagraph"/>
        <w:numPr>
          <w:ilvl w:val="0"/>
          <w:numId w:val="22"/>
        </w:numPr>
        <w:spacing w:after="0" w:line="240" w:lineRule="auto"/>
      </w:pPr>
      <w:r w:rsidRPr="005C6EBE">
        <w:t>Deals with criminal charges, provincial offences, and family issues</w:t>
      </w:r>
    </w:p>
    <w:p w:rsidR="00573A91" w:rsidRPr="005C6EBE" w:rsidRDefault="00573A91" w:rsidP="00573A91">
      <w:pPr>
        <w:pStyle w:val="ListParagraph"/>
        <w:numPr>
          <w:ilvl w:val="0"/>
          <w:numId w:val="22"/>
        </w:numPr>
        <w:spacing w:after="0" w:line="240" w:lineRule="auto"/>
      </w:pPr>
      <w:r w:rsidRPr="005C6EBE">
        <w:t>Small claims court, $25,000</w:t>
      </w:r>
    </w:p>
    <w:p w:rsidR="00573A91" w:rsidRPr="005C6EBE" w:rsidRDefault="00573A91" w:rsidP="00573A91">
      <w:pPr>
        <w:spacing w:after="0" w:line="240" w:lineRule="auto"/>
      </w:pPr>
    </w:p>
    <w:p w:rsidR="00573A91" w:rsidRPr="005C6EBE" w:rsidRDefault="00573A91" w:rsidP="00573A91">
      <w:pPr>
        <w:spacing w:after="0" w:line="240" w:lineRule="auto"/>
      </w:pPr>
      <w:r w:rsidRPr="005C6EBE">
        <w:t>If it doesn’t fit the Ontario Court of Justice, then it goes to the Supreme Court. They are then appealed in the Court of Appeal of Ontario</w:t>
      </w:r>
    </w:p>
    <w:p w:rsidR="00573A91" w:rsidRPr="005C6EBE" w:rsidRDefault="00573A91" w:rsidP="00573A91">
      <w:pPr>
        <w:spacing w:after="0" w:line="240" w:lineRule="auto"/>
      </w:pPr>
    </w:p>
    <w:p w:rsidR="00573A91" w:rsidRPr="005C6EBE" w:rsidRDefault="00573A91" w:rsidP="00573A91">
      <w:pPr>
        <w:spacing w:after="0" w:line="240" w:lineRule="auto"/>
      </w:pPr>
      <w:r w:rsidRPr="005C6EBE">
        <w:rPr>
          <w:b/>
        </w:rPr>
        <w:t>Federal Courts</w:t>
      </w:r>
    </w:p>
    <w:p w:rsidR="00573A91" w:rsidRPr="005C6EBE" w:rsidRDefault="00573A91" w:rsidP="00573A91">
      <w:pPr>
        <w:spacing w:after="0"/>
      </w:pPr>
      <w:r w:rsidRPr="005C6EBE">
        <w:t>1) Supreme Court of Canada</w:t>
      </w:r>
    </w:p>
    <w:p w:rsidR="00573A91" w:rsidRPr="005C6EBE" w:rsidRDefault="00573A91" w:rsidP="00573A91">
      <w:pPr>
        <w:pStyle w:val="ListParagraph"/>
        <w:numPr>
          <w:ilvl w:val="0"/>
          <w:numId w:val="23"/>
        </w:numPr>
        <w:spacing w:after="0" w:line="240" w:lineRule="auto"/>
      </w:pPr>
      <w:r w:rsidRPr="005C6EBE">
        <w:t>They represent the protection of society</w:t>
      </w:r>
    </w:p>
    <w:p w:rsidR="00573A91" w:rsidRPr="005C6EBE" w:rsidRDefault="00573A91" w:rsidP="00573A91">
      <w:pPr>
        <w:pStyle w:val="ListParagraph"/>
        <w:numPr>
          <w:ilvl w:val="0"/>
          <w:numId w:val="23"/>
        </w:numPr>
        <w:spacing w:after="0" w:line="240" w:lineRule="auto"/>
      </w:pPr>
      <w:r w:rsidRPr="005C6EBE">
        <w:t>The final court of appeal, it serves Canadians legal issues</w:t>
      </w:r>
    </w:p>
    <w:p w:rsidR="00573A91" w:rsidRPr="005C6EBE" w:rsidRDefault="00573A91" w:rsidP="00573A91">
      <w:pPr>
        <w:pStyle w:val="ListParagraph"/>
        <w:numPr>
          <w:ilvl w:val="0"/>
          <w:numId w:val="23"/>
        </w:numPr>
        <w:spacing w:after="0" w:line="240" w:lineRule="auto"/>
      </w:pPr>
      <w:r w:rsidRPr="005C6EBE">
        <w:t>Independent court, defines the foundation of our society</w:t>
      </w:r>
    </w:p>
    <w:p w:rsidR="00573A91" w:rsidRPr="005C6EBE" w:rsidRDefault="00573A91" w:rsidP="00573A91">
      <w:pPr>
        <w:pStyle w:val="ListParagraph"/>
        <w:numPr>
          <w:ilvl w:val="0"/>
          <w:numId w:val="23"/>
        </w:numPr>
        <w:spacing w:after="0" w:line="240" w:lineRule="auto"/>
      </w:pPr>
      <w:r w:rsidRPr="005C6EBE">
        <w:t>Free democratic society, rule of law</w:t>
      </w:r>
    </w:p>
    <w:p w:rsidR="00573A91" w:rsidRPr="005C6EBE" w:rsidRDefault="00573A91" w:rsidP="00573A91">
      <w:pPr>
        <w:pStyle w:val="ListParagraph"/>
        <w:numPr>
          <w:ilvl w:val="0"/>
          <w:numId w:val="23"/>
        </w:numPr>
        <w:spacing w:after="0" w:line="240" w:lineRule="auto"/>
      </w:pPr>
      <w:r w:rsidRPr="005C6EBE">
        <w:t>Chief justice + 8 queen judges</w:t>
      </w:r>
    </w:p>
    <w:p w:rsidR="00573A91" w:rsidRDefault="00573A91" w:rsidP="00573A91">
      <w:r w:rsidRPr="005C6EBE">
        <w:t xml:space="preserve">Are the judges purely Canadian or </w:t>
      </w:r>
      <w:bookmarkStart w:id="0" w:name="_GoBack"/>
      <w:bookmarkEnd w:id="0"/>
      <w:r w:rsidRPr="005C6EBE">
        <w:t>can they be of other ethnicity?</w:t>
      </w:r>
    </w:p>
    <w:sectPr w:rsidR="00573A91" w:rsidSect="000A3507">
      <w:headerReference w:type="default"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7484" w:rsidRDefault="00CC7484" w:rsidP="002F3E9C">
      <w:pPr>
        <w:spacing w:after="0" w:line="240" w:lineRule="auto"/>
      </w:pPr>
      <w:r>
        <w:separator/>
      </w:r>
    </w:p>
  </w:endnote>
  <w:endnote w:type="continuationSeparator" w:id="0">
    <w:p w:rsidR="00CC7484" w:rsidRDefault="00CC7484" w:rsidP="002F3E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1289567"/>
      <w:docPartObj>
        <w:docPartGallery w:val="Page Numbers (Bottom of Page)"/>
        <w:docPartUnique/>
      </w:docPartObj>
    </w:sdtPr>
    <w:sdtEndPr>
      <w:rPr>
        <w:noProof/>
      </w:rPr>
    </w:sdtEndPr>
    <w:sdtContent>
      <w:p w:rsidR="00573A91" w:rsidRDefault="00573A91">
        <w:pPr>
          <w:pStyle w:val="Footer"/>
          <w:jc w:val="center"/>
        </w:pPr>
        <w:r>
          <w:t xml:space="preserve"> </w:t>
        </w:r>
        <w:r>
          <w:fldChar w:fldCharType="begin"/>
        </w:r>
        <w:r>
          <w:instrText xml:space="preserve"> PAGE   \* MERGEFORMAT </w:instrText>
        </w:r>
        <w:r>
          <w:fldChar w:fldCharType="separate"/>
        </w:r>
        <w:r>
          <w:rPr>
            <w:noProof/>
          </w:rPr>
          <w:t>3</w:t>
        </w:r>
        <w:r>
          <w:rPr>
            <w:noProof/>
          </w:rPr>
          <w:fldChar w:fldCharType="end"/>
        </w:r>
        <w:r>
          <w:rPr>
            <w:noProof/>
          </w:rPr>
          <w:t xml:space="preserve"> of 3</w:t>
        </w:r>
      </w:p>
    </w:sdtContent>
  </w:sdt>
  <w:p w:rsidR="00573A91" w:rsidRDefault="00573A91" w:rsidP="00573A91">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7484" w:rsidRDefault="00CC7484" w:rsidP="002F3E9C">
      <w:pPr>
        <w:spacing w:after="0" w:line="240" w:lineRule="auto"/>
      </w:pPr>
      <w:r>
        <w:separator/>
      </w:r>
    </w:p>
  </w:footnote>
  <w:footnote w:type="continuationSeparator" w:id="0">
    <w:p w:rsidR="00CC7484" w:rsidRDefault="00CC7484" w:rsidP="002F3E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0B0B" w:rsidRPr="00330B0B" w:rsidRDefault="002F3E9C">
    <w:pPr>
      <w:pStyle w:val="Header"/>
      <w:rPr>
        <w:u w:val="single"/>
      </w:rPr>
    </w:pPr>
    <w:r>
      <w:t>ADM 3360</w:t>
    </w:r>
    <w:r>
      <w:tab/>
      <w:t>Business Law</w:t>
    </w:r>
    <w:r>
      <w:tab/>
    </w:r>
  </w:p>
  <w:p w:rsidR="002F3E9C" w:rsidRPr="00330B0B" w:rsidRDefault="00330B0B" w:rsidP="00330B0B">
    <w:pPr>
      <w:pStyle w:val="Header"/>
      <w:jc w:val="center"/>
      <w:rPr>
        <w:u w:val="single"/>
      </w:rPr>
    </w:pPr>
    <w:r w:rsidRPr="00330B0B">
      <w:rPr>
        <w:u w:val="single"/>
      </w:rPr>
      <w:t>Lecture 5</w:t>
    </w:r>
    <w:r w:rsidR="00210362">
      <w:rPr>
        <w:u w:val="single"/>
      </w:rPr>
      <w:t>/6</w:t>
    </w:r>
    <w:r w:rsidRPr="00330B0B">
      <w:rPr>
        <w:u w:val="single"/>
      </w:rPr>
      <w:t xml:space="preserve"> (Chapters 10, 11, and </w:t>
    </w:r>
    <w:r w:rsidRPr="00330B0B">
      <w:rPr>
        <w:strike/>
        <w:u w:val="single"/>
      </w:rPr>
      <w:t>12</w:t>
    </w:r>
    <w:r w:rsidRPr="00330B0B">
      <w:rPr>
        <w:u w:val="single"/>
      </w:rPr>
      <w:t xml:space="preserve"> "Torts")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41564"/>
    <w:multiLevelType w:val="hybridMultilevel"/>
    <w:tmpl w:val="D55A5B6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204E1E"/>
    <w:multiLevelType w:val="hybridMultilevel"/>
    <w:tmpl w:val="5888C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EC53010"/>
    <w:multiLevelType w:val="hybridMultilevel"/>
    <w:tmpl w:val="C8A60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135732"/>
    <w:multiLevelType w:val="hybridMultilevel"/>
    <w:tmpl w:val="9876941A"/>
    <w:lvl w:ilvl="0" w:tplc="1878239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3CE5EB0"/>
    <w:multiLevelType w:val="hybridMultilevel"/>
    <w:tmpl w:val="4CB4072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2D821CE1"/>
    <w:multiLevelType w:val="hybridMultilevel"/>
    <w:tmpl w:val="42505274"/>
    <w:lvl w:ilvl="0" w:tplc="9E92C7AA">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1152305"/>
    <w:multiLevelType w:val="hybridMultilevel"/>
    <w:tmpl w:val="76BED31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1333DA6"/>
    <w:multiLevelType w:val="hybridMultilevel"/>
    <w:tmpl w:val="70640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DBB5D5E"/>
    <w:multiLevelType w:val="hybridMultilevel"/>
    <w:tmpl w:val="4648B7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3013372"/>
    <w:multiLevelType w:val="hybridMultilevel"/>
    <w:tmpl w:val="9372E4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66191A"/>
    <w:multiLevelType w:val="hybridMultilevel"/>
    <w:tmpl w:val="2642FD78"/>
    <w:lvl w:ilvl="0" w:tplc="334404B6">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4AE618FE"/>
    <w:multiLevelType w:val="hybridMultilevel"/>
    <w:tmpl w:val="6C1CCE80"/>
    <w:lvl w:ilvl="0" w:tplc="C3A40C1C">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C6159BF"/>
    <w:multiLevelType w:val="hybridMultilevel"/>
    <w:tmpl w:val="7372366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575353CD"/>
    <w:multiLevelType w:val="hybridMultilevel"/>
    <w:tmpl w:val="F83225AC"/>
    <w:lvl w:ilvl="0" w:tplc="04090001">
      <w:start w:val="1"/>
      <w:numFmt w:val="bullet"/>
      <w:lvlText w:val=""/>
      <w:lvlJc w:val="left"/>
      <w:pPr>
        <w:ind w:left="720" w:hanging="360"/>
      </w:pPr>
      <w:rPr>
        <w:rFonts w:ascii="Symbol" w:hAnsi="Symbo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CE465E3"/>
    <w:multiLevelType w:val="hybridMultilevel"/>
    <w:tmpl w:val="D7A6BB00"/>
    <w:lvl w:ilvl="0" w:tplc="2722B4DC">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D9444A6"/>
    <w:multiLevelType w:val="hybridMultilevel"/>
    <w:tmpl w:val="897851D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5F76008F"/>
    <w:multiLevelType w:val="hybridMultilevel"/>
    <w:tmpl w:val="4E8255F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6008619B"/>
    <w:multiLevelType w:val="hybridMultilevel"/>
    <w:tmpl w:val="8F10ED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2F06714"/>
    <w:multiLevelType w:val="hybridMultilevel"/>
    <w:tmpl w:val="EE76CA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7212BB8"/>
    <w:multiLevelType w:val="hybridMultilevel"/>
    <w:tmpl w:val="24AAEA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DEB2DE8"/>
    <w:multiLevelType w:val="hybridMultilevel"/>
    <w:tmpl w:val="8F36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407F12"/>
    <w:multiLevelType w:val="hybridMultilevel"/>
    <w:tmpl w:val="649085BC"/>
    <w:lvl w:ilvl="0" w:tplc="DD686A82">
      <w:start w:val="28"/>
      <w:numFmt w:val="bullet"/>
      <w:lvlText w:val=""/>
      <w:lvlJc w:val="left"/>
      <w:pPr>
        <w:ind w:left="720" w:hanging="360"/>
      </w:pPr>
      <w:rPr>
        <w:rFonts w:ascii="Wingdings" w:eastAsiaTheme="minorHAnsi" w:hAnsi="Wingdings"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85A70E5"/>
    <w:multiLevelType w:val="hybridMultilevel"/>
    <w:tmpl w:val="AB2A0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5"/>
  </w:num>
  <w:num w:numId="4">
    <w:abstractNumId w:val="16"/>
  </w:num>
  <w:num w:numId="5">
    <w:abstractNumId w:val="6"/>
  </w:num>
  <w:num w:numId="6">
    <w:abstractNumId w:val="4"/>
  </w:num>
  <w:num w:numId="7">
    <w:abstractNumId w:val="8"/>
  </w:num>
  <w:num w:numId="8">
    <w:abstractNumId w:val="12"/>
  </w:num>
  <w:num w:numId="9">
    <w:abstractNumId w:val="18"/>
  </w:num>
  <w:num w:numId="10">
    <w:abstractNumId w:val="19"/>
  </w:num>
  <w:num w:numId="11">
    <w:abstractNumId w:val="0"/>
  </w:num>
  <w:num w:numId="12">
    <w:abstractNumId w:val="13"/>
  </w:num>
  <w:num w:numId="13">
    <w:abstractNumId w:val="3"/>
  </w:num>
  <w:num w:numId="14">
    <w:abstractNumId w:val="11"/>
  </w:num>
  <w:num w:numId="15">
    <w:abstractNumId w:val="7"/>
  </w:num>
  <w:num w:numId="16">
    <w:abstractNumId w:val="14"/>
  </w:num>
  <w:num w:numId="17">
    <w:abstractNumId w:val="9"/>
  </w:num>
  <w:num w:numId="18">
    <w:abstractNumId w:val="21"/>
  </w:num>
  <w:num w:numId="19">
    <w:abstractNumId w:val="2"/>
  </w:num>
  <w:num w:numId="20">
    <w:abstractNumId w:val="17"/>
  </w:num>
  <w:num w:numId="21">
    <w:abstractNumId w:val="1"/>
  </w:num>
  <w:num w:numId="22">
    <w:abstractNumId w:val="20"/>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F3E9C"/>
    <w:rsid w:val="000A3507"/>
    <w:rsid w:val="00210362"/>
    <w:rsid w:val="00277F61"/>
    <w:rsid w:val="002A70D1"/>
    <w:rsid w:val="002F3E9C"/>
    <w:rsid w:val="00330B0B"/>
    <w:rsid w:val="00573A91"/>
    <w:rsid w:val="00741B57"/>
    <w:rsid w:val="00764CF1"/>
    <w:rsid w:val="00801816"/>
    <w:rsid w:val="00981DE2"/>
    <w:rsid w:val="00A22187"/>
    <w:rsid w:val="00C0385E"/>
    <w:rsid w:val="00C74585"/>
    <w:rsid w:val="00CC7484"/>
    <w:rsid w:val="00E24FE8"/>
    <w:rsid w:val="00F0116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F3E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3E9C"/>
  </w:style>
  <w:style w:type="paragraph" w:styleId="Footer">
    <w:name w:val="footer"/>
    <w:basedOn w:val="Normal"/>
    <w:link w:val="FooterChar"/>
    <w:uiPriority w:val="99"/>
    <w:unhideWhenUsed/>
    <w:rsid w:val="002F3E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3E9C"/>
  </w:style>
  <w:style w:type="paragraph" w:styleId="ListParagraph">
    <w:name w:val="List Paragraph"/>
    <w:basedOn w:val="Normal"/>
    <w:uiPriority w:val="34"/>
    <w:qFormat/>
    <w:rsid w:val="0080181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3</Pages>
  <Words>1077</Words>
  <Characters>6142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Numan</dc:creator>
  <cp:lastModifiedBy>Sajid</cp:lastModifiedBy>
  <cp:revision>4</cp:revision>
  <dcterms:created xsi:type="dcterms:W3CDTF">2012-12-06T19:46:00Z</dcterms:created>
  <dcterms:modified xsi:type="dcterms:W3CDTF">2013-02-21T23:33:00Z</dcterms:modified>
</cp:coreProperties>
</file>